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67BCE" w14:textId="5385DCA0" w:rsidR="00037DAB" w:rsidRPr="00F8325C" w:rsidRDefault="00C32040" w:rsidP="00F8325C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F8325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Golpe a la inversión social afecta educación, salud, vivienda y programas </w:t>
      </w:r>
    </w:p>
    <w:p w14:paraId="783C1570" w14:textId="77777777" w:rsidR="00DD386E" w:rsidRPr="00F8325C" w:rsidRDefault="00DD386E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52E4A7DB" w14:textId="77777777" w:rsidR="00F8325C" w:rsidRPr="00F8325C" w:rsidRDefault="00F8325C" w:rsidP="00F8325C">
      <w:pPr>
        <w:ind w:firstLine="567"/>
        <w:jc w:val="both"/>
        <w:rPr>
          <w:rFonts w:ascii="Times New Roman" w:hAnsi="Times New Roman" w:cs="Times New Roman"/>
          <w:i/>
          <w:iCs/>
          <w:lang w:val="es-ES"/>
        </w:rPr>
      </w:pPr>
      <w:r w:rsidRPr="00F8325C">
        <w:rPr>
          <w:rFonts w:ascii="Times New Roman" w:hAnsi="Times New Roman" w:cs="Times New Roman"/>
          <w:i/>
          <w:iCs/>
          <w:lang w:val="es-ES"/>
        </w:rPr>
        <w:t>Guillermo Solano Gutiérrez</w:t>
      </w:r>
    </w:p>
    <w:p w14:paraId="29084C0F" w14:textId="77777777" w:rsidR="00F8325C" w:rsidRPr="00F8325C" w:rsidRDefault="00F8325C" w:rsidP="00F8325C">
      <w:pPr>
        <w:ind w:firstLine="567"/>
        <w:jc w:val="both"/>
        <w:rPr>
          <w:rFonts w:ascii="Times New Roman" w:hAnsi="Times New Roman" w:cs="Times New Roman"/>
          <w:i/>
          <w:iCs/>
          <w:lang w:val="es-ES"/>
        </w:rPr>
      </w:pPr>
      <w:r w:rsidRPr="00F8325C">
        <w:rPr>
          <w:rFonts w:ascii="Times New Roman" w:hAnsi="Times New Roman" w:cs="Times New Roman"/>
          <w:i/>
          <w:iCs/>
          <w:lang w:val="es-ES"/>
        </w:rPr>
        <w:t>guillermo.solano.gutierrez@una.cr</w:t>
      </w:r>
    </w:p>
    <w:p w14:paraId="77F1C90C" w14:textId="77777777" w:rsidR="00F8325C" w:rsidRPr="00F8325C" w:rsidRDefault="00F8325C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65D7228B" w14:textId="45567E35" w:rsidR="00C32040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3204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La curva de la inversión social pública en Costa Rica tiende a inclinarse hacia abajo, principalmente </w:t>
      </w:r>
      <w:r w:rsidR="00E72601" w:rsidRPr="00F8325C">
        <w:rPr>
          <w:rFonts w:ascii="Times New Roman" w:hAnsi="Times New Roman" w:cs="Times New Roman"/>
          <w:color w:val="000000" w:themeColor="text1"/>
          <w:lang w:val="es-ES"/>
        </w:rPr>
        <w:t xml:space="preserve">desde </w:t>
      </w:r>
      <w:r w:rsidR="00C3204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2021. Esto se traduce en menos recursos para la educación, atención de la salud, soluciones de vivienda y 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financiamiento de </w:t>
      </w:r>
      <w:r w:rsidR="00C32040" w:rsidRPr="00F8325C">
        <w:rPr>
          <w:rFonts w:ascii="Times New Roman" w:hAnsi="Times New Roman" w:cs="Times New Roman"/>
          <w:color w:val="000000" w:themeColor="text1"/>
          <w:lang w:val="es-ES"/>
        </w:rPr>
        <w:t>proyectos de protección social a poblaciones vulnerables.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7D9F6236" w14:textId="27A6CEC1" w:rsidR="00C32040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3204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Luego de una década de crecimientos relativos (del 2010 al 2020), </w:t>
      </w:r>
      <w:r w:rsidR="00E72601" w:rsidRPr="00F8325C">
        <w:rPr>
          <w:rFonts w:ascii="Times New Roman" w:hAnsi="Times New Roman" w:cs="Times New Roman"/>
          <w:color w:val="000000" w:themeColor="text1"/>
          <w:lang w:val="es-ES"/>
        </w:rPr>
        <w:t>d</w:t>
      </w:r>
      <w:r w:rsidR="00C3204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el 2021 </w:t>
      </w:r>
      <w:r w:rsidR="00E72601" w:rsidRPr="00F8325C">
        <w:rPr>
          <w:rFonts w:ascii="Times New Roman" w:hAnsi="Times New Roman" w:cs="Times New Roman"/>
          <w:color w:val="000000" w:themeColor="text1"/>
          <w:lang w:val="es-ES"/>
        </w:rPr>
        <w:t>a</w:t>
      </w:r>
      <w:r w:rsidR="00C32040" w:rsidRPr="00F8325C">
        <w:rPr>
          <w:rFonts w:ascii="Times New Roman" w:hAnsi="Times New Roman" w:cs="Times New Roman"/>
          <w:color w:val="000000" w:themeColor="text1"/>
          <w:lang w:val="es-ES"/>
        </w:rPr>
        <w:t>l 2023 se registra una disminución del porcentaje de dinero que el Estado destina a cada una de estas áreas, con respecto al Producto Interno Bruto (PIB).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27556BD4" w14:textId="08405919" w:rsidR="00C32040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3204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Mientras </w:t>
      </w:r>
      <w:r w:rsidR="00E72601" w:rsidRPr="00F8325C">
        <w:rPr>
          <w:rFonts w:ascii="Times New Roman" w:hAnsi="Times New Roman" w:cs="Times New Roman"/>
          <w:color w:val="000000" w:themeColor="text1"/>
          <w:lang w:val="es-ES"/>
        </w:rPr>
        <w:t>que,</w:t>
      </w:r>
      <w:r w:rsidR="00C3204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en el 2020, el gasto público social como porcentaje del PIB fue de un 24,2%, para el 2021 sufrió una reducción hasta 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>llegar al</w:t>
      </w:r>
      <w:r w:rsidR="00C3204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23,4%. Y para el 2022, bajó </w:t>
      </w:r>
      <w:r w:rsidR="00E72601" w:rsidRPr="00F8325C">
        <w:rPr>
          <w:rFonts w:ascii="Times New Roman" w:hAnsi="Times New Roman" w:cs="Times New Roman"/>
          <w:color w:val="000000" w:themeColor="text1"/>
          <w:lang w:val="es-ES"/>
        </w:rPr>
        <w:t>aún</w:t>
      </w:r>
      <w:r w:rsidR="00C3204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más 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>(</w:t>
      </w:r>
      <w:r w:rsidR="00C32040" w:rsidRPr="00F8325C">
        <w:rPr>
          <w:rFonts w:ascii="Times New Roman" w:hAnsi="Times New Roman" w:cs="Times New Roman"/>
          <w:color w:val="000000" w:themeColor="text1"/>
          <w:lang w:val="es-ES"/>
        </w:rPr>
        <w:t>21,2%</w:t>
      </w:r>
      <w:proofErr w:type="gramStart"/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>)</w:t>
      </w:r>
      <w:r w:rsidR="00C32040" w:rsidRPr="00F8325C">
        <w:rPr>
          <w:rFonts w:ascii="Times New Roman" w:hAnsi="Times New Roman" w:cs="Times New Roman"/>
          <w:color w:val="000000" w:themeColor="text1"/>
          <w:lang w:val="es-ES"/>
        </w:rPr>
        <w:t>.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proofErr w:type="gramEnd"/>
      <w:r w:rsidRPr="00237B34">
        <w:rPr>
          <w:rFonts w:ascii="Times New Roman" w:hAnsi="Times New Roman" w:cs="Times New Roman"/>
          <w:color w:val="FF0000"/>
          <w:lang w:val="es-ES"/>
        </w:rPr>
        <w:t>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73DAECA4" w14:textId="0ADAD595" w:rsidR="00F57765" w:rsidRDefault="00F57765" w:rsidP="00F8325C">
      <w:pPr>
        <w:ind w:firstLine="567"/>
        <w:jc w:val="both"/>
        <w:rPr>
          <w:rFonts w:ascii="Times New Roman" w:hAnsi="Times New Roman" w:cs="Times New Roman"/>
          <w:color w:val="FF0000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rFonts w:ascii="Times New Roman" w:hAnsi="Times New Roman" w:cs="Times New Roman"/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92FE6" w:rsidRPr="00F8325C">
        <w:rPr>
          <w:rFonts w:ascii="Times New Roman" w:hAnsi="Times New Roman" w:cs="Times New Roman"/>
          <w:color w:val="000000" w:themeColor="text1"/>
          <w:lang w:val="es-ES"/>
        </w:rPr>
        <w:t>La información está incluida en el II Informe de Proyecciones Macroeconómicas 2024 y Estado Actual del Gasto Social en Costa Rica, presentado por el Centro Internacional de Política Económica para el Desarrollo Sostenible (Cinpe) de la Universidad Nacional (UNA).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3B811998" w14:textId="4C765D02" w:rsidR="00C92FE6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92FE6" w:rsidRPr="00F8325C">
        <w:rPr>
          <w:rFonts w:ascii="Times New Roman" w:hAnsi="Times New Roman" w:cs="Times New Roman"/>
          <w:color w:val="000000" w:themeColor="text1"/>
          <w:lang w:val="es-ES"/>
        </w:rPr>
        <w:t>La disminución se presenta a pesar de que, en términos reales, el GPS (Gasto Público Social) por habitante pasó de 254 mil colones</w:t>
      </w:r>
      <w:r w:rsidR="00E72601" w:rsidRPr="00F8325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C92FE6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en el 2012</w:t>
      </w:r>
      <w:r w:rsidR="00E72601" w:rsidRPr="00F8325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C92FE6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a 295 mil colones</w:t>
      </w:r>
      <w:r w:rsidR="00E72601" w:rsidRPr="00F8325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C92FE6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en el 2022. “Si bien este aumento refleja un compromiso sostenido de las políticas sociales, el crecimiento no ha sido uniforme: primero, los descensos sugieren desafíos de sostenibilidad del gasto frente a coyunturas económicas y sociales específicas; segundo, estos incrementos pueden no corresponder con el nivel de crecimiento productivo observado en los últimos años ni adaptarse a las necesidades actuales”, se lee en el informe.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5FD30C9E" w14:textId="3E9804A8" w:rsidR="00C92FE6" w:rsidRPr="00F8325C" w:rsidRDefault="00C92FE6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1D883034" w14:textId="37798880" w:rsidR="00C32040" w:rsidRPr="00F8325C" w:rsidRDefault="00F57765" w:rsidP="00F8325C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92FE6" w:rsidRPr="00F8325C">
        <w:rPr>
          <w:rFonts w:ascii="Times New Roman" w:hAnsi="Times New Roman" w:cs="Times New Roman"/>
          <w:b/>
          <w:bCs/>
          <w:color w:val="000000" w:themeColor="text1"/>
          <w:lang w:val="es-ES"/>
        </w:rPr>
        <w:t>P</w:t>
      </w:r>
      <w:r w:rsidR="00047ED0" w:rsidRPr="00F8325C">
        <w:rPr>
          <w:rFonts w:ascii="Times New Roman" w:hAnsi="Times New Roman" w:cs="Times New Roman"/>
          <w:b/>
          <w:bCs/>
          <w:color w:val="000000" w:themeColor="text1"/>
          <w:lang w:val="es-ES"/>
        </w:rPr>
        <w:t>rotección social y educación</w:t>
      </w:r>
      <w:r w:rsidR="00C92FE6" w:rsidRPr="00F8325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</w:t>
      </w:r>
    </w:p>
    <w:p w14:paraId="097E3B52" w14:textId="5CEAD1A5" w:rsidR="00C92FE6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92FE6" w:rsidRPr="00F8325C">
        <w:rPr>
          <w:rFonts w:ascii="Times New Roman" w:hAnsi="Times New Roman" w:cs="Times New Roman"/>
          <w:color w:val="000000" w:themeColor="text1"/>
          <w:lang w:val="es-ES"/>
        </w:rPr>
        <w:t xml:space="preserve">El financiamiento de los programas relacionados con la protección social pública ha oscilado entre el 11,24% y el 17,12% del PIB desde el 2010 y hasta el 2023.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4A32DBD5" w14:textId="5D24840D" w:rsidR="000A64EF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C92FE6" w:rsidRPr="00F8325C">
        <w:rPr>
          <w:rFonts w:ascii="Times New Roman" w:hAnsi="Times New Roman" w:cs="Times New Roman"/>
          <w:color w:val="000000" w:themeColor="text1"/>
          <w:lang w:val="es-ES"/>
        </w:rPr>
        <w:t>Sin embargo, en los dos últimos años del estudio (2022 y 2023) se comprobó una caída significativa</w:t>
      </w:r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 xml:space="preserve">, que 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 xml:space="preserve">el año anterior </w:t>
      </w:r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>represent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>ó</w:t>
      </w:r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una inversión del 14,50%, la más baja desde el 2015.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475BF6F6" w14:textId="7118BD56" w:rsidR="000A64EF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>De esta manera, Costa Rica se ubica muy por debajo de la recomendación que hace la Organización para la Cooperación y el Desarrollo Económico (OCDE) para el grupo de países que la conforman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(entre ellos el nuestro)</w:t>
      </w:r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>, y la cual establece que la inversión en protección social pública debería ser de al menos el 22,6% del PIB en cada nación.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1D1F04C5" w14:textId="26C866B4" w:rsidR="000A64EF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>En el ámbito de la educación, ha sido ampliamente discutido el hecho de que el país se aleja de la disposición constitucional de otorgar al menos un 8% de la producción a su financiamiento.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0E6B1603" w14:textId="45B75F1B" w:rsidR="00842D39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 xml:space="preserve">Para el </w:t>
      </w:r>
      <w:proofErr w:type="spellStart"/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>Cinpe</w:t>
      </w:r>
      <w:proofErr w:type="spellEnd"/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>, existe una tendencia calificada de “pre</w:t>
      </w:r>
      <w:r w:rsidR="00842D39" w:rsidRPr="00F8325C">
        <w:rPr>
          <w:rFonts w:ascii="Times New Roman" w:hAnsi="Times New Roman" w:cs="Times New Roman"/>
          <w:color w:val="000000" w:themeColor="text1"/>
          <w:lang w:val="es-ES"/>
        </w:rPr>
        <w:t>o</w:t>
      </w:r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 xml:space="preserve">cupante”, sobre el monto que se destina a educación. Mientras 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>que,</w:t>
      </w:r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en el 2010, el país 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trasladaba </w:t>
      </w:r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>un 6,92% de su producción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a este sector</w:t>
      </w:r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 xml:space="preserve">, para el 2023 ese porcentaje fue de un 5,70%. 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 xml:space="preserve">Desde </w:t>
      </w:r>
      <w:r w:rsidR="000A64EF" w:rsidRPr="00F8325C">
        <w:rPr>
          <w:rFonts w:ascii="Times New Roman" w:hAnsi="Times New Roman" w:cs="Times New Roman"/>
          <w:color w:val="000000" w:themeColor="text1"/>
          <w:lang w:val="es-ES"/>
        </w:rPr>
        <w:t xml:space="preserve">el 2017 </w:t>
      </w:r>
      <w:r w:rsidR="00842D39" w:rsidRPr="00F8325C">
        <w:rPr>
          <w:rFonts w:ascii="Times New Roman" w:hAnsi="Times New Roman" w:cs="Times New Roman"/>
          <w:color w:val="000000" w:themeColor="text1"/>
          <w:lang w:val="es-ES"/>
        </w:rPr>
        <w:t>ese financiamiento tiende a la baja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en los presupuestos públicos</w:t>
      </w:r>
      <w:r w:rsidR="00842D39" w:rsidRPr="00F8325C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6CE1EEC5" w14:textId="7A706A9F" w:rsidR="00842D39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lastRenderedPageBreak/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Pr="00F8325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842D39" w:rsidRPr="00F8325C">
        <w:rPr>
          <w:rFonts w:ascii="Times New Roman" w:hAnsi="Times New Roman" w:cs="Times New Roman"/>
          <w:color w:val="000000" w:themeColor="text1"/>
          <w:lang w:val="es-ES"/>
        </w:rPr>
        <w:t>“La brecha entre la inversión educativa en Costa Rica y los estándares recomendados por la OCDE subraya la necesidad urgente de aumentar los recursos destinados a la educación. Esto no solo beneficiaría la calidad y cobertura del sistema educativo nacional, sino que también afecta la preparación de la fuerza laboral para enfrentar los desafíos del futuro”, indica el estudio.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7F590345" w14:textId="64C87D01" w:rsidR="00047ED0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047ED0" w:rsidRPr="00F8325C">
        <w:rPr>
          <w:rFonts w:ascii="Times New Roman" w:hAnsi="Times New Roman" w:cs="Times New Roman"/>
          <w:color w:val="000000" w:themeColor="text1"/>
          <w:lang w:val="es-ES"/>
        </w:rPr>
        <w:t>Esta situación redunda en que, por cada estudiante, el país inviert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>e</w:t>
      </w:r>
      <w:r w:rsidR="00047ED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6.624 dólares al año, mientras 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>que,</w:t>
      </w:r>
      <w:r w:rsidR="00047ED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en el promedio de los países de la OCDE, el monto alcance los 10.678 dólares, al considerar datos del 2021.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5A2323FC" w14:textId="2750E0B0" w:rsidR="00047ED0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047ED0" w:rsidRPr="00F8325C">
        <w:rPr>
          <w:rFonts w:ascii="Times New Roman" w:hAnsi="Times New Roman" w:cs="Times New Roman"/>
          <w:color w:val="000000" w:themeColor="text1"/>
          <w:lang w:val="es-ES"/>
        </w:rPr>
        <w:t>El hecho de que una persona pueda concluir sus estudios universitarios tiene implicaciones en cuanto a la tasa de desempleo. Esta se ubica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047ED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al segundo trimestre del 2024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047ED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en un 5,7% entre la población que cuente con un título de estudios superiores, frente a un 8,5% de la tasa general.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790FCDCD" w14:textId="6E57326C" w:rsidR="00047ED0" w:rsidRPr="00F8325C" w:rsidRDefault="00047ED0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6D4193B9" w14:textId="44F8B79D" w:rsidR="00047ED0" w:rsidRPr="00F8325C" w:rsidRDefault="00F57765" w:rsidP="00F8325C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047ED0" w:rsidRPr="00F8325C">
        <w:rPr>
          <w:rFonts w:ascii="Times New Roman" w:hAnsi="Times New Roman" w:cs="Times New Roman"/>
          <w:b/>
          <w:bCs/>
          <w:color w:val="000000" w:themeColor="text1"/>
          <w:lang w:val="es-ES"/>
        </w:rPr>
        <w:t>Salud y vivienda</w:t>
      </w:r>
    </w:p>
    <w:p w14:paraId="5173D95B" w14:textId="14A8CC24" w:rsidR="008D09F7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047ED0" w:rsidRPr="00F8325C">
        <w:rPr>
          <w:rFonts w:ascii="Times New Roman" w:hAnsi="Times New Roman" w:cs="Times New Roman"/>
          <w:color w:val="000000" w:themeColor="text1"/>
          <w:lang w:val="es-ES"/>
        </w:rPr>
        <w:t>El panorama es igual de sombrío para los otros dos sectores analizados por el Cinpe-UNA.</w:t>
      </w:r>
      <w:r w:rsidR="008D09F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047ED0" w:rsidRPr="00F8325C">
        <w:rPr>
          <w:rFonts w:ascii="Times New Roman" w:hAnsi="Times New Roman" w:cs="Times New Roman"/>
          <w:color w:val="000000" w:themeColor="text1"/>
          <w:lang w:val="es-ES"/>
        </w:rPr>
        <w:t xml:space="preserve">Si bien la inversión en salud tuvo un repunte </w:t>
      </w:r>
      <w:r w:rsidR="008D09F7" w:rsidRPr="00F8325C">
        <w:rPr>
          <w:rFonts w:ascii="Times New Roman" w:hAnsi="Times New Roman" w:cs="Times New Roman"/>
          <w:color w:val="000000" w:themeColor="text1"/>
          <w:lang w:val="es-ES"/>
        </w:rPr>
        <w:t>en el 2020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8D09F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en torno al 7,5% del PIB, influenciado por factores como la pandemia de Covid-19, 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 xml:space="preserve">desde </w:t>
      </w:r>
      <w:r w:rsidR="008D09F7" w:rsidRPr="00F8325C">
        <w:rPr>
          <w:rFonts w:ascii="Times New Roman" w:hAnsi="Times New Roman" w:cs="Times New Roman"/>
          <w:color w:val="000000" w:themeColor="text1"/>
          <w:lang w:val="es-ES"/>
        </w:rPr>
        <w:t>el 2022 comenzó a darse un decrecimiento. Para ese año, el porcentaje otorgado fue del 6% y disminuyó el año anterior al 5,77</w:t>
      </w:r>
      <w:proofErr w:type="gramStart"/>
      <w:r w:rsidR="008D09F7" w:rsidRPr="00F8325C">
        <w:rPr>
          <w:rFonts w:ascii="Times New Roman" w:hAnsi="Times New Roman" w:cs="Times New Roman"/>
          <w:color w:val="000000" w:themeColor="text1"/>
          <w:lang w:val="es-ES"/>
        </w:rPr>
        <w:t>%.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proofErr w:type="gramEnd"/>
      <w:r w:rsidRPr="00237B34">
        <w:rPr>
          <w:rFonts w:ascii="Times New Roman" w:hAnsi="Times New Roman" w:cs="Times New Roman"/>
          <w:color w:val="FF0000"/>
          <w:lang w:val="es-ES"/>
        </w:rPr>
        <w:t>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6EE21EB7" w14:textId="2AAC4D35" w:rsidR="008D09F7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8D09F7" w:rsidRPr="00F8325C">
        <w:rPr>
          <w:rFonts w:ascii="Times New Roman" w:hAnsi="Times New Roman" w:cs="Times New Roman"/>
          <w:color w:val="000000" w:themeColor="text1"/>
          <w:lang w:val="es-ES"/>
        </w:rPr>
        <w:t>Dicha inversión está lejana al 9% que recomienda la OCDE y es muy superior a la que dedican países europeos como Alemania, Francia, Noruega y Reino Unido, cuyo gasto en salud oscila entre el 10% y el 12% de su producción.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3A6F63B1" w14:textId="2F1AB2B6" w:rsidR="008D09F7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8D09F7" w:rsidRPr="00F8325C">
        <w:rPr>
          <w:rFonts w:ascii="Times New Roman" w:hAnsi="Times New Roman" w:cs="Times New Roman"/>
          <w:color w:val="000000" w:themeColor="text1"/>
          <w:lang w:val="es-ES"/>
        </w:rPr>
        <w:t>Similar panorama se presenta en el caso del sector vivienda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8D09F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que vivió un momento de apogeo en su inversión entre el 2005 y el 2010. Pero, 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 xml:space="preserve">desde </w:t>
      </w:r>
      <w:r w:rsidR="008D09F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el 2019 la curva presupuestaria tendió a la baja 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>y</w:t>
      </w:r>
      <w:r w:rsidR="008D09F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represent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>ó</w:t>
      </w:r>
      <w:r w:rsidR="008D09F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apenas el 2,25% del PIB en el 2022.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33D75E59" w14:textId="2E46BC65" w:rsidR="001D6E9D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1D6E9D" w:rsidRPr="00F8325C">
        <w:rPr>
          <w:rFonts w:ascii="Times New Roman" w:hAnsi="Times New Roman" w:cs="Times New Roman"/>
          <w:color w:val="000000" w:themeColor="text1"/>
          <w:lang w:val="es-ES"/>
        </w:rPr>
        <w:t>Más dramático a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>ú</w:t>
      </w:r>
      <w:r w:rsidR="001D6E9D" w:rsidRPr="00F8325C">
        <w:rPr>
          <w:rFonts w:ascii="Times New Roman" w:hAnsi="Times New Roman" w:cs="Times New Roman"/>
          <w:color w:val="000000" w:themeColor="text1"/>
          <w:lang w:val="es-ES"/>
        </w:rPr>
        <w:t>n es el monto que el país destina al financiamiento de los bonos de vivienda y que pasó de 12.873 millones de colones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1D6E9D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en el 2020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1D6E9D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a 8.369 millones de colones al cierre del 2022.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519DAC4F" w14:textId="6AB64515" w:rsidR="00856C97" w:rsidRPr="00F8325C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1D6E9D" w:rsidRPr="00F8325C">
        <w:rPr>
          <w:rFonts w:ascii="Times New Roman" w:hAnsi="Times New Roman" w:cs="Times New Roman"/>
          <w:color w:val="000000" w:themeColor="text1"/>
          <w:lang w:val="es-ES"/>
        </w:rPr>
        <w:t>Este panorama no coi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>n</w:t>
      </w:r>
      <w:r w:rsidR="001D6E9D" w:rsidRPr="00F8325C">
        <w:rPr>
          <w:rFonts w:ascii="Times New Roman" w:hAnsi="Times New Roman" w:cs="Times New Roman"/>
          <w:color w:val="000000" w:themeColor="text1"/>
          <w:lang w:val="es-ES"/>
        </w:rPr>
        <w:t xml:space="preserve">cide con las expectativas indicadas en el Plan 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>N</w:t>
      </w:r>
      <w:r w:rsidR="001D6E9D" w:rsidRPr="00F8325C">
        <w:rPr>
          <w:rFonts w:ascii="Times New Roman" w:hAnsi="Times New Roman" w:cs="Times New Roman"/>
          <w:color w:val="000000" w:themeColor="text1"/>
          <w:lang w:val="es-ES"/>
        </w:rPr>
        <w:t>acional de Desarrollo e Inversión Pública 2023-2026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1D6E9D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que establece como meta elevar la recaudación tributaria 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al 13,35% del PIB para destinar más recursos al gasto público social. De acuerdo con el Cinpe, ese porcentaje se estima en un 12,3% </w:t>
      </w:r>
      <w:r w:rsidR="00313168" w:rsidRPr="00F8325C">
        <w:rPr>
          <w:rFonts w:ascii="Times New Roman" w:hAnsi="Times New Roman" w:cs="Times New Roman"/>
          <w:color w:val="000000" w:themeColor="text1"/>
          <w:lang w:val="es-ES"/>
        </w:rPr>
        <w:t>en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 el 2024 y un 12,4% para el 2025.</w:t>
      </w:r>
      <w:r w:rsidRPr="00F5776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4ACA1626" w14:textId="6D852106" w:rsidR="008D09F7" w:rsidRDefault="00F57765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Pr="00F8325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856C97" w:rsidRPr="00F8325C">
        <w:rPr>
          <w:rFonts w:ascii="Times New Roman" w:hAnsi="Times New Roman" w:cs="Times New Roman"/>
          <w:color w:val="000000" w:themeColor="text1"/>
          <w:lang w:val="es-ES"/>
        </w:rPr>
        <w:t xml:space="preserve">“La baja inversión social tiene un impacto importante en la calidad del sistema educativo, en la seguridad social y la salud, lo que incide en la capacidad del país para aumentar el crecimiento y el desarrollo económico. Es conocido que una baja inversión social afecta en los niveles y el tipo de empleo, la capacidad para incrementar la productividad, atraer inversión extranjera y reducir la desigualdad”, concluye el informe.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2CB2639C" w14:textId="77777777" w:rsidR="00F8325C" w:rsidRDefault="00F8325C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7E9F30AF" w14:textId="33D9FA6C" w:rsidR="00F8325C" w:rsidRDefault="00F8325C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F8325C">
        <w:rPr>
          <w:rFonts w:ascii="Times New Roman" w:hAnsi="Times New Roman" w:cs="Times New Roman"/>
          <w:color w:val="000000" w:themeColor="text1"/>
          <w:highlight w:val="yellow"/>
          <w:lang w:val="es-ES"/>
        </w:rPr>
        <w:t>Nota:</w:t>
      </w:r>
    </w:p>
    <w:p w14:paraId="6E896F7C" w14:textId="7626CAB3" w:rsidR="00F8325C" w:rsidRPr="00F8325C" w:rsidRDefault="00F8325C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>Anita esta nota va ilustrada con una caricatura que nos van a hacer y que va a ser la portada. Luego reubicamos páginas (3 y 5)</w:t>
      </w:r>
    </w:p>
    <w:p w14:paraId="5363D6DB" w14:textId="77777777" w:rsidR="00047ED0" w:rsidRPr="00F8325C" w:rsidRDefault="00047ED0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60DFD141" w14:textId="056BA3DA" w:rsidR="00F4131E" w:rsidRPr="00F8325C" w:rsidRDefault="00F4131E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0D7991A1" w14:textId="77777777" w:rsidR="00F4131E" w:rsidRPr="00F8325C" w:rsidRDefault="00F4131E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0C206BC9" w14:textId="52D3A342" w:rsidR="0049282B" w:rsidRPr="00F8325C" w:rsidRDefault="0049282B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1C2AFF62" w14:textId="77777777" w:rsidR="0049282B" w:rsidRPr="00F8325C" w:rsidRDefault="0049282B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2AA15A45" w14:textId="0B10C5C3" w:rsidR="00CB7431" w:rsidRPr="00F8325C" w:rsidRDefault="00CB7431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1D7F8243" w14:textId="77777777" w:rsidR="00CB7431" w:rsidRPr="00F8325C" w:rsidRDefault="00CB7431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19D826DB" w14:textId="77777777" w:rsidR="007C6C27" w:rsidRPr="00F8325C" w:rsidRDefault="007C6C27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7C2723D1" w14:textId="77777777" w:rsidR="00B742A9" w:rsidRPr="00F8325C" w:rsidRDefault="00B742A9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73BBF425" w14:textId="77777777" w:rsidR="00891542" w:rsidRPr="00F8325C" w:rsidRDefault="00891542" w:rsidP="00F8325C">
      <w:pPr>
        <w:ind w:firstLine="567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sectPr w:rsidR="00891542" w:rsidRPr="00F832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AB"/>
    <w:rsid w:val="00034355"/>
    <w:rsid w:val="00036F26"/>
    <w:rsid w:val="00037DAB"/>
    <w:rsid w:val="00040295"/>
    <w:rsid w:val="00041B8D"/>
    <w:rsid w:val="00047ED0"/>
    <w:rsid w:val="00077117"/>
    <w:rsid w:val="00080ECC"/>
    <w:rsid w:val="0008148A"/>
    <w:rsid w:val="000877C8"/>
    <w:rsid w:val="00095B14"/>
    <w:rsid w:val="000A64EF"/>
    <w:rsid w:val="000A7875"/>
    <w:rsid w:val="000E0D74"/>
    <w:rsid w:val="0011111D"/>
    <w:rsid w:val="00132259"/>
    <w:rsid w:val="00146A2D"/>
    <w:rsid w:val="001552D4"/>
    <w:rsid w:val="00156BED"/>
    <w:rsid w:val="00181AD0"/>
    <w:rsid w:val="0019330F"/>
    <w:rsid w:val="001B65E8"/>
    <w:rsid w:val="001C31BE"/>
    <w:rsid w:val="001D6E9D"/>
    <w:rsid w:val="001E689B"/>
    <w:rsid w:val="001F5D08"/>
    <w:rsid w:val="002047C5"/>
    <w:rsid w:val="002113DA"/>
    <w:rsid w:val="00217FD6"/>
    <w:rsid w:val="002272DC"/>
    <w:rsid w:val="00230BFD"/>
    <w:rsid w:val="002637DE"/>
    <w:rsid w:val="00284916"/>
    <w:rsid w:val="002F00FB"/>
    <w:rsid w:val="00313168"/>
    <w:rsid w:val="003146AE"/>
    <w:rsid w:val="003147A8"/>
    <w:rsid w:val="00316EF5"/>
    <w:rsid w:val="00352B6D"/>
    <w:rsid w:val="00386E98"/>
    <w:rsid w:val="003C7E15"/>
    <w:rsid w:val="003D06C3"/>
    <w:rsid w:val="003E188E"/>
    <w:rsid w:val="003F3421"/>
    <w:rsid w:val="00400E8F"/>
    <w:rsid w:val="00402F4C"/>
    <w:rsid w:val="00403981"/>
    <w:rsid w:val="0040714E"/>
    <w:rsid w:val="004145D2"/>
    <w:rsid w:val="004276A0"/>
    <w:rsid w:val="00460C26"/>
    <w:rsid w:val="00473244"/>
    <w:rsid w:val="004877EF"/>
    <w:rsid w:val="004914AA"/>
    <w:rsid w:val="004924B2"/>
    <w:rsid w:val="0049282B"/>
    <w:rsid w:val="004E76A8"/>
    <w:rsid w:val="004F1DE7"/>
    <w:rsid w:val="0051102B"/>
    <w:rsid w:val="005223E1"/>
    <w:rsid w:val="0054477A"/>
    <w:rsid w:val="00545021"/>
    <w:rsid w:val="005479DA"/>
    <w:rsid w:val="00552169"/>
    <w:rsid w:val="0056062F"/>
    <w:rsid w:val="00583780"/>
    <w:rsid w:val="005A6142"/>
    <w:rsid w:val="005B4080"/>
    <w:rsid w:val="005C5119"/>
    <w:rsid w:val="005D0387"/>
    <w:rsid w:val="005E57C0"/>
    <w:rsid w:val="005E5824"/>
    <w:rsid w:val="005F1F4A"/>
    <w:rsid w:val="006223AA"/>
    <w:rsid w:val="00625754"/>
    <w:rsid w:val="00661604"/>
    <w:rsid w:val="00664577"/>
    <w:rsid w:val="00664A2A"/>
    <w:rsid w:val="006806E1"/>
    <w:rsid w:val="00683A0D"/>
    <w:rsid w:val="006B1234"/>
    <w:rsid w:val="006B685C"/>
    <w:rsid w:val="006C3F03"/>
    <w:rsid w:val="006D0420"/>
    <w:rsid w:val="00705B24"/>
    <w:rsid w:val="0071525F"/>
    <w:rsid w:val="0073659E"/>
    <w:rsid w:val="00766A22"/>
    <w:rsid w:val="00767840"/>
    <w:rsid w:val="00777B6D"/>
    <w:rsid w:val="00791490"/>
    <w:rsid w:val="007A6615"/>
    <w:rsid w:val="007B2993"/>
    <w:rsid w:val="007C6C27"/>
    <w:rsid w:val="007D4697"/>
    <w:rsid w:val="007D5745"/>
    <w:rsid w:val="007D5765"/>
    <w:rsid w:val="007F372F"/>
    <w:rsid w:val="00800FED"/>
    <w:rsid w:val="008101C1"/>
    <w:rsid w:val="00814A27"/>
    <w:rsid w:val="00820EB1"/>
    <w:rsid w:val="00823B7E"/>
    <w:rsid w:val="00842D39"/>
    <w:rsid w:val="008531B8"/>
    <w:rsid w:val="00856C97"/>
    <w:rsid w:val="00891542"/>
    <w:rsid w:val="008932D7"/>
    <w:rsid w:val="008B507C"/>
    <w:rsid w:val="008C3174"/>
    <w:rsid w:val="008D09F7"/>
    <w:rsid w:val="008E5EF5"/>
    <w:rsid w:val="008F76B2"/>
    <w:rsid w:val="00913372"/>
    <w:rsid w:val="009222DF"/>
    <w:rsid w:val="00933374"/>
    <w:rsid w:val="00942A99"/>
    <w:rsid w:val="00971BD6"/>
    <w:rsid w:val="009756F6"/>
    <w:rsid w:val="00995C68"/>
    <w:rsid w:val="009B70A2"/>
    <w:rsid w:val="009C4F06"/>
    <w:rsid w:val="009C6446"/>
    <w:rsid w:val="009E2811"/>
    <w:rsid w:val="00A16B4A"/>
    <w:rsid w:val="00A354DE"/>
    <w:rsid w:val="00A4029D"/>
    <w:rsid w:val="00A44ABC"/>
    <w:rsid w:val="00A5312B"/>
    <w:rsid w:val="00A839C4"/>
    <w:rsid w:val="00A85C4A"/>
    <w:rsid w:val="00AA5F75"/>
    <w:rsid w:val="00AB5452"/>
    <w:rsid w:val="00AE6D87"/>
    <w:rsid w:val="00AF3EDF"/>
    <w:rsid w:val="00AF4BB0"/>
    <w:rsid w:val="00B00E63"/>
    <w:rsid w:val="00B030EA"/>
    <w:rsid w:val="00B033B5"/>
    <w:rsid w:val="00B03C4B"/>
    <w:rsid w:val="00B100FB"/>
    <w:rsid w:val="00B17B67"/>
    <w:rsid w:val="00B32369"/>
    <w:rsid w:val="00B36D3E"/>
    <w:rsid w:val="00B50640"/>
    <w:rsid w:val="00B56C08"/>
    <w:rsid w:val="00B637A1"/>
    <w:rsid w:val="00B64658"/>
    <w:rsid w:val="00B64E07"/>
    <w:rsid w:val="00B672EB"/>
    <w:rsid w:val="00B742A9"/>
    <w:rsid w:val="00B808F8"/>
    <w:rsid w:val="00B818B5"/>
    <w:rsid w:val="00B976E0"/>
    <w:rsid w:val="00BE2AF9"/>
    <w:rsid w:val="00C22954"/>
    <w:rsid w:val="00C32040"/>
    <w:rsid w:val="00C355A8"/>
    <w:rsid w:val="00C64AA4"/>
    <w:rsid w:val="00C75D8C"/>
    <w:rsid w:val="00C92FE6"/>
    <w:rsid w:val="00C95875"/>
    <w:rsid w:val="00CA0FFE"/>
    <w:rsid w:val="00CA395D"/>
    <w:rsid w:val="00CB7385"/>
    <w:rsid w:val="00CB7431"/>
    <w:rsid w:val="00CF6529"/>
    <w:rsid w:val="00D116D4"/>
    <w:rsid w:val="00D132E3"/>
    <w:rsid w:val="00D16151"/>
    <w:rsid w:val="00D22AF3"/>
    <w:rsid w:val="00D42878"/>
    <w:rsid w:val="00D4450C"/>
    <w:rsid w:val="00D8640E"/>
    <w:rsid w:val="00D935AE"/>
    <w:rsid w:val="00D96A9E"/>
    <w:rsid w:val="00DA521E"/>
    <w:rsid w:val="00DB2B20"/>
    <w:rsid w:val="00DD386E"/>
    <w:rsid w:val="00DF7A93"/>
    <w:rsid w:val="00E153CF"/>
    <w:rsid w:val="00E26C13"/>
    <w:rsid w:val="00E37E31"/>
    <w:rsid w:val="00E6316B"/>
    <w:rsid w:val="00E65FF3"/>
    <w:rsid w:val="00E72601"/>
    <w:rsid w:val="00E7553F"/>
    <w:rsid w:val="00E758CF"/>
    <w:rsid w:val="00E91979"/>
    <w:rsid w:val="00EC3599"/>
    <w:rsid w:val="00ED1A37"/>
    <w:rsid w:val="00EE7E94"/>
    <w:rsid w:val="00F4131E"/>
    <w:rsid w:val="00F427BD"/>
    <w:rsid w:val="00F50E74"/>
    <w:rsid w:val="00F57765"/>
    <w:rsid w:val="00F60762"/>
    <w:rsid w:val="00F617D2"/>
    <w:rsid w:val="00F80D5E"/>
    <w:rsid w:val="00F8325C"/>
    <w:rsid w:val="00F92198"/>
    <w:rsid w:val="00F9539B"/>
    <w:rsid w:val="00FA2E2C"/>
    <w:rsid w:val="00FA6A08"/>
    <w:rsid w:val="00FA7022"/>
    <w:rsid w:val="00FC173E"/>
    <w:rsid w:val="00FC2AD9"/>
    <w:rsid w:val="00FF2B90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EBAD"/>
  <w15:chartTrackingRefBased/>
  <w15:docId w15:val="{75801B36-2CD2-1A45-9A26-19A782A7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68E9E1-E163-594B-8C69-D0DAF387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ARROYO ALVAREZ</dc:creator>
  <cp:keywords/>
  <dc:description/>
  <cp:lastModifiedBy>ERICK QUIROS  GUTIERREZ</cp:lastModifiedBy>
  <cp:revision>4</cp:revision>
  <dcterms:created xsi:type="dcterms:W3CDTF">2024-08-20T22:36:00Z</dcterms:created>
  <dcterms:modified xsi:type="dcterms:W3CDTF">2024-08-30T18:32:00Z</dcterms:modified>
</cp:coreProperties>
</file>