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7BCE" w14:textId="5385DCA0" w:rsidR="00037DAB" w:rsidRPr="00F8325C" w:rsidRDefault="00C32040" w:rsidP="00F8325C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Golpe a la inversión social afecta educación, salud, vivienda y programas </w:t>
      </w:r>
    </w:p>
    <w:p w14:paraId="783C1570" w14:textId="77777777" w:rsidR="00DD386E" w:rsidRPr="00F8325C" w:rsidRDefault="00DD386E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2E4A7DB" w14:textId="77777777" w:rsidR="00F8325C" w:rsidRPr="00F8325C" w:rsidRDefault="00F8325C" w:rsidP="00F8325C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F8325C">
        <w:rPr>
          <w:rFonts w:ascii="Times New Roman" w:hAnsi="Times New Roman" w:cs="Times New Roman"/>
          <w:i/>
          <w:iCs/>
          <w:lang w:val="es-ES"/>
        </w:rPr>
        <w:t>Guillermo Solano Gutiérrez</w:t>
      </w:r>
    </w:p>
    <w:p w14:paraId="29084C0F" w14:textId="77777777" w:rsidR="00F8325C" w:rsidRPr="00F8325C" w:rsidRDefault="00F8325C" w:rsidP="00F8325C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F8325C">
        <w:rPr>
          <w:rFonts w:ascii="Times New Roman" w:hAnsi="Times New Roman" w:cs="Times New Roman"/>
          <w:i/>
          <w:iCs/>
          <w:lang w:val="es-ES"/>
        </w:rPr>
        <w:t>guillermo.solano.gutierrez@una.cr</w:t>
      </w:r>
    </w:p>
    <w:p w14:paraId="77F1C90C" w14:textId="77777777" w:rsidR="00F8325C" w:rsidRPr="00F8325C" w:rsidRDefault="00F8325C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5D7228B" w14:textId="45567E35" w:rsidR="00C32040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La curva de la inversión social pública en Costa Rica tiende a inclinarse hacia abajo, principalmente 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 xml:space="preserve">desde 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2021. Esto se traduce en menos recursos para la educación, atención de la salud, soluciones de vivienda y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financiamiento de 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>proyectos de protección social a poblaciones vulnerables.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7D9F6236" w14:textId="27A6CEC1" w:rsidR="00C32040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Luego de una década de crecimientos relativos (del 2010 al 2020), 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el 2021 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>l 2023 se registra una disminución del porcentaje de dinero que el Estado destina a cada una de estas áreas, con respecto al Producto Interno Bruto (PIB).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7556BD4" w14:textId="08405919" w:rsidR="00C32040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Mientras 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que,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2020, el gasto público social como porcentaje del PIB fue de un 24,2%, para el 2021 sufrió una reducción hasta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llegar al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23,4%. Y para el 2022, bajó 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aún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más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(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>21,2%</w:t>
      </w:r>
      <w:proofErr w:type="gramStart"/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)</w:t>
      </w:r>
      <w:r w:rsidR="00C32040" w:rsidRPr="00F8325C">
        <w:rPr>
          <w:rFonts w:ascii="Times New Roman" w:hAnsi="Times New Roman" w:cs="Times New Roman"/>
          <w:color w:val="000000" w:themeColor="text1"/>
          <w:lang w:val="es-ES"/>
        </w:rPr>
        <w:t>.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proofErr w:type="gramEnd"/>
      <w:r w:rsidRPr="00237B34">
        <w:rPr>
          <w:rFonts w:ascii="Times New Roman" w:hAnsi="Times New Roman" w:cs="Times New Roman"/>
          <w:color w:val="FF0000"/>
          <w:lang w:val="es-ES"/>
        </w:rPr>
        <w:t>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73DAECA4" w14:textId="0ADAD595" w:rsidR="00F57765" w:rsidRDefault="00F57765" w:rsidP="00F8325C">
      <w:pPr>
        <w:ind w:firstLine="567"/>
        <w:jc w:val="both"/>
        <w:rPr>
          <w:rFonts w:ascii="Times New Roman" w:hAnsi="Times New Roman" w:cs="Times New Roman"/>
          <w:color w:val="FF0000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rFonts w:ascii="Times New Roman" w:hAnsi="Times New Roman" w:cs="Times New Roman"/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>La información está incluida en el II Informe de Proyecciones Macroeconómicas 2024 y Estado Actual del Gasto Social en Costa Rica, presentado por el Centro Internacional de Política Económica para el Desarrollo Sostenible (Cinpe) de la Universidad Nacional (UNA).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B811998" w14:textId="4C765D02" w:rsidR="00C92FE6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>La disminución se presenta a pesar de que, en términos reales, el GPS (Gasto Público Social) por habitante pasó de 254 mil colones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2012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a 295 mil colones</w:t>
      </w:r>
      <w:r w:rsidR="00E72601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2022. “Si bien este aumento refleja un compromiso sostenido de las políticas sociales, el crecimiento no ha sido uniforme: primero, los descensos sugieren desafíos de sostenibilidad del gasto frente a coyunturas económicas y sociales específicas; segundo, estos incrementos pueden no corresponder con el nivel de crecimiento productivo observado en los últimos años ni adaptarse a las necesidades actuales”, se lee en el informe.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FD30C9E" w14:textId="3E9804A8" w:rsidR="00C92FE6" w:rsidRPr="00F8325C" w:rsidRDefault="00C92FE6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D883034" w14:textId="37798880" w:rsidR="00C32040" w:rsidRPr="00F8325C" w:rsidRDefault="00F57765" w:rsidP="00F8325C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92FE6"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>P</w:t>
      </w:r>
      <w:r w:rsidR="00047ED0"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>rotección social y educación</w:t>
      </w:r>
      <w:r w:rsidR="00C92FE6"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</w:p>
    <w:p w14:paraId="097E3B52" w14:textId="5CEAD1A5" w:rsidR="00C92FE6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 xml:space="preserve">El financiamiento de los programas relacionados con la protección social pública ha oscilado entre el 11,24% y el 17,12% del PIB desde el 2010 y hasta el 2023.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A32DBD5" w14:textId="5D24840D" w:rsidR="000A64EF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92FE6" w:rsidRPr="00F8325C">
        <w:rPr>
          <w:rFonts w:ascii="Times New Roman" w:hAnsi="Times New Roman" w:cs="Times New Roman"/>
          <w:color w:val="000000" w:themeColor="text1"/>
          <w:lang w:val="es-ES"/>
        </w:rPr>
        <w:t>Sin embargo, en los dos últimos años del estudio (2022 y 2023) se comprobó una caída significativa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, que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 xml:space="preserve">el año anterior 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represent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ó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una inversión del 14,50%, la más baja desde el 2015.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75BF6F6" w14:textId="7118BD56" w:rsidR="000A64EF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De esta manera, Costa Rica se ubica muy por debajo de la recomendación que hace la Organización para la Cooperación y el Desarrollo Económico (OCDE) para el grupo de países que la conforman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(entre ellos el nuestro)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, y la cual establece que la inversión en protección social pública debería ser de al menos el 22,6% del PIB en cada nación.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D1F04C5" w14:textId="26C866B4" w:rsidR="000A64EF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En el ámbito de la educación, ha sido ampliamente discutido el hecho de que el país se aleja de la disposición constitucional de otorgar al menos un 8% de la producción a su financiamiento.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E6B1603" w14:textId="45B75F1B" w:rsidR="00842D39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Para el </w:t>
      </w:r>
      <w:proofErr w:type="spellStart"/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Cinpe</w:t>
      </w:r>
      <w:proofErr w:type="spellEnd"/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, existe una tendencia calificada de “pre</w:t>
      </w:r>
      <w:r w:rsidR="00842D39" w:rsidRPr="00F8325C">
        <w:rPr>
          <w:rFonts w:ascii="Times New Roman" w:hAnsi="Times New Roman" w:cs="Times New Roman"/>
          <w:color w:val="000000" w:themeColor="text1"/>
          <w:lang w:val="es-ES"/>
        </w:rPr>
        <w:t>o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cupante”, sobre el monto que se destina a educación. Mientras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que,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2010, el país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trasladaba 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>un 6,92% de su producción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a este sector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, para el 2023 ese porcentaje fue de un 5,70%.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 xml:space="preserve">Desde </w:t>
      </w:r>
      <w:r w:rsidR="000A64EF" w:rsidRPr="00F8325C">
        <w:rPr>
          <w:rFonts w:ascii="Times New Roman" w:hAnsi="Times New Roman" w:cs="Times New Roman"/>
          <w:color w:val="000000" w:themeColor="text1"/>
          <w:lang w:val="es-ES"/>
        </w:rPr>
        <w:t xml:space="preserve">el 2017 </w:t>
      </w:r>
      <w:r w:rsidR="00842D39" w:rsidRPr="00F8325C">
        <w:rPr>
          <w:rFonts w:ascii="Times New Roman" w:hAnsi="Times New Roman" w:cs="Times New Roman"/>
          <w:color w:val="000000" w:themeColor="text1"/>
          <w:lang w:val="es-ES"/>
        </w:rPr>
        <w:t>ese financiamiento tiende a la baja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los presupuestos públicos</w:t>
      </w:r>
      <w:r w:rsidR="00842D39" w:rsidRPr="00F8325C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CE1EEC5" w14:textId="7A706A9F" w:rsidR="00842D39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lastRenderedPageBreak/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Pr="00F8325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42D39" w:rsidRPr="00F8325C">
        <w:rPr>
          <w:rFonts w:ascii="Times New Roman" w:hAnsi="Times New Roman" w:cs="Times New Roman"/>
          <w:color w:val="000000" w:themeColor="text1"/>
          <w:lang w:val="es-ES"/>
        </w:rPr>
        <w:t>“La brecha entre la inversión educativa en Costa Rica y los estándares recomendados por la OCDE subraya la necesidad urgente de aumentar los recursos destinados a la educación. Esto no solo beneficiaría la calidad y cobertura del sistema educativo nacional, sino que también afecta la preparación de la fuerza laboral para enfrentar los desafíos del futuro”, indica el estudio.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7F590345" w14:textId="64C87D01" w:rsidR="00047ED0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>Esta situación redunda en que, por cada estudiante, el país inviert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6.624 dólares al año, mientras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que,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promedio de los países de la OCDE, el monto alcance los 10.678 dólares, al considerar datos del 2021.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A2323FC" w14:textId="2750E0B0" w:rsidR="00047ED0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>El hecho de que una persona pueda concluir sus estudios universitarios tiene implicaciones en cuanto a la tasa de desempleo. Esta se ubica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al segundo trimestre del 2024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un 5,7% entre la población que cuente con un título de estudios superiores, frente a un 8,5% de la tasa general.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790FCDCD" w14:textId="6E57326C" w:rsidR="00047ED0" w:rsidRPr="00F8325C" w:rsidRDefault="00047ED0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D4193B9" w14:textId="44F8B79D" w:rsidR="00047ED0" w:rsidRPr="00F8325C" w:rsidRDefault="00F57765" w:rsidP="00F8325C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47ED0"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>Salud y vivienda</w:t>
      </w:r>
    </w:p>
    <w:p w14:paraId="5173D95B" w14:textId="14A8CC24" w:rsidR="008D09F7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>El panorama es igual de sombrío para los otros dos sectores analizados por el Cinpe-UNA.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47ED0" w:rsidRPr="00F8325C">
        <w:rPr>
          <w:rFonts w:ascii="Times New Roman" w:hAnsi="Times New Roman" w:cs="Times New Roman"/>
          <w:color w:val="000000" w:themeColor="text1"/>
          <w:lang w:val="es-ES"/>
        </w:rPr>
        <w:t xml:space="preserve">Si bien la inversión en salud tuvo un repunte 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>en el 2020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torno al 7,5% del PIB, influenciado por factores como la pandemia de Covid-19,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 xml:space="preserve">desde 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>el 2022 comenzó a darse un decrecimiento. Para ese año, el porcentaje otorgado fue del 6% y disminuyó el año anterior al 5,77</w:t>
      </w:r>
      <w:proofErr w:type="gramStart"/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>%.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proofErr w:type="gramEnd"/>
      <w:r w:rsidRPr="00237B34">
        <w:rPr>
          <w:rFonts w:ascii="Times New Roman" w:hAnsi="Times New Roman" w:cs="Times New Roman"/>
          <w:color w:val="FF0000"/>
          <w:lang w:val="es-ES"/>
        </w:rPr>
        <w:t>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EE21EB7" w14:textId="2AAC4D35" w:rsidR="008D09F7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>Dicha inversión está lejana al 9% que recomienda la OCDE y es muy superior a la que dedican países europeos como Alemania, Francia, Noruega y Reino Unido, cuyo gasto en salud oscila entre el 10% y el 12% de su producción.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A6F63B1" w14:textId="2F1AB2B6" w:rsidR="008D09F7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>Similar panorama se presenta en el caso del sector vivienda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que vivió un momento de apogeo en su inversión entre el 2005 y el 2010. Pero,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 xml:space="preserve">desde 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el 2019 la curva presupuestaria tendió a la baja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y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represent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ó</w:t>
      </w:r>
      <w:r w:rsidR="008D09F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apenas el 2,25% del PIB en el 2022.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3D75E59" w14:textId="2E46BC65" w:rsidR="001D6E9D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>Más dramático a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ú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>n es el monto que el país destina al financiamiento de los bonos de vivienda y que pasó de 12.873 millones de colones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en el 2020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a 8.369 millones de colones al cierre del 2022.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19DAC4F" w14:textId="6AB64515" w:rsidR="00856C97" w:rsidRPr="00F8325C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>Este panorama no coi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 xml:space="preserve">cide con las expectativas indicadas en el Plan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>acional de Desarrollo e Inversión Pública 2023-2026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1D6E9D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que establece como meta elevar la recaudación tributaria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al 13,35% del PIB para destinar más recursos al gasto público social. De acuerdo con el Cinpe, ese porcentaje se estima en un 12,3% </w:t>
      </w:r>
      <w:r w:rsidR="00313168" w:rsidRPr="00F8325C">
        <w:rPr>
          <w:rFonts w:ascii="Times New Roman" w:hAnsi="Times New Roman" w:cs="Times New Roman"/>
          <w:color w:val="000000" w:themeColor="text1"/>
          <w:lang w:val="es-ES"/>
        </w:rPr>
        <w:t>en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 el 2024 y un 12,4% para el 2025.</w:t>
      </w:r>
      <w:r w:rsidRPr="00F577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ACA1626" w14:textId="6D852106" w:rsidR="008D09F7" w:rsidRDefault="00F57765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Pr="00F8325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56C97" w:rsidRPr="00F8325C">
        <w:rPr>
          <w:rFonts w:ascii="Times New Roman" w:hAnsi="Times New Roman" w:cs="Times New Roman"/>
          <w:color w:val="000000" w:themeColor="text1"/>
          <w:lang w:val="es-ES"/>
        </w:rPr>
        <w:t xml:space="preserve">“La baja inversión social tiene un impacto importante en la calidad del sistema educativo, en la seguridad social y la salud, lo que incide en la capacidad del país para aumentar el crecimiento y el desarrollo económico. Es conocido que una baja inversión social afecta en los niveles y el tipo de empleo, la capacidad para incrementar la productividad, atraer inversión extranjera y reducir la desigualdad”, concluye el informe.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CB2639C" w14:textId="77777777" w:rsidR="00F8325C" w:rsidRDefault="00F8325C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E9F30AF" w14:textId="33D9FA6C" w:rsidR="00F8325C" w:rsidRDefault="00F8325C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F8325C">
        <w:rPr>
          <w:rFonts w:ascii="Times New Roman" w:hAnsi="Times New Roman" w:cs="Times New Roman"/>
          <w:color w:val="000000" w:themeColor="text1"/>
          <w:highlight w:val="yellow"/>
          <w:lang w:val="es-ES"/>
        </w:rPr>
        <w:t>Nota:</w:t>
      </w:r>
    </w:p>
    <w:p w14:paraId="6E896F7C" w14:textId="7626CAB3" w:rsidR="00F8325C" w:rsidRPr="00F8325C" w:rsidRDefault="00F8325C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Anita esta nota va ilustrada con una caricatura que nos van a hacer y que va a ser la portada. Luego reubicamos páginas (3 y 5)</w:t>
      </w:r>
    </w:p>
    <w:p w14:paraId="5363D6DB" w14:textId="77777777" w:rsidR="00047ED0" w:rsidRPr="00F8325C" w:rsidRDefault="00047ED0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0DFD141" w14:textId="056BA3DA" w:rsidR="00F4131E" w:rsidRPr="00F8325C" w:rsidRDefault="00F4131E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D7991A1" w14:textId="77777777" w:rsidR="00F4131E" w:rsidRPr="00F8325C" w:rsidRDefault="00F4131E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C206BC9" w14:textId="52D3A342" w:rsidR="0049282B" w:rsidRPr="00F8325C" w:rsidRDefault="0049282B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C2AFF62" w14:textId="77777777" w:rsidR="0049282B" w:rsidRPr="00F8325C" w:rsidRDefault="0049282B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AA15A45" w14:textId="0B10C5C3" w:rsidR="00CB7431" w:rsidRPr="00F8325C" w:rsidRDefault="00CB7431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D7F8243" w14:textId="77777777" w:rsidR="00CB7431" w:rsidRPr="00F8325C" w:rsidRDefault="00CB7431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9D826DB" w14:textId="77777777" w:rsidR="007C6C27" w:rsidRPr="00F8325C" w:rsidRDefault="007C6C27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C2723D1" w14:textId="77777777" w:rsidR="00B742A9" w:rsidRPr="00F8325C" w:rsidRDefault="00B742A9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3BBF425" w14:textId="77777777" w:rsidR="00891542" w:rsidRPr="00F8325C" w:rsidRDefault="00891542" w:rsidP="00F8325C">
      <w:pPr>
        <w:ind w:firstLine="567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sectPr w:rsidR="00891542" w:rsidRPr="00F83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B"/>
    <w:rsid w:val="00034355"/>
    <w:rsid w:val="00036F26"/>
    <w:rsid w:val="00037DAB"/>
    <w:rsid w:val="00040295"/>
    <w:rsid w:val="00041B8D"/>
    <w:rsid w:val="00047ED0"/>
    <w:rsid w:val="00077117"/>
    <w:rsid w:val="00080ECC"/>
    <w:rsid w:val="0008148A"/>
    <w:rsid w:val="000877C8"/>
    <w:rsid w:val="00095B14"/>
    <w:rsid w:val="000A64EF"/>
    <w:rsid w:val="000A7875"/>
    <w:rsid w:val="000E0D74"/>
    <w:rsid w:val="0011111D"/>
    <w:rsid w:val="00132259"/>
    <w:rsid w:val="00146A2D"/>
    <w:rsid w:val="001552D4"/>
    <w:rsid w:val="00156BED"/>
    <w:rsid w:val="00181AD0"/>
    <w:rsid w:val="0019330F"/>
    <w:rsid w:val="001B65E8"/>
    <w:rsid w:val="001C31BE"/>
    <w:rsid w:val="001D6E9D"/>
    <w:rsid w:val="001E689B"/>
    <w:rsid w:val="001F5D08"/>
    <w:rsid w:val="002047C5"/>
    <w:rsid w:val="002113DA"/>
    <w:rsid w:val="00217FD6"/>
    <w:rsid w:val="002272DC"/>
    <w:rsid w:val="00230BFD"/>
    <w:rsid w:val="002637DE"/>
    <w:rsid w:val="00284916"/>
    <w:rsid w:val="002F00FB"/>
    <w:rsid w:val="00313168"/>
    <w:rsid w:val="003146AE"/>
    <w:rsid w:val="003147A8"/>
    <w:rsid w:val="00316EF5"/>
    <w:rsid w:val="00352B6D"/>
    <w:rsid w:val="00386E98"/>
    <w:rsid w:val="003C7E15"/>
    <w:rsid w:val="003D06C3"/>
    <w:rsid w:val="003E188E"/>
    <w:rsid w:val="003F3421"/>
    <w:rsid w:val="00400E8F"/>
    <w:rsid w:val="00402F4C"/>
    <w:rsid w:val="00403981"/>
    <w:rsid w:val="0040714E"/>
    <w:rsid w:val="004145D2"/>
    <w:rsid w:val="004276A0"/>
    <w:rsid w:val="00460C26"/>
    <w:rsid w:val="00473244"/>
    <w:rsid w:val="004877EF"/>
    <w:rsid w:val="004914AA"/>
    <w:rsid w:val="004924B2"/>
    <w:rsid w:val="0049282B"/>
    <w:rsid w:val="004E76A8"/>
    <w:rsid w:val="004F1DE7"/>
    <w:rsid w:val="0051102B"/>
    <w:rsid w:val="005223E1"/>
    <w:rsid w:val="0054477A"/>
    <w:rsid w:val="00545021"/>
    <w:rsid w:val="005479DA"/>
    <w:rsid w:val="00552169"/>
    <w:rsid w:val="0056062F"/>
    <w:rsid w:val="00583780"/>
    <w:rsid w:val="005A6142"/>
    <w:rsid w:val="005B4080"/>
    <w:rsid w:val="005C5119"/>
    <w:rsid w:val="005D0387"/>
    <w:rsid w:val="005E57C0"/>
    <w:rsid w:val="005E5824"/>
    <w:rsid w:val="005F1F4A"/>
    <w:rsid w:val="006223AA"/>
    <w:rsid w:val="00625754"/>
    <w:rsid w:val="00661604"/>
    <w:rsid w:val="00664577"/>
    <w:rsid w:val="00664A2A"/>
    <w:rsid w:val="006806E1"/>
    <w:rsid w:val="00683A0D"/>
    <w:rsid w:val="006B1234"/>
    <w:rsid w:val="006B685C"/>
    <w:rsid w:val="006C3F03"/>
    <w:rsid w:val="006D0420"/>
    <w:rsid w:val="00705B24"/>
    <w:rsid w:val="0071525F"/>
    <w:rsid w:val="0073659E"/>
    <w:rsid w:val="00766A22"/>
    <w:rsid w:val="00767840"/>
    <w:rsid w:val="00777B6D"/>
    <w:rsid w:val="00791490"/>
    <w:rsid w:val="007A6615"/>
    <w:rsid w:val="007B2993"/>
    <w:rsid w:val="007C6C27"/>
    <w:rsid w:val="007D4697"/>
    <w:rsid w:val="007D5745"/>
    <w:rsid w:val="007D5765"/>
    <w:rsid w:val="007F372F"/>
    <w:rsid w:val="00800FED"/>
    <w:rsid w:val="008101C1"/>
    <w:rsid w:val="00814A27"/>
    <w:rsid w:val="00820EB1"/>
    <w:rsid w:val="00823B7E"/>
    <w:rsid w:val="00842D39"/>
    <w:rsid w:val="008531B8"/>
    <w:rsid w:val="00856C97"/>
    <w:rsid w:val="00891542"/>
    <w:rsid w:val="008932D7"/>
    <w:rsid w:val="008B507C"/>
    <w:rsid w:val="008C3174"/>
    <w:rsid w:val="008D09F7"/>
    <w:rsid w:val="008E5EF5"/>
    <w:rsid w:val="008F76B2"/>
    <w:rsid w:val="00913372"/>
    <w:rsid w:val="009222DF"/>
    <w:rsid w:val="00933374"/>
    <w:rsid w:val="00942A99"/>
    <w:rsid w:val="00971BD6"/>
    <w:rsid w:val="009756F6"/>
    <w:rsid w:val="00995C68"/>
    <w:rsid w:val="009B70A2"/>
    <w:rsid w:val="009C4F06"/>
    <w:rsid w:val="009C6446"/>
    <w:rsid w:val="009E2811"/>
    <w:rsid w:val="00A16B4A"/>
    <w:rsid w:val="00A354DE"/>
    <w:rsid w:val="00A4029D"/>
    <w:rsid w:val="00A44ABC"/>
    <w:rsid w:val="00A5312B"/>
    <w:rsid w:val="00A839C4"/>
    <w:rsid w:val="00A85C4A"/>
    <w:rsid w:val="00AA5F75"/>
    <w:rsid w:val="00AB5452"/>
    <w:rsid w:val="00AE6D87"/>
    <w:rsid w:val="00AF3EDF"/>
    <w:rsid w:val="00AF4BB0"/>
    <w:rsid w:val="00B00E63"/>
    <w:rsid w:val="00B030EA"/>
    <w:rsid w:val="00B033B5"/>
    <w:rsid w:val="00B03C4B"/>
    <w:rsid w:val="00B100FB"/>
    <w:rsid w:val="00B17B67"/>
    <w:rsid w:val="00B32369"/>
    <w:rsid w:val="00B36D3E"/>
    <w:rsid w:val="00B50640"/>
    <w:rsid w:val="00B56C08"/>
    <w:rsid w:val="00B637A1"/>
    <w:rsid w:val="00B64658"/>
    <w:rsid w:val="00B64E07"/>
    <w:rsid w:val="00B672EB"/>
    <w:rsid w:val="00B742A9"/>
    <w:rsid w:val="00B808F8"/>
    <w:rsid w:val="00B818B5"/>
    <w:rsid w:val="00B976E0"/>
    <w:rsid w:val="00BE2AF9"/>
    <w:rsid w:val="00C22954"/>
    <w:rsid w:val="00C32040"/>
    <w:rsid w:val="00C355A8"/>
    <w:rsid w:val="00C64AA4"/>
    <w:rsid w:val="00C75D8C"/>
    <w:rsid w:val="00C92FE6"/>
    <w:rsid w:val="00C95875"/>
    <w:rsid w:val="00CA0FFE"/>
    <w:rsid w:val="00CA395D"/>
    <w:rsid w:val="00CB7385"/>
    <w:rsid w:val="00CB7431"/>
    <w:rsid w:val="00CF6529"/>
    <w:rsid w:val="00D116D4"/>
    <w:rsid w:val="00D132E3"/>
    <w:rsid w:val="00D16151"/>
    <w:rsid w:val="00D22AF3"/>
    <w:rsid w:val="00D42878"/>
    <w:rsid w:val="00D4450C"/>
    <w:rsid w:val="00D8640E"/>
    <w:rsid w:val="00D935AE"/>
    <w:rsid w:val="00D96A9E"/>
    <w:rsid w:val="00DA521E"/>
    <w:rsid w:val="00DB2B20"/>
    <w:rsid w:val="00DD386E"/>
    <w:rsid w:val="00DF7A93"/>
    <w:rsid w:val="00E153CF"/>
    <w:rsid w:val="00E26C13"/>
    <w:rsid w:val="00E37E31"/>
    <w:rsid w:val="00E6316B"/>
    <w:rsid w:val="00E65FF3"/>
    <w:rsid w:val="00E72601"/>
    <w:rsid w:val="00E7553F"/>
    <w:rsid w:val="00E758CF"/>
    <w:rsid w:val="00E91979"/>
    <w:rsid w:val="00EC3599"/>
    <w:rsid w:val="00ED1A37"/>
    <w:rsid w:val="00EE7E94"/>
    <w:rsid w:val="00F4131E"/>
    <w:rsid w:val="00F427BD"/>
    <w:rsid w:val="00F50E74"/>
    <w:rsid w:val="00F57765"/>
    <w:rsid w:val="00F60762"/>
    <w:rsid w:val="00F617D2"/>
    <w:rsid w:val="00F80D5E"/>
    <w:rsid w:val="00F8325C"/>
    <w:rsid w:val="00F92198"/>
    <w:rsid w:val="00F9539B"/>
    <w:rsid w:val="00FA2E2C"/>
    <w:rsid w:val="00FA6A08"/>
    <w:rsid w:val="00FA7022"/>
    <w:rsid w:val="00FC173E"/>
    <w:rsid w:val="00FC2AD9"/>
    <w:rsid w:val="00FF2B90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BAD"/>
  <w15:chartTrackingRefBased/>
  <w15:docId w15:val="{75801B36-2CD2-1A45-9A26-19A782A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8E9E1-E163-594B-8C69-D0DAF387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ARROYO ALVAREZ</dc:creator>
  <cp:keywords/>
  <dc:description/>
  <cp:lastModifiedBy>ERICK QUIROS  GUTIERREZ</cp:lastModifiedBy>
  <cp:revision>4</cp:revision>
  <dcterms:created xsi:type="dcterms:W3CDTF">2024-08-20T22:36:00Z</dcterms:created>
  <dcterms:modified xsi:type="dcterms:W3CDTF">2024-08-30T18:32:00Z</dcterms:modified>
</cp:coreProperties>
</file>