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C10C2" w14:textId="0CF2D542" w:rsidR="00653CBB" w:rsidRPr="00EA00F1" w:rsidRDefault="00324720" w:rsidP="00B36B1D">
      <w:pPr>
        <w:spacing w:after="0"/>
        <w:jc w:val="center"/>
        <w:rPr>
          <w:b/>
          <w:szCs w:val="24"/>
          <w:lang w:val="es-CR"/>
        </w:rPr>
      </w:pPr>
      <w:bookmarkStart w:id="0" w:name="_Hlk15846481"/>
      <w:bookmarkStart w:id="1" w:name="_Hlk23086723"/>
      <w:r w:rsidRPr="00EA00F1">
        <w:rPr>
          <w:b/>
          <w:szCs w:val="24"/>
          <w:lang w:val="es-CR"/>
        </w:rPr>
        <w:t xml:space="preserve">Evaluación de la calidad del servicio de abastecimiento de agua potable </w:t>
      </w:r>
      <w:r w:rsidR="001A480D" w:rsidRPr="00EA00F1">
        <w:rPr>
          <w:b/>
          <w:szCs w:val="24"/>
          <w:lang w:val="es-CR"/>
        </w:rPr>
        <w:t>a partir de la percepción de</w:t>
      </w:r>
      <w:r w:rsidR="002C6FD8" w:rsidRPr="00EA00F1">
        <w:rPr>
          <w:b/>
          <w:szCs w:val="24"/>
          <w:lang w:val="es-CR"/>
        </w:rPr>
        <w:t xml:space="preserve"> </w:t>
      </w:r>
      <w:r w:rsidR="001A480D" w:rsidRPr="00EA00F1">
        <w:rPr>
          <w:b/>
          <w:szCs w:val="24"/>
          <w:lang w:val="es-CR"/>
        </w:rPr>
        <w:t xml:space="preserve">personas usuarias: </w:t>
      </w:r>
      <w:r w:rsidR="00194DD8">
        <w:rPr>
          <w:b/>
          <w:szCs w:val="24"/>
          <w:lang w:val="es-CR"/>
        </w:rPr>
        <w:t>E</w:t>
      </w:r>
      <w:r w:rsidR="001A480D" w:rsidRPr="00EA00F1">
        <w:rPr>
          <w:b/>
          <w:szCs w:val="24"/>
          <w:lang w:val="es-CR"/>
        </w:rPr>
        <w:t xml:space="preserve">l caso </w:t>
      </w:r>
      <w:r w:rsidR="00002C32" w:rsidRPr="00EA00F1">
        <w:rPr>
          <w:b/>
          <w:szCs w:val="24"/>
          <w:lang w:val="es-CR"/>
        </w:rPr>
        <w:t xml:space="preserve">en </w:t>
      </w:r>
      <w:r w:rsidRPr="00EA00F1">
        <w:rPr>
          <w:b/>
          <w:szCs w:val="24"/>
          <w:lang w:val="es-CR"/>
        </w:rPr>
        <w:t>Cartago</w:t>
      </w:r>
      <w:r w:rsidR="00002C32" w:rsidRPr="00EA00F1">
        <w:rPr>
          <w:b/>
          <w:szCs w:val="24"/>
          <w:lang w:val="es-CR"/>
        </w:rPr>
        <w:t xml:space="preserve">, </w:t>
      </w:r>
      <w:r w:rsidR="00187A29" w:rsidRPr="00EA00F1">
        <w:rPr>
          <w:b/>
          <w:szCs w:val="24"/>
          <w:lang w:val="es-CR"/>
        </w:rPr>
        <w:t>Costa Rica</w:t>
      </w:r>
      <w:bookmarkEnd w:id="0"/>
    </w:p>
    <w:p w14:paraId="333E9401" w14:textId="77777777" w:rsidR="00B15A75" w:rsidRPr="00B15A75" w:rsidRDefault="00B15A75" w:rsidP="00B36B1D">
      <w:pPr>
        <w:spacing w:after="0"/>
        <w:jc w:val="center"/>
        <w:rPr>
          <w:b/>
          <w:szCs w:val="24"/>
        </w:rPr>
      </w:pPr>
    </w:p>
    <w:bookmarkEnd w:id="1"/>
    <w:p w14:paraId="4F8AD5C5" w14:textId="01441202" w:rsidR="002A4BFD" w:rsidRPr="00B15A75" w:rsidRDefault="002A4BFD" w:rsidP="00B36B1D">
      <w:pPr>
        <w:spacing w:after="0"/>
        <w:jc w:val="center"/>
        <w:rPr>
          <w:b/>
          <w:szCs w:val="24"/>
          <w:lang w:val="en-US"/>
        </w:rPr>
      </w:pPr>
      <w:r w:rsidRPr="00B15A75">
        <w:rPr>
          <w:b/>
          <w:szCs w:val="24"/>
          <w:lang w:val="en-US"/>
        </w:rPr>
        <w:t>Assessment</w:t>
      </w:r>
      <w:r w:rsidR="004A6073" w:rsidRPr="00B15A75">
        <w:rPr>
          <w:b/>
          <w:szCs w:val="24"/>
          <w:lang w:val="en-US"/>
        </w:rPr>
        <w:t xml:space="preserve"> of the </w:t>
      </w:r>
      <w:r w:rsidR="00002C32" w:rsidRPr="00B15A75">
        <w:rPr>
          <w:b/>
          <w:szCs w:val="24"/>
          <w:lang w:val="en-US"/>
        </w:rPr>
        <w:t xml:space="preserve">Drinking Water Delivery Service Based </w:t>
      </w:r>
      <w:r w:rsidR="001A480D" w:rsidRPr="00B15A75">
        <w:rPr>
          <w:b/>
          <w:szCs w:val="24"/>
          <w:lang w:val="en-US"/>
        </w:rPr>
        <w:t xml:space="preserve">on </w:t>
      </w:r>
      <w:r w:rsidR="00002C32" w:rsidRPr="00B15A75">
        <w:rPr>
          <w:b/>
          <w:szCs w:val="24"/>
          <w:lang w:val="en-US"/>
        </w:rPr>
        <w:t>User</w:t>
      </w:r>
      <w:r w:rsidR="00002C32">
        <w:rPr>
          <w:b/>
          <w:szCs w:val="24"/>
          <w:lang w:val="en-US"/>
        </w:rPr>
        <w:t>s</w:t>
      </w:r>
      <w:r w:rsidR="00002C32" w:rsidRPr="00B15A75">
        <w:rPr>
          <w:b/>
          <w:szCs w:val="24"/>
          <w:lang w:val="en-US"/>
        </w:rPr>
        <w:t>’ Perception</w:t>
      </w:r>
      <w:r w:rsidR="00002C32">
        <w:rPr>
          <w:b/>
          <w:szCs w:val="24"/>
          <w:lang w:val="en-US"/>
        </w:rPr>
        <w:t>s</w:t>
      </w:r>
      <w:r w:rsidR="001A480D" w:rsidRPr="00B15A75">
        <w:rPr>
          <w:b/>
          <w:szCs w:val="24"/>
          <w:lang w:val="en-US"/>
        </w:rPr>
        <w:t xml:space="preserve">: </w:t>
      </w:r>
      <w:r w:rsidR="00002C32">
        <w:rPr>
          <w:b/>
          <w:szCs w:val="24"/>
          <w:lang w:val="en-US"/>
        </w:rPr>
        <w:t>The</w:t>
      </w:r>
      <w:r w:rsidR="001A480D" w:rsidRPr="00B15A75">
        <w:rPr>
          <w:b/>
          <w:szCs w:val="24"/>
          <w:lang w:val="en-US"/>
        </w:rPr>
        <w:t xml:space="preserve"> </w:t>
      </w:r>
      <w:r w:rsidR="00002C32" w:rsidRPr="00B15A75">
        <w:rPr>
          <w:b/>
          <w:szCs w:val="24"/>
          <w:lang w:val="en-US"/>
        </w:rPr>
        <w:t xml:space="preserve">Case </w:t>
      </w:r>
      <w:r w:rsidR="00002C32">
        <w:rPr>
          <w:b/>
          <w:szCs w:val="24"/>
          <w:lang w:val="en-US"/>
        </w:rPr>
        <w:t xml:space="preserve">in </w:t>
      </w:r>
      <w:r w:rsidRPr="00B15A75">
        <w:rPr>
          <w:b/>
          <w:szCs w:val="24"/>
          <w:lang w:val="en-US"/>
        </w:rPr>
        <w:t>Cartago</w:t>
      </w:r>
      <w:r w:rsidR="00002C32">
        <w:rPr>
          <w:b/>
          <w:szCs w:val="24"/>
          <w:lang w:val="en-US"/>
        </w:rPr>
        <w:t xml:space="preserve">, </w:t>
      </w:r>
      <w:r w:rsidR="00187A29" w:rsidRPr="00B15A75">
        <w:rPr>
          <w:b/>
          <w:szCs w:val="24"/>
          <w:lang w:val="en-US"/>
        </w:rPr>
        <w:t xml:space="preserve">Costa Rica </w:t>
      </w:r>
    </w:p>
    <w:p w14:paraId="6B6B035E" w14:textId="77777777" w:rsidR="00B15A75" w:rsidRDefault="00B15A75" w:rsidP="00B36B1D">
      <w:pPr>
        <w:spacing w:after="0"/>
        <w:jc w:val="center"/>
        <w:rPr>
          <w:b/>
          <w:bCs/>
          <w:lang w:val="pt-BR"/>
        </w:rPr>
      </w:pPr>
    </w:p>
    <w:p w14:paraId="0434986B" w14:textId="4AF67172" w:rsidR="00005523" w:rsidRPr="00B15A75" w:rsidRDefault="47840DA5" w:rsidP="00B36B1D">
      <w:pPr>
        <w:spacing w:after="0"/>
        <w:jc w:val="center"/>
        <w:rPr>
          <w:b/>
          <w:bCs/>
        </w:rPr>
      </w:pPr>
      <w:proofErr w:type="spellStart"/>
      <w:r w:rsidRPr="00B15A75">
        <w:rPr>
          <w:b/>
          <w:bCs/>
          <w:lang w:val="pt-BR"/>
        </w:rPr>
        <w:t>Nidia</w:t>
      </w:r>
      <w:proofErr w:type="spellEnd"/>
      <w:r w:rsidRPr="00B15A75">
        <w:rPr>
          <w:b/>
          <w:bCs/>
          <w:lang w:val="pt-BR"/>
        </w:rPr>
        <w:t xml:space="preserve"> Cruz </w:t>
      </w:r>
      <w:proofErr w:type="spellStart"/>
      <w:r w:rsidRPr="00B15A75">
        <w:rPr>
          <w:b/>
          <w:bCs/>
          <w:lang w:val="pt-BR"/>
        </w:rPr>
        <w:t>Zúñiga</w:t>
      </w:r>
      <w:proofErr w:type="spellEnd"/>
      <w:r w:rsidR="00B15A75" w:rsidRPr="00B15A75">
        <w:rPr>
          <w:rStyle w:val="Refdenotaalpie"/>
          <w:b/>
          <w:bCs/>
          <w:lang w:val="pt-BR"/>
        </w:rPr>
        <w:footnoteReference w:id="1"/>
      </w:r>
      <w:r w:rsidR="00B15A75" w:rsidRPr="00B15A75">
        <w:rPr>
          <w:b/>
          <w:bCs/>
          <w:lang w:val="pt-BR"/>
        </w:rPr>
        <w:t xml:space="preserve">, </w:t>
      </w:r>
      <w:r w:rsidRPr="00B15A75">
        <w:rPr>
          <w:b/>
          <w:bCs/>
        </w:rPr>
        <w:t>Erick Centeno Mora</w:t>
      </w:r>
      <w:r w:rsidR="00B15A75" w:rsidRPr="00B15A75">
        <w:rPr>
          <w:rStyle w:val="Refdenotaalpie"/>
          <w:b/>
          <w:bCs/>
        </w:rPr>
        <w:footnoteReference w:id="2"/>
      </w:r>
    </w:p>
    <w:p w14:paraId="7A14A4FE" w14:textId="1FEC711B" w:rsidR="00556BCF" w:rsidRDefault="00556BCF" w:rsidP="00B36B1D">
      <w:pPr>
        <w:spacing w:after="0"/>
      </w:pPr>
    </w:p>
    <w:p w14:paraId="5BC3C08C" w14:textId="2CF221CE" w:rsidR="00B15A75" w:rsidRDefault="00B15A75" w:rsidP="00B36B1D">
      <w:pPr>
        <w:spacing w:after="0"/>
        <w:contextualSpacing/>
        <w:jc w:val="center"/>
        <w:rPr>
          <w:rFonts w:eastAsia="Times New Roman" w:cs="Times New Roman"/>
          <w:sz w:val="18"/>
          <w:szCs w:val="20"/>
          <w:lang w:val="es-CR"/>
        </w:rPr>
      </w:pPr>
      <w:r w:rsidRPr="00395882">
        <w:rPr>
          <w:rFonts w:eastAsia="Times New Roman" w:cs="Times New Roman"/>
          <w:sz w:val="18"/>
          <w:szCs w:val="20"/>
          <w:lang w:val="es-CR"/>
        </w:rPr>
        <w:t>[</w:t>
      </w:r>
      <w:r w:rsidRPr="00395882">
        <w:rPr>
          <w:rFonts w:eastAsia="Times New Roman" w:cs="Times New Roman"/>
          <w:b/>
          <w:sz w:val="18"/>
          <w:szCs w:val="20"/>
          <w:lang w:val="es-CR"/>
        </w:rPr>
        <w:t>Recibido:</w:t>
      </w:r>
      <w:r w:rsidRPr="00395882">
        <w:rPr>
          <w:rFonts w:eastAsia="Times New Roman" w:cs="Times New Roman"/>
          <w:sz w:val="18"/>
          <w:szCs w:val="20"/>
          <w:lang w:val="es-CR"/>
        </w:rPr>
        <w:t xml:space="preserve"> </w:t>
      </w:r>
      <w:r>
        <w:rPr>
          <w:rFonts w:eastAsia="Times New Roman" w:cs="Times New Roman"/>
          <w:sz w:val="18"/>
          <w:szCs w:val="20"/>
          <w:lang w:val="es-CR"/>
        </w:rPr>
        <w:t>12</w:t>
      </w:r>
      <w:r w:rsidRPr="00395882">
        <w:rPr>
          <w:rFonts w:eastAsia="Times New Roman" w:cs="Times New Roman"/>
          <w:sz w:val="18"/>
          <w:szCs w:val="20"/>
          <w:lang w:val="es-CR"/>
        </w:rPr>
        <w:t xml:space="preserve"> de </w:t>
      </w:r>
      <w:r>
        <w:rPr>
          <w:rFonts w:eastAsia="Times New Roman" w:cs="Times New Roman"/>
          <w:sz w:val="18"/>
          <w:szCs w:val="20"/>
          <w:lang w:val="es-CR"/>
        </w:rPr>
        <w:t xml:space="preserve">agosto </w:t>
      </w:r>
      <w:r w:rsidRPr="00395882">
        <w:rPr>
          <w:rFonts w:eastAsia="Times New Roman" w:cs="Times New Roman"/>
          <w:sz w:val="18"/>
          <w:szCs w:val="20"/>
          <w:lang w:val="es-CR"/>
        </w:rPr>
        <w:t xml:space="preserve">2019, </w:t>
      </w:r>
      <w:r w:rsidRPr="00395882">
        <w:rPr>
          <w:rFonts w:eastAsia="Times New Roman" w:cs="Times New Roman"/>
          <w:b/>
          <w:sz w:val="18"/>
          <w:szCs w:val="20"/>
          <w:lang w:val="es-CR"/>
        </w:rPr>
        <w:t>Aceptado:</w:t>
      </w:r>
      <w:r w:rsidRPr="00395882">
        <w:rPr>
          <w:rFonts w:eastAsia="Times New Roman" w:cs="Times New Roman"/>
          <w:sz w:val="18"/>
          <w:szCs w:val="20"/>
          <w:lang w:val="es-CR"/>
        </w:rPr>
        <w:t xml:space="preserve"> </w:t>
      </w:r>
      <w:r>
        <w:rPr>
          <w:rFonts w:eastAsia="Times New Roman" w:cs="Times New Roman"/>
          <w:sz w:val="18"/>
          <w:szCs w:val="20"/>
          <w:lang w:val="es-CR"/>
        </w:rPr>
        <w:t>24</w:t>
      </w:r>
      <w:r w:rsidRPr="00395882">
        <w:rPr>
          <w:rFonts w:eastAsia="Times New Roman" w:cs="Times New Roman"/>
          <w:sz w:val="18"/>
          <w:szCs w:val="20"/>
          <w:lang w:val="es-CR"/>
        </w:rPr>
        <w:t xml:space="preserve"> de </w:t>
      </w:r>
      <w:r>
        <w:rPr>
          <w:rFonts w:eastAsia="Times New Roman" w:cs="Times New Roman"/>
          <w:sz w:val="18"/>
          <w:szCs w:val="20"/>
          <w:lang w:val="es-CR"/>
        </w:rPr>
        <w:t xml:space="preserve">octubre </w:t>
      </w:r>
      <w:r w:rsidRPr="00395882">
        <w:rPr>
          <w:rFonts w:eastAsia="Times New Roman" w:cs="Times New Roman"/>
          <w:sz w:val="18"/>
          <w:szCs w:val="20"/>
          <w:lang w:val="es-CR"/>
        </w:rPr>
        <w:t xml:space="preserve">2019, </w:t>
      </w:r>
      <w:r w:rsidRPr="00395882">
        <w:rPr>
          <w:rFonts w:eastAsia="Times New Roman" w:cs="Times New Roman"/>
          <w:b/>
          <w:sz w:val="18"/>
          <w:szCs w:val="20"/>
          <w:lang w:val="es-CR"/>
        </w:rPr>
        <w:t>Corregido:</w:t>
      </w:r>
      <w:r w:rsidRPr="00395882">
        <w:rPr>
          <w:rFonts w:eastAsia="Times New Roman" w:cs="Times New Roman"/>
          <w:sz w:val="18"/>
          <w:szCs w:val="20"/>
          <w:lang w:val="es-CR"/>
        </w:rPr>
        <w:t xml:space="preserve"> </w:t>
      </w:r>
      <w:r>
        <w:rPr>
          <w:rFonts w:eastAsia="Times New Roman" w:cs="Times New Roman"/>
          <w:sz w:val="18"/>
          <w:szCs w:val="20"/>
          <w:lang w:val="es-CR"/>
        </w:rPr>
        <w:t>31</w:t>
      </w:r>
      <w:r w:rsidRPr="00395882">
        <w:rPr>
          <w:rFonts w:eastAsia="Times New Roman" w:cs="Times New Roman"/>
          <w:sz w:val="18"/>
          <w:szCs w:val="20"/>
          <w:lang w:val="es-CR"/>
        </w:rPr>
        <w:t xml:space="preserve"> de </w:t>
      </w:r>
      <w:r>
        <w:rPr>
          <w:rFonts w:eastAsia="Times New Roman" w:cs="Times New Roman"/>
          <w:sz w:val="18"/>
          <w:szCs w:val="20"/>
          <w:lang w:val="es-CR"/>
        </w:rPr>
        <w:t xml:space="preserve">octubre </w:t>
      </w:r>
      <w:r w:rsidRPr="00395882">
        <w:rPr>
          <w:rFonts w:eastAsia="Times New Roman" w:cs="Times New Roman"/>
          <w:sz w:val="18"/>
          <w:szCs w:val="20"/>
          <w:lang w:val="es-CR"/>
        </w:rPr>
        <w:t xml:space="preserve">2019, </w:t>
      </w:r>
      <w:r w:rsidRPr="00395882">
        <w:rPr>
          <w:rFonts w:eastAsia="Times New Roman" w:cs="Times New Roman"/>
          <w:b/>
          <w:sz w:val="18"/>
          <w:szCs w:val="20"/>
          <w:lang w:val="es-CR"/>
        </w:rPr>
        <w:t>Publicado:</w:t>
      </w:r>
      <w:r w:rsidRPr="00395882">
        <w:rPr>
          <w:rFonts w:eastAsia="Times New Roman" w:cs="Times New Roman"/>
          <w:sz w:val="18"/>
          <w:szCs w:val="20"/>
          <w:lang w:val="es-CR"/>
        </w:rPr>
        <w:t xml:space="preserve"> 1 de </w:t>
      </w:r>
      <w:r>
        <w:rPr>
          <w:rFonts w:eastAsia="Times New Roman" w:cs="Times New Roman"/>
          <w:sz w:val="18"/>
          <w:szCs w:val="20"/>
          <w:lang w:val="es-CR"/>
        </w:rPr>
        <w:t xml:space="preserve">enero </w:t>
      </w:r>
      <w:r w:rsidRPr="00395882">
        <w:rPr>
          <w:rFonts w:eastAsia="Times New Roman" w:cs="Times New Roman"/>
          <w:sz w:val="18"/>
          <w:szCs w:val="20"/>
          <w:lang w:val="es-CR"/>
        </w:rPr>
        <w:t>20</w:t>
      </w:r>
      <w:r>
        <w:rPr>
          <w:rFonts w:eastAsia="Times New Roman" w:cs="Times New Roman"/>
          <w:sz w:val="18"/>
          <w:szCs w:val="20"/>
          <w:lang w:val="es-CR"/>
        </w:rPr>
        <w:t>20</w:t>
      </w:r>
      <w:r w:rsidRPr="00395882">
        <w:rPr>
          <w:rFonts w:eastAsia="Times New Roman" w:cs="Times New Roman"/>
          <w:sz w:val="18"/>
          <w:szCs w:val="20"/>
          <w:lang w:val="es-CR"/>
        </w:rPr>
        <w:t>]</w:t>
      </w:r>
    </w:p>
    <w:p w14:paraId="4CBBEA41" w14:textId="77777777" w:rsidR="00B15A75" w:rsidRPr="00B15A75" w:rsidRDefault="00B15A75" w:rsidP="00B36B1D">
      <w:pPr>
        <w:spacing w:after="0"/>
        <w:rPr>
          <w:lang w:val="es-CR"/>
        </w:rPr>
      </w:pPr>
    </w:p>
    <w:p w14:paraId="2996D4E6" w14:textId="77777777" w:rsidR="00653CBB" w:rsidRPr="00B15A75" w:rsidRDefault="00653CBB" w:rsidP="00B36B1D">
      <w:pPr>
        <w:spacing w:after="0"/>
        <w:rPr>
          <w:b/>
          <w:sz w:val="22"/>
          <w:szCs w:val="20"/>
        </w:rPr>
      </w:pPr>
      <w:r w:rsidRPr="00B15A75">
        <w:rPr>
          <w:b/>
          <w:szCs w:val="20"/>
        </w:rPr>
        <w:t>Resumen</w:t>
      </w:r>
      <w:r w:rsidRPr="00B15A75">
        <w:rPr>
          <w:b/>
          <w:sz w:val="22"/>
          <w:szCs w:val="20"/>
        </w:rPr>
        <w:t xml:space="preserve"> </w:t>
      </w:r>
    </w:p>
    <w:p w14:paraId="67F04936" w14:textId="77777777" w:rsidR="00D164A8" w:rsidRPr="00D164A8" w:rsidRDefault="00D164A8" w:rsidP="00B36B1D">
      <w:pPr>
        <w:spacing w:after="0"/>
        <w:jc w:val="both"/>
        <w:rPr>
          <w:sz w:val="22"/>
          <w:szCs w:val="18"/>
        </w:rPr>
      </w:pPr>
      <w:r w:rsidRPr="00D164A8">
        <w:rPr>
          <w:b/>
          <w:sz w:val="22"/>
          <w:szCs w:val="18"/>
        </w:rPr>
        <w:t>[Introducción]:</w:t>
      </w:r>
      <w:r w:rsidRPr="00D164A8">
        <w:rPr>
          <w:sz w:val="22"/>
          <w:szCs w:val="18"/>
        </w:rPr>
        <w:t xml:space="preserve"> En Costa Rica existe la necesidad de mejorar la calidad de la prestación del servicio de agua potable de una parte importante de la población, lo que garantiza el Derecho Humano a este recurso vital. </w:t>
      </w:r>
      <w:r w:rsidRPr="00D164A8">
        <w:rPr>
          <w:b/>
          <w:sz w:val="22"/>
          <w:szCs w:val="18"/>
        </w:rPr>
        <w:t xml:space="preserve">[Objetivo]: </w:t>
      </w:r>
      <w:r w:rsidRPr="00D164A8">
        <w:rPr>
          <w:sz w:val="22"/>
          <w:szCs w:val="18"/>
        </w:rPr>
        <w:t xml:space="preserve">Este estudio evaluó la percepción de la población de cuatro cantones de la provincia de Cartago (Alvarado, Jiménez, Oreamuno y Turrialba), en relación con el servicio público de agua potable que reciben en su comunidad. </w:t>
      </w:r>
      <w:r w:rsidRPr="00D164A8">
        <w:rPr>
          <w:b/>
          <w:sz w:val="22"/>
          <w:szCs w:val="18"/>
        </w:rPr>
        <w:t xml:space="preserve">[Metodología]: </w:t>
      </w:r>
      <w:r w:rsidRPr="00D164A8">
        <w:rPr>
          <w:sz w:val="22"/>
          <w:szCs w:val="18"/>
        </w:rPr>
        <w:t xml:space="preserve">El análisis realizado contempló tanto la ubicación geográfica de la población como el tipo prestatario del servicio, con el fin de evidenciar las similitudes y contrastes que se generan en cada caso. Por medio de encuestas, se obtuvo la opinión de 2 194 personas usuarias de los sistemas hídricos en esas localidades. </w:t>
      </w:r>
      <w:r w:rsidRPr="00D164A8">
        <w:rPr>
          <w:b/>
          <w:sz w:val="22"/>
          <w:szCs w:val="18"/>
        </w:rPr>
        <w:t xml:space="preserve">[Resultados]: </w:t>
      </w:r>
      <w:r w:rsidRPr="00D164A8">
        <w:rPr>
          <w:sz w:val="22"/>
          <w:szCs w:val="18"/>
        </w:rPr>
        <w:t xml:space="preserve">Se determinó que existen asimetrías considerables entre varios de los sistemas existentes, con algunos problemas en el nivel de continuidad del servicio y de propiedades organolépticas del líquido. El estudio permitió identificar una fuerte dependencia entre las variables de i) nivel de satisfacción de la persona usuaria, </w:t>
      </w:r>
      <w:proofErr w:type="spellStart"/>
      <w:r w:rsidRPr="00D164A8">
        <w:rPr>
          <w:sz w:val="22"/>
          <w:szCs w:val="18"/>
        </w:rPr>
        <w:t>ii</w:t>
      </w:r>
      <w:proofErr w:type="spellEnd"/>
      <w:r w:rsidRPr="00D164A8">
        <w:rPr>
          <w:sz w:val="22"/>
          <w:szCs w:val="18"/>
        </w:rPr>
        <w:t xml:space="preserve">) problemas identificados en el sistema y </w:t>
      </w:r>
      <w:proofErr w:type="spellStart"/>
      <w:r w:rsidRPr="00D164A8">
        <w:rPr>
          <w:sz w:val="22"/>
          <w:szCs w:val="18"/>
        </w:rPr>
        <w:t>iii</w:t>
      </w:r>
      <w:proofErr w:type="spellEnd"/>
      <w:r w:rsidRPr="00D164A8">
        <w:rPr>
          <w:sz w:val="22"/>
          <w:szCs w:val="18"/>
        </w:rPr>
        <w:t xml:space="preserve">) acciones que se implementan en las casas para mitigar esas falencias. </w:t>
      </w:r>
      <w:r w:rsidRPr="00D164A8">
        <w:rPr>
          <w:b/>
          <w:sz w:val="22"/>
          <w:szCs w:val="18"/>
        </w:rPr>
        <w:t>[Conclusiones]:</w:t>
      </w:r>
      <w:r w:rsidRPr="00D164A8">
        <w:rPr>
          <w:sz w:val="22"/>
          <w:szCs w:val="18"/>
        </w:rPr>
        <w:t xml:space="preserve"> La experiencia resultante de este estudio, que evalúa el servicio a través de la percepción de las personas usuarias complementa los indicadores de calidad del servicio tradicionales y presenta un elevado potencial para ser replicado en otros sistemas de Costa Rica y en otros países de América Latina y el Caribe.</w:t>
      </w:r>
    </w:p>
    <w:p w14:paraId="10E979BF" w14:textId="77777777" w:rsidR="00D164A8" w:rsidRPr="00DD6966" w:rsidRDefault="00D164A8" w:rsidP="00B36B1D">
      <w:pPr>
        <w:spacing w:after="0"/>
        <w:jc w:val="both"/>
        <w:rPr>
          <w:sz w:val="22"/>
          <w:szCs w:val="20"/>
        </w:rPr>
      </w:pPr>
    </w:p>
    <w:p w14:paraId="201B822A" w14:textId="6EF59A1D" w:rsidR="00324720" w:rsidRPr="00DD6966" w:rsidRDefault="47840DA5" w:rsidP="00B36B1D">
      <w:pPr>
        <w:spacing w:after="0"/>
        <w:jc w:val="both"/>
        <w:rPr>
          <w:rFonts w:cs="Times New Roman"/>
          <w:b/>
          <w:bCs/>
          <w:szCs w:val="24"/>
        </w:rPr>
      </w:pPr>
      <w:r w:rsidRPr="00DD6966">
        <w:rPr>
          <w:b/>
          <w:bCs/>
          <w:szCs w:val="24"/>
        </w:rPr>
        <w:t>Palabras clave:</w:t>
      </w:r>
      <w:r w:rsidRPr="00DD6966">
        <w:rPr>
          <w:szCs w:val="24"/>
        </w:rPr>
        <w:t xml:space="preserve"> </w:t>
      </w:r>
      <w:r w:rsidR="00D164A8" w:rsidRPr="00D164A8">
        <w:rPr>
          <w:szCs w:val="24"/>
        </w:rPr>
        <w:t>Acueductos; derecho humano al agua; política pública; satisfacción del usuario; servicio al cliente.</w:t>
      </w:r>
    </w:p>
    <w:p w14:paraId="34747C41" w14:textId="77777777" w:rsidR="00556BCF" w:rsidRPr="00DD6966" w:rsidRDefault="00556BCF" w:rsidP="00B36B1D">
      <w:pPr>
        <w:spacing w:after="0"/>
        <w:jc w:val="both"/>
        <w:rPr>
          <w:rFonts w:cs="Times New Roman"/>
          <w:b/>
          <w:bCs/>
          <w:szCs w:val="24"/>
        </w:rPr>
      </w:pPr>
    </w:p>
    <w:p w14:paraId="18A5ABB8" w14:textId="37F81480" w:rsidR="007F3E37" w:rsidRPr="00DD6966" w:rsidRDefault="007F3E37" w:rsidP="00B36B1D">
      <w:pPr>
        <w:spacing w:after="0"/>
        <w:rPr>
          <w:b/>
          <w:szCs w:val="20"/>
          <w:lang w:val="en-US"/>
        </w:rPr>
      </w:pPr>
      <w:r w:rsidRPr="00DD6966">
        <w:rPr>
          <w:b/>
          <w:szCs w:val="20"/>
          <w:lang w:val="en-US"/>
        </w:rPr>
        <w:t>Abstract</w:t>
      </w:r>
    </w:p>
    <w:p w14:paraId="5F0492E9" w14:textId="77777777" w:rsidR="00D164A8" w:rsidRPr="00D164A8" w:rsidRDefault="00D164A8" w:rsidP="00B36B1D">
      <w:pPr>
        <w:spacing w:after="0"/>
        <w:jc w:val="both"/>
        <w:rPr>
          <w:sz w:val="22"/>
          <w:szCs w:val="18"/>
          <w:lang w:val="en-US"/>
        </w:rPr>
      </w:pPr>
      <w:r w:rsidRPr="00D164A8">
        <w:rPr>
          <w:b/>
          <w:sz w:val="22"/>
          <w:szCs w:val="18"/>
          <w:lang w:val="en-US"/>
        </w:rPr>
        <w:t xml:space="preserve">[Introduction]: </w:t>
      </w:r>
      <w:r w:rsidRPr="00D164A8">
        <w:rPr>
          <w:sz w:val="22"/>
          <w:szCs w:val="18"/>
          <w:lang w:val="en-US"/>
        </w:rPr>
        <w:t xml:space="preserve">In Costa Rica there is a need of improving the drinking water delivery service of an important part of the population, aiming to satisfy the Human Right this vital resource. </w:t>
      </w:r>
      <w:r w:rsidRPr="00D164A8">
        <w:rPr>
          <w:b/>
          <w:sz w:val="22"/>
          <w:szCs w:val="18"/>
          <w:lang w:val="en-US"/>
        </w:rPr>
        <w:t xml:space="preserve">[Objective]: </w:t>
      </w:r>
      <w:r w:rsidRPr="00D164A8">
        <w:rPr>
          <w:sz w:val="22"/>
          <w:szCs w:val="18"/>
          <w:lang w:val="en-US"/>
        </w:rPr>
        <w:t xml:space="preserve">This study evaluated the perception of the population of four cities of the province of Cartago (Alvarado, Jiménez, Oreamuno and Turrialba), in relation to the public drinking water service they receive in their communities. </w:t>
      </w:r>
      <w:r w:rsidRPr="00D164A8">
        <w:rPr>
          <w:b/>
          <w:sz w:val="22"/>
          <w:szCs w:val="18"/>
          <w:lang w:val="en-US"/>
        </w:rPr>
        <w:t xml:space="preserve">[Methodology]: </w:t>
      </w:r>
      <w:r w:rsidRPr="00D164A8">
        <w:rPr>
          <w:sz w:val="22"/>
          <w:szCs w:val="18"/>
          <w:lang w:val="en-US"/>
        </w:rPr>
        <w:t xml:space="preserve">The analysis considered both the geographic location of the population and the type of service provider, in order to show the similarities and contrasts existent in each case. Through surveys, the opinion of 2 194 users of the drinking water systems of these localities was collected. </w:t>
      </w:r>
      <w:r w:rsidRPr="00D164A8">
        <w:rPr>
          <w:b/>
          <w:sz w:val="22"/>
          <w:szCs w:val="18"/>
          <w:lang w:val="en-US"/>
        </w:rPr>
        <w:t xml:space="preserve">[Results]: </w:t>
      </w:r>
      <w:r w:rsidRPr="00D164A8">
        <w:rPr>
          <w:sz w:val="22"/>
          <w:szCs w:val="18"/>
          <w:lang w:val="en-US"/>
        </w:rPr>
        <w:t xml:space="preserve">It was found that there are considerable asymmetries between many of the existing systems, with some problems at the level of service continuity and organoleptic properties of the liquid. The study identified of a strong dependence between the variables of </w:t>
      </w:r>
      <w:proofErr w:type="spellStart"/>
      <w:r w:rsidRPr="00D164A8">
        <w:rPr>
          <w:sz w:val="22"/>
          <w:szCs w:val="18"/>
          <w:lang w:val="en-US"/>
        </w:rPr>
        <w:t>i</w:t>
      </w:r>
      <w:proofErr w:type="spellEnd"/>
      <w:r w:rsidRPr="00D164A8">
        <w:rPr>
          <w:sz w:val="22"/>
          <w:szCs w:val="18"/>
          <w:lang w:val="en-US"/>
        </w:rPr>
        <w:t xml:space="preserve">) level of user satisfaction, ii) problems identified in the system and iii) actions implemented by users to mitigate these shortcomings. </w:t>
      </w:r>
      <w:r w:rsidRPr="00D164A8">
        <w:rPr>
          <w:b/>
          <w:sz w:val="22"/>
          <w:szCs w:val="18"/>
          <w:lang w:val="en-US"/>
        </w:rPr>
        <w:t xml:space="preserve">[Conclusions]: </w:t>
      </w:r>
      <w:r w:rsidRPr="00D164A8">
        <w:rPr>
          <w:sz w:val="22"/>
          <w:szCs w:val="18"/>
          <w:lang w:val="en-US"/>
        </w:rPr>
        <w:t>The experience resulting from this study of evaluating the water-delivery service in a community through the perception of its users complements the traditional service indicators and has a high potential to be replicated in other communities of Costa Rica and other countries of Latin America and the Caribbean.</w:t>
      </w:r>
    </w:p>
    <w:p w14:paraId="4D84DE5E" w14:textId="77777777" w:rsidR="00D164A8" w:rsidRPr="00DD6966" w:rsidRDefault="00D164A8" w:rsidP="00B36B1D">
      <w:pPr>
        <w:spacing w:after="0"/>
        <w:jc w:val="both"/>
        <w:rPr>
          <w:szCs w:val="20"/>
          <w:lang w:val="en-US"/>
        </w:rPr>
      </w:pPr>
    </w:p>
    <w:p w14:paraId="7D53A14C" w14:textId="77777777" w:rsidR="00D164A8" w:rsidRPr="00DD6966" w:rsidRDefault="00D164A8" w:rsidP="00B36B1D">
      <w:pPr>
        <w:spacing w:after="0"/>
        <w:jc w:val="both"/>
        <w:rPr>
          <w:szCs w:val="24"/>
          <w:lang w:val="en-US"/>
        </w:rPr>
      </w:pPr>
      <w:r w:rsidRPr="00DD6966">
        <w:rPr>
          <w:b/>
          <w:szCs w:val="24"/>
          <w:lang w:val="en-US"/>
        </w:rPr>
        <w:lastRenderedPageBreak/>
        <w:t xml:space="preserve">Keywords:  </w:t>
      </w:r>
      <w:r w:rsidRPr="00DD6966">
        <w:rPr>
          <w:szCs w:val="24"/>
          <w:lang w:val="en-US"/>
        </w:rPr>
        <w:t>Aqueducts</w:t>
      </w:r>
      <w:r>
        <w:rPr>
          <w:szCs w:val="24"/>
          <w:lang w:val="en-US"/>
        </w:rPr>
        <w:t>;</w:t>
      </w:r>
      <w:r w:rsidRPr="00DD6966">
        <w:rPr>
          <w:szCs w:val="24"/>
          <w:lang w:val="en-US"/>
        </w:rPr>
        <w:t xml:space="preserve"> </w:t>
      </w:r>
      <w:r>
        <w:rPr>
          <w:szCs w:val="24"/>
          <w:lang w:val="en-US"/>
        </w:rPr>
        <w:t>d</w:t>
      </w:r>
      <w:r w:rsidRPr="00DD6966">
        <w:rPr>
          <w:szCs w:val="24"/>
          <w:lang w:val="en-US"/>
        </w:rPr>
        <w:t xml:space="preserve">rinking water service; </w:t>
      </w:r>
      <w:r>
        <w:rPr>
          <w:szCs w:val="24"/>
          <w:lang w:val="en-US"/>
        </w:rPr>
        <w:t>h</w:t>
      </w:r>
      <w:r w:rsidRPr="00DD6966">
        <w:rPr>
          <w:szCs w:val="24"/>
          <w:lang w:val="en-US"/>
        </w:rPr>
        <w:t>uman right to water</w:t>
      </w:r>
      <w:r>
        <w:rPr>
          <w:szCs w:val="24"/>
          <w:lang w:val="en-US"/>
        </w:rPr>
        <w:t>; p</w:t>
      </w:r>
      <w:r w:rsidRPr="00DD6966">
        <w:rPr>
          <w:szCs w:val="24"/>
          <w:lang w:val="en-US"/>
        </w:rPr>
        <w:t>ublic policy</w:t>
      </w:r>
      <w:r>
        <w:rPr>
          <w:szCs w:val="24"/>
          <w:lang w:val="en-US"/>
        </w:rPr>
        <w:t>;</w:t>
      </w:r>
      <w:r w:rsidRPr="00DD6966">
        <w:rPr>
          <w:szCs w:val="24"/>
          <w:lang w:val="en-US"/>
        </w:rPr>
        <w:t xml:space="preserve"> </w:t>
      </w:r>
      <w:r>
        <w:rPr>
          <w:szCs w:val="24"/>
          <w:lang w:val="en-US"/>
        </w:rPr>
        <w:t>u</w:t>
      </w:r>
      <w:r w:rsidRPr="00DD6966">
        <w:rPr>
          <w:szCs w:val="24"/>
          <w:lang w:val="en-US"/>
        </w:rPr>
        <w:t>ser satisfaction</w:t>
      </w:r>
      <w:r>
        <w:rPr>
          <w:szCs w:val="24"/>
          <w:lang w:val="en-US"/>
        </w:rPr>
        <w:t>.</w:t>
      </w:r>
    </w:p>
    <w:p w14:paraId="39738661" w14:textId="77777777" w:rsidR="00D017FD" w:rsidRPr="008C5679" w:rsidRDefault="00D017FD" w:rsidP="00B36B1D">
      <w:pPr>
        <w:spacing w:after="0"/>
        <w:jc w:val="both"/>
        <w:rPr>
          <w:b/>
          <w:sz w:val="28"/>
          <w:lang w:val="en-US"/>
        </w:rPr>
      </w:pPr>
    </w:p>
    <w:p w14:paraId="185A7A0C" w14:textId="77777777" w:rsidR="00DF3728" w:rsidRDefault="47840DA5" w:rsidP="00B36B1D">
      <w:pPr>
        <w:pStyle w:val="Prrafodelista"/>
        <w:numPr>
          <w:ilvl w:val="0"/>
          <w:numId w:val="4"/>
        </w:numPr>
        <w:spacing w:after="0"/>
        <w:ind w:left="426" w:hanging="426"/>
        <w:rPr>
          <w:b/>
          <w:bCs/>
          <w:szCs w:val="24"/>
        </w:rPr>
      </w:pPr>
      <w:r w:rsidRPr="00DD6966">
        <w:rPr>
          <w:b/>
          <w:bCs/>
          <w:szCs w:val="24"/>
        </w:rPr>
        <w:t>Introducción</w:t>
      </w:r>
    </w:p>
    <w:p w14:paraId="687987D7" w14:textId="0B74BBEF" w:rsidR="00653CBB" w:rsidRPr="00DD6966" w:rsidRDefault="47840DA5" w:rsidP="00B36B1D">
      <w:pPr>
        <w:pStyle w:val="Prrafodelista"/>
        <w:spacing w:after="0"/>
        <w:ind w:left="426"/>
        <w:rPr>
          <w:b/>
          <w:bCs/>
          <w:szCs w:val="24"/>
        </w:rPr>
      </w:pPr>
      <w:r w:rsidRPr="00DD6966">
        <w:rPr>
          <w:b/>
          <w:bCs/>
          <w:szCs w:val="24"/>
        </w:rPr>
        <w:t xml:space="preserve"> </w:t>
      </w:r>
    </w:p>
    <w:p w14:paraId="79CFF216" w14:textId="11BEC2DB" w:rsidR="47840DA5" w:rsidRPr="00DD6966" w:rsidRDefault="47840DA5" w:rsidP="00B36B1D">
      <w:pPr>
        <w:spacing w:after="0"/>
        <w:jc w:val="both"/>
        <w:rPr>
          <w:szCs w:val="24"/>
        </w:rPr>
      </w:pPr>
      <w:r w:rsidRPr="00DD6966">
        <w:rPr>
          <w:szCs w:val="24"/>
        </w:rPr>
        <w:t xml:space="preserve">La potabilidad del agua </w:t>
      </w:r>
      <w:r w:rsidR="006F77F6" w:rsidRPr="00DD6966">
        <w:rPr>
          <w:szCs w:val="24"/>
        </w:rPr>
        <w:t>es</w:t>
      </w:r>
      <w:r w:rsidRPr="00DD6966">
        <w:rPr>
          <w:szCs w:val="24"/>
        </w:rPr>
        <w:t xml:space="preserve"> un hito importante en el desarrollo de </w:t>
      </w:r>
      <w:r w:rsidR="002F137C" w:rsidRPr="00DD6966">
        <w:rPr>
          <w:szCs w:val="24"/>
        </w:rPr>
        <w:t xml:space="preserve">la </w:t>
      </w:r>
      <w:r w:rsidRPr="00DD6966">
        <w:rPr>
          <w:szCs w:val="24"/>
        </w:rPr>
        <w:t>humanidad</w:t>
      </w:r>
      <w:r w:rsidR="002F137C" w:rsidRPr="00DD6966">
        <w:rPr>
          <w:szCs w:val="24"/>
        </w:rPr>
        <w:t>,</w:t>
      </w:r>
      <w:r w:rsidRPr="00DD6966">
        <w:rPr>
          <w:szCs w:val="24"/>
        </w:rPr>
        <w:t xml:space="preserve"> ya que ha permitido aumentar la esperanza de vida y controlar gran cantidad de enfermedades de transmisión hídrica. Si bien se conocen las técnicas de potabilización desde hace muchos años, </w:t>
      </w:r>
      <w:r w:rsidR="006F77F6" w:rsidRPr="00DD6966">
        <w:rPr>
          <w:szCs w:val="24"/>
        </w:rPr>
        <w:t>la gestión de los sistemas de agua potable</w:t>
      </w:r>
      <w:r w:rsidR="0054192F" w:rsidRPr="00DD6966">
        <w:rPr>
          <w:szCs w:val="24"/>
        </w:rPr>
        <w:t xml:space="preserve"> en Costa Rica</w:t>
      </w:r>
      <w:r w:rsidRPr="00DD6966">
        <w:rPr>
          <w:szCs w:val="24"/>
        </w:rPr>
        <w:t xml:space="preserve"> todavía </w:t>
      </w:r>
      <w:r w:rsidR="0054192F" w:rsidRPr="00DD6966">
        <w:rPr>
          <w:szCs w:val="24"/>
        </w:rPr>
        <w:t>presenta</w:t>
      </w:r>
      <w:r w:rsidRPr="00DD6966">
        <w:rPr>
          <w:szCs w:val="24"/>
        </w:rPr>
        <w:t xml:space="preserve"> falencias</w:t>
      </w:r>
      <w:r w:rsidR="0054192F" w:rsidRPr="00DD6966">
        <w:rPr>
          <w:szCs w:val="24"/>
        </w:rPr>
        <w:t xml:space="preserve"> diversas</w:t>
      </w:r>
      <w:r w:rsidRPr="00DD6966">
        <w:rPr>
          <w:szCs w:val="24"/>
        </w:rPr>
        <w:t xml:space="preserve">. </w:t>
      </w:r>
      <w:r w:rsidR="00204EB0" w:rsidRPr="00DD6966">
        <w:rPr>
          <w:szCs w:val="24"/>
        </w:rPr>
        <w:t xml:space="preserve">El fin del presente artículo </w:t>
      </w:r>
      <w:r w:rsidR="00D017FD" w:rsidRPr="00DD6966">
        <w:rPr>
          <w:szCs w:val="24"/>
        </w:rPr>
        <w:t>fue</w:t>
      </w:r>
      <w:r w:rsidRPr="00DD6966">
        <w:rPr>
          <w:szCs w:val="24"/>
        </w:rPr>
        <w:t xml:space="preserve"> identificar </w:t>
      </w:r>
      <w:r w:rsidR="00032A03" w:rsidRPr="00DD6966">
        <w:rPr>
          <w:szCs w:val="24"/>
        </w:rPr>
        <w:t>algunos de esos</w:t>
      </w:r>
      <w:r w:rsidR="008B15CB" w:rsidRPr="00DD6966">
        <w:rPr>
          <w:szCs w:val="24"/>
        </w:rPr>
        <w:t xml:space="preserve"> problemas</w:t>
      </w:r>
      <w:r w:rsidRPr="00DD6966">
        <w:rPr>
          <w:szCs w:val="24"/>
        </w:rPr>
        <w:t xml:space="preserve"> para las comunidades en estudio</w:t>
      </w:r>
      <w:r w:rsidR="00204EB0" w:rsidRPr="00DD6966">
        <w:rPr>
          <w:szCs w:val="24"/>
        </w:rPr>
        <w:t xml:space="preserve"> a través de una metodología </w:t>
      </w:r>
      <w:r w:rsidR="00032A03" w:rsidRPr="00DD6966">
        <w:rPr>
          <w:szCs w:val="24"/>
        </w:rPr>
        <w:t>centrada</w:t>
      </w:r>
      <w:r w:rsidR="00204EB0" w:rsidRPr="00DD6966">
        <w:rPr>
          <w:szCs w:val="24"/>
        </w:rPr>
        <w:t xml:space="preserve"> en la</w:t>
      </w:r>
      <w:r w:rsidR="00DC5FD3">
        <w:rPr>
          <w:szCs w:val="24"/>
        </w:rPr>
        <w:t xml:space="preserve"> población</w:t>
      </w:r>
      <w:r w:rsidR="00204EB0" w:rsidRPr="00DD6966">
        <w:rPr>
          <w:szCs w:val="24"/>
        </w:rPr>
        <w:t xml:space="preserve"> usuaria como actor clave fundamental para fiscalizar la calidad del servicio desde un punto de vista de </w:t>
      </w:r>
      <w:r w:rsidR="002C6FD8" w:rsidRPr="00DD6966">
        <w:rPr>
          <w:szCs w:val="24"/>
        </w:rPr>
        <w:t>su</w:t>
      </w:r>
      <w:r w:rsidR="00032A03" w:rsidRPr="00DD6966">
        <w:rPr>
          <w:szCs w:val="24"/>
        </w:rPr>
        <w:t xml:space="preserve"> </w:t>
      </w:r>
      <w:r w:rsidR="00204EB0" w:rsidRPr="00DD6966">
        <w:rPr>
          <w:szCs w:val="24"/>
        </w:rPr>
        <w:t>percepción</w:t>
      </w:r>
      <w:r w:rsidR="00107C7B" w:rsidRPr="00DD6966">
        <w:rPr>
          <w:szCs w:val="24"/>
        </w:rPr>
        <w:t>.</w:t>
      </w:r>
      <w:r w:rsidRPr="00DD6966">
        <w:rPr>
          <w:szCs w:val="24"/>
        </w:rPr>
        <w:t xml:space="preserve"> </w:t>
      </w:r>
    </w:p>
    <w:p w14:paraId="082D277F" w14:textId="77777777" w:rsidR="00DF3728" w:rsidRDefault="00DF3728" w:rsidP="00B36B1D">
      <w:pPr>
        <w:spacing w:after="0"/>
        <w:jc w:val="both"/>
        <w:rPr>
          <w:szCs w:val="24"/>
        </w:rPr>
      </w:pPr>
    </w:p>
    <w:p w14:paraId="2A06E003" w14:textId="5E16F65E" w:rsidR="00324720" w:rsidRPr="00DD6966" w:rsidRDefault="00204EB0" w:rsidP="00B36B1D">
      <w:pPr>
        <w:spacing w:after="0"/>
        <w:jc w:val="both"/>
        <w:rPr>
          <w:szCs w:val="24"/>
        </w:rPr>
      </w:pPr>
      <w:r w:rsidRPr="00DD6966">
        <w:rPr>
          <w:szCs w:val="24"/>
        </w:rPr>
        <w:t>Los resultados expuestos forman</w:t>
      </w:r>
      <w:r w:rsidR="47840DA5" w:rsidRPr="00DD6966">
        <w:rPr>
          <w:szCs w:val="24"/>
        </w:rPr>
        <w:t xml:space="preserve"> parte de las investigaciones realizadas con apoyo de estudiantes de Trabajo Comunal Universitario (TCU) de la Universidad de Costa Rica (UCR), y contempló un área de acción de cuatro cant</w:t>
      </w:r>
      <w:r w:rsidR="002C6FD8" w:rsidRPr="00DD6966">
        <w:rPr>
          <w:szCs w:val="24"/>
        </w:rPr>
        <w:t>ones de la provincia de Cartago</w:t>
      </w:r>
      <w:r w:rsidR="47840DA5" w:rsidRPr="00DD6966">
        <w:rPr>
          <w:szCs w:val="24"/>
        </w:rPr>
        <w:t>. El TCU se titulaba “Fortalecimiento de capacidades técnicas y ambientales de funcionarios municipales”</w:t>
      </w:r>
      <w:r w:rsidR="00F01B5C" w:rsidRPr="00DD6966">
        <w:rPr>
          <w:szCs w:val="24"/>
        </w:rPr>
        <w:t>. D</w:t>
      </w:r>
      <w:r w:rsidR="47840DA5" w:rsidRPr="00DD6966">
        <w:rPr>
          <w:szCs w:val="24"/>
        </w:rPr>
        <w:t xml:space="preserve">entro de </w:t>
      </w:r>
      <w:r w:rsidRPr="00DD6966">
        <w:rPr>
          <w:szCs w:val="24"/>
        </w:rPr>
        <w:t>los objetivos generales de la investigación</w:t>
      </w:r>
      <w:r w:rsidR="47840DA5" w:rsidRPr="00DD6966">
        <w:rPr>
          <w:szCs w:val="24"/>
        </w:rPr>
        <w:t xml:space="preserve"> se planteó la necesidad de contribuir con estudios de percepción y medición de la calidad de los servicios que se brindaban en los municipios en estudio</w:t>
      </w:r>
      <w:r w:rsidRPr="00DD6966">
        <w:rPr>
          <w:szCs w:val="24"/>
        </w:rPr>
        <w:t xml:space="preserve">; por </w:t>
      </w:r>
      <w:r w:rsidR="00107C7B" w:rsidRPr="00DD6966">
        <w:rPr>
          <w:szCs w:val="24"/>
        </w:rPr>
        <w:t>este motivo</w:t>
      </w:r>
      <w:r w:rsidR="00DC5FD3">
        <w:rPr>
          <w:szCs w:val="24"/>
        </w:rPr>
        <w:t>,</w:t>
      </w:r>
      <w:r w:rsidRPr="00DD6966">
        <w:rPr>
          <w:szCs w:val="24"/>
        </w:rPr>
        <w:t xml:space="preserve"> la dinámica metodológica se trabajó </w:t>
      </w:r>
      <w:r w:rsidR="00DC5FD3">
        <w:rPr>
          <w:szCs w:val="24"/>
        </w:rPr>
        <w:t xml:space="preserve">desde </w:t>
      </w:r>
      <w:r w:rsidRPr="00DD6966">
        <w:rPr>
          <w:szCs w:val="24"/>
        </w:rPr>
        <w:t>la lógica de la división político</w:t>
      </w:r>
      <w:r w:rsidR="00DC5FD3">
        <w:rPr>
          <w:szCs w:val="24"/>
        </w:rPr>
        <w:t>-</w:t>
      </w:r>
      <w:r w:rsidRPr="00DD6966">
        <w:rPr>
          <w:szCs w:val="24"/>
        </w:rPr>
        <w:t>administrativa de la zona</w:t>
      </w:r>
      <w:r w:rsidR="47840DA5" w:rsidRPr="00DD6966">
        <w:rPr>
          <w:szCs w:val="24"/>
        </w:rPr>
        <w:t>. Se seleccionaron varios servicios ambientales y de saneamiento</w:t>
      </w:r>
      <w:r w:rsidR="00DC5FD3">
        <w:rPr>
          <w:szCs w:val="24"/>
        </w:rPr>
        <w:t>. E</w:t>
      </w:r>
      <w:r w:rsidR="47840DA5" w:rsidRPr="00DD6966">
        <w:rPr>
          <w:szCs w:val="24"/>
        </w:rPr>
        <w:t xml:space="preserve">l presente artículo se centra en </w:t>
      </w:r>
      <w:r w:rsidR="002C6FD8" w:rsidRPr="00DD6966">
        <w:rPr>
          <w:szCs w:val="24"/>
        </w:rPr>
        <w:t>el servicio de</w:t>
      </w:r>
      <w:r w:rsidR="47840DA5" w:rsidRPr="00DD6966">
        <w:rPr>
          <w:szCs w:val="24"/>
        </w:rPr>
        <w:t xml:space="preserve"> acueductos</w:t>
      </w:r>
      <w:r w:rsidR="00DC5FD3">
        <w:rPr>
          <w:szCs w:val="24"/>
        </w:rPr>
        <w:t xml:space="preserve"> </w:t>
      </w:r>
      <w:r w:rsidR="47840DA5" w:rsidRPr="00DD6966">
        <w:rPr>
          <w:szCs w:val="24"/>
        </w:rPr>
        <w:t>administrados</w:t>
      </w:r>
      <w:r w:rsidR="00DC5FD3">
        <w:rPr>
          <w:szCs w:val="24"/>
        </w:rPr>
        <w:t>,</w:t>
      </w:r>
      <w:r w:rsidR="47840DA5" w:rsidRPr="00DD6966">
        <w:rPr>
          <w:szCs w:val="24"/>
        </w:rPr>
        <w:t xml:space="preserve"> en su mayoría</w:t>
      </w:r>
      <w:r w:rsidR="00DC5FD3">
        <w:rPr>
          <w:szCs w:val="24"/>
        </w:rPr>
        <w:t>,</w:t>
      </w:r>
      <w:r w:rsidR="47840DA5" w:rsidRPr="00DD6966">
        <w:rPr>
          <w:szCs w:val="24"/>
        </w:rPr>
        <w:t xml:space="preserve"> por las mismas municipalidades y</w:t>
      </w:r>
      <w:r w:rsidR="00DC5FD3">
        <w:rPr>
          <w:szCs w:val="24"/>
        </w:rPr>
        <w:t>,</w:t>
      </w:r>
      <w:r w:rsidR="47840DA5" w:rsidRPr="00DD6966">
        <w:rPr>
          <w:szCs w:val="24"/>
        </w:rPr>
        <w:t xml:space="preserve"> en algunos </w:t>
      </w:r>
      <w:r w:rsidR="008B15CB" w:rsidRPr="00DD6966">
        <w:rPr>
          <w:szCs w:val="24"/>
        </w:rPr>
        <w:t>sitios</w:t>
      </w:r>
      <w:r w:rsidR="00DC5FD3">
        <w:rPr>
          <w:szCs w:val="24"/>
        </w:rPr>
        <w:t>,</w:t>
      </w:r>
      <w:r w:rsidR="47840DA5" w:rsidRPr="00DD6966">
        <w:rPr>
          <w:szCs w:val="24"/>
        </w:rPr>
        <w:t xml:space="preserve"> por </w:t>
      </w:r>
      <w:r w:rsidR="002C6FD8" w:rsidRPr="00DD6966">
        <w:rPr>
          <w:szCs w:val="24"/>
        </w:rPr>
        <w:t>Asociaciones A</w:t>
      </w:r>
      <w:r w:rsidR="47840DA5" w:rsidRPr="00DD6966">
        <w:rPr>
          <w:szCs w:val="24"/>
        </w:rPr>
        <w:t xml:space="preserve">dministradoras de los Sistemas de Acueductos y Alcantarillados </w:t>
      </w:r>
      <w:r w:rsidR="00DC5FD3">
        <w:rPr>
          <w:szCs w:val="24"/>
        </w:rPr>
        <w:t>C</w:t>
      </w:r>
      <w:r w:rsidR="47840DA5" w:rsidRPr="00DD6966">
        <w:rPr>
          <w:szCs w:val="24"/>
        </w:rPr>
        <w:t>omunales (ASADA).</w:t>
      </w:r>
      <w:r w:rsidR="000E2E4C" w:rsidRPr="00DD6966">
        <w:rPr>
          <w:szCs w:val="24"/>
        </w:rPr>
        <w:t xml:space="preserve"> </w:t>
      </w:r>
      <w:r w:rsidRPr="00DD6966">
        <w:rPr>
          <w:szCs w:val="24"/>
        </w:rPr>
        <w:t>La investigación</w:t>
      </w:r>
      <w:r w:rsidR="00DC5FD3">
        <w:rPr>
          <w:szCs w:val="24"/>
        </w:rPr>
        <w:t>,</w:t>
      </w:r>
      <w:r w:rsidRPr="00DD6966">
        <w:rPr>
          <w:szCs w:val="24"/>
        </w:rPr>
        <w:t xml:space="preserve"> en su conjunto</w:t>
      </w:r>
      <w:r w:rsidR="00DC5FD3">
        <w:rPr>
          <w:szCs w:val="24"/>
        </w:rPr>
        <w:t>,</w:t>
      </w:r>
      <w:r w:rsidR="000E2E4C" w:rsidRPr="00DD6966">
        <w:rPr>
          <w:szCs w:val="24"/>
        </w:rPr>
        <w:t xml:space="preserve"> </w:t>
      </w:r>
      <w:r w:rsidR="00D017FD" w:rsidRPr="00DD6966">
        <w:rPr>
          <w:szCs w:val="24"/>
        </w:rPr>
        <w:t>brindó</w:t>
      </w:r>
      <w:r w:rsidR="000E2E4C" w:rsidRPr="00DD6966">
        <w:rPr>
          <w:szCs w:val="24"/>
        </w:rPr>
        <w:t xml:space="preserve"> apoyo a est</w:t>
      </w:r>
      <w:r w:rsidR="00E71527">
        <w:rPr>
          <w:szCs w:val="24"/>
        </w:rPr>
        <w:t>a</w:t>
      </w:r>
      <w:r w:rsidR="000E2E4C" w:rsidRPr="00DD6966">
        <w:rPr>
          <w:szCs w:val="24"/>
        </w:rPr>
        <w:t xml:space="preserve">s </w:t>
      </w:r>
      <w:r w:rsidR="00DC5FD3">
        <w:rPr>
          <w:szCs w:val="24"/>
        </w:rPr>
        <w:t xml:space="preserve">instancias </w:t>
      </w:r>
      <w:r w:rsidR="000E2E4C" w:rsidRPr="00DD6966">
        <w:rPr>
          <w:szCs w:val="24"/>
        </w:rPr>
        <w:t>operador</w:t>
      </w:r>
      <w:r w:rsidR="00DC5FD3">
        <w:rPr>
          <w:szCs w:val="24"/>
        </w:rPr>
        <w:t>a</w:t>
      </w:r>
      <w:r w:rsidR="000E2E4C" w:rsidRPr="00DD6966">
        <w:rPr>
          <w:szCs w:val="24"/>
        </w:rPr>
        <w:t xml:space="preserve">s, con el fin de generar insumos respecto </w:t>
      </w:r>
      <w:r w:rsidR="00DC5FD3">
        <w:rPr>
          <w:szCs w:val="24"/>
        </w:rPr>
        <w:t>de</w:t>
      </w:r>
      <w:r w:rsidR="000E2E4C" w:rsidRPr="00DD6966">
        <w:rPr>
          <w:szCs w:val="24"/>
        </w:rPr>
        <w:t xml:space="preserve"> la percepción del servicio que tienen l</w:t>
      </w:r>
      <w:r w:rsidR="00DC5FD3">
        <w:rPr>
          <w:szCs w:val="24"/>
        </w:rPr>
        <w:t>a</w:t>
      </w:r>
      <w:r w:rsidR="000E2E4C" w:rsidRPr="00DD6966">
        <w:rPr>
          <w:szCs w:val="24"/>
        </w:rPr>
        <w:t>s</w:t>
      </w:r>
      <w:r w:rsidR="00DC5FD3">
        <w:rPr>
          <w:szCs w:val="24"/>
        </w:rPr>
        <w:t xml:space="preserve"> personas</w:t>
      </w:r>
      <w:r w:rsidR="000E2E4C" w:rsidRPr="00DD6966">
        <w:rPr>
          <w:szCs w:val="24"/>
        </w:rPr>
        <w:t xml:space="preserve"> usuari</w:t>
      </w:r>
      <w:r w:rsidR="00DC5FD3">
        <w:rPr>
          <w:szCs w:val="24"/>
        </w:rPr>
        <w:t>a</w:t>
      </w:r>
      <w:r w:rsidR="000E2E4C" w:rsidRPr="00DD6966">
        <w:rPr>
          <w:szCs w:val="24"/>
        </w:rPr>
        <w:t xml:space="preserve">s, pues </w:t>
      </w:r>
      <w:r w:rsidR="006E76B7" w:rsidRPr="00DD6966">
        <w:rPr>
          <w:szCs w:val="24"/>
        </w:rPr>
        <w:t>en la zona se identificó que las instituciones carecían del recurso humano y</w:t>
      </w:r>
      <w:r w:rsidR="000E2E4C" w:rsidRPr="00DD6966">
        <w:rPr>
          <w:szCs w:val="24"/>
        </w:rPr>
        <w:t xml:space="preserve"> financiero para realizar estos estudios por su cuenta.</w:t>
      </w:r>
      <w:r w:rsidRPr="00DD6966">
        <w:rPr>
          <w:szCs w:val="24"/>
        </w:rPr>
        <w:t xml:space="preserve"> </w:t>
      </w:r>
    </w:p>
    <w:p w14:paraId="019726B2" w14:textId="77777777" w:rsidR="00212A13" w:rsidRPr="00DD6966" w:rsidRDefault="00212A13" w:rsidP="00B36B1D">
      <w:pPr>
        <w:spacing w:after="0"/>
        <w:jc w:val="both"/>
        <w:rPr>
          <w:szCs w:val="24"/>
        </w:rPr>
      </w:pPr>
    </w:p>
    <w:p w14:paraId="384A5B86" w14:textId="1C1485EB" w:rsidR="009807A7" w:rsidRPr="00DD6966" w:rsidRDefault="00F01B5C" w:rsidP="00B36B1D">
      <w:pPr>
        <w:spacing w:after="0"/>
        <w:jc w:val="both"/>
        <w:rPr>
          <w:szCs w:val="24"/>
        </w:rPr>
      </w:pPr>
      <w:r w:rsidRPr="00DD6966">
        <w:rPr>
          <w:szCs w:val="24"/>
        </w:rPr>
        <w:t>El objetivo</w:t>
      </w:r>
      <w:r w:rsidR="00056BE5" w:rsidRPr="00DD6966">
        <w:rPr>
          <w:szCs w:val="24"/>
        </w:rPr>
        <w:t xml:space="preserve"> específico</w:t>
      </w:r>
      <w:r w:rsidRPr="00DD6966">
        <w:rPr>
          <w:szCs w:val="24"/>
        </w:rPr>
        <w:t xml:space="preserve"> </w:t>
      </w:r>
      <w:r w:rsidR="0054192F" w:rsidRPr="00DD6966">
        <w:rPr>
          <w:szCs w:val="24"/>
        </w:rPr>
        <w:t xml:space="preserve">de este </w:t>
      </w:r>
      <w:r w:rsidR="000E2E4C" w:rsidRPr="00DD6966">
        <w:rPr>
          <w:szCs w:val="24"/>
        </w:rPr>
        <w:t>artículo</w:t>
      </w:r>
      <w:r w:rsidR="0054192F" w:rsidRPr="00DD6966">
        <w:rPr>
          <w:szCs w:val="24"/>
        </w:rPr>
        <w:t xml:space="preserve"> es </w:t>
      </w:r>
      <w:r w:rsidRPr="00DD6966">
        <w:rPr>
          <w:szCs w:val="24"/>
        </w:rPr>
        <w:t>evalua</w:t>
      </w:r>
      <w:r w:rsidR="008B15CB" w:rsidRPr="00DD6966">
        <w:rPr>
          <w:szCs w:val="24"/>
        </w:rPr>
        <w:t>r</w:t>
      </w:r>
      <w:r w:rsidR="0054192F" w:rsidRPr="00DD6966">
        <w:rPr>
          <w:szCs w:val="24"/>
        </w:rPr>
        <w:t xml:space="preserve"> </w:t>
      </w:r>
      <w:r w:rsidRPr="00DD6966">
        <w:rPr>
          <w:szCs w:val="24"/>
        </w:rPr>
        <w:t xml:space="preserve">la prestación del servicio público de abastecimiento de agua potable (acueducto) en los cantones de Alvarado, Jiménez, Oreamuno y Turrialba, de la provincia de Cartago, </w:t>
      </w:r>
      <w:bookmarkStart w:id="2" w:name="_Hlk21684102"/>
      <w:r w:rsidRPr="00DD6966">
        <w:rPr>
          <w:szCs w:val="24"/>
        </w:rPr>
        <w:t xml:space="preserve">a partir de la percepción de </w:t>
      </w:r>
      <w:r w:rsidR="006E76B7" w:rsidRPr="00DD6966">
        <w:rPr>
          <w:szCs w:val="24"/>
        </w:rPr>
        <w:t>las personas usuaria</w:t>
      </w:r>
      <w:r w:rsidRPr="00DD6966">
        <w:rPr>
          <w:szCs w:val="24"/>
        </w:rPr>
        <w:t xml:space="preserve">s </w:t>
      </w:r>
      <w:bookmarkEnd w:id="2"/>
      <w:r w:rsidRPr="00DD6966">
        <w:rPr>
          <w:szCs w:val="24"/>
        </w:rPr>
        <w:t xml:space="preserve">y </w:t>
      </w:r>
      <w:r w:rsidR="00DC5FD3">
        <w:rPr>
          <w:szCs w:val="24"/>
        </w:rPr>
        <w:t xml:space="preserve">de la </w:t>
      </w:r>
      <w:r w:rsidRPr="00DD6966">
        <w:rPr>
          <w:szCs w:val="24"/>
        </w:rPr>
        <w:t xml:space="preserve">recopilación de información en las instancias involucradas, con el fin de identificar posibles mejoras en su gestión. </w:t>
      </w:r>
      <w:r w:rsidR="00107C7B" w:rsidRPr="00DD6966">
        <w:rPr>
          <w:szCs w:val="24"/>
        </w:rPr>
        <w:t>De este modo</w:t>
      </w:r>
      <w:r w:rsidR="00DC5FD3">
        <w:rPr>
          <w:szCs w:val="24"/>
        </w:rPr>
        <w:t>,</w:t>
      </w:r>
      <w:r w:rsidR="00107C7B" w:rsidRPr="00DD6966">
        <w:rPr>
          <w:szCs w:val="24"/>
        </w:rPr>
        <w:t xml:space="preserve"> se pretende mostrar</w:t>
      </w:r>
      <w:r w:rsidR="00DC5FD3">
        <w:rPr>
          <w:szCs w:val="24"/>
        </w:rPr>
        <w:t>,</w:t>
      </w:r>
      <w:r w:rsidR="00107C7B" w:rsidRPr="00DD6966">
        <w:rPr>
          <w:szCs w:val="24"/>
        </w:rPr>
        <w:t xml:space="preserve"> a la comunidad técnica y académica</w:t>
      </w:r>
      <w:r w:rsidR="00DC5FD3">
        <w:rPr>
          <w:szCs w:val="24"/>
        </w:rPr>
        <w:t>,</w:t>
      </w:r>
      <w:r w:rsidR="00107C7B" w:rsidRPr="00DD6966">
        <w:rPr>
          <w:szCs w:val="24"/>
        </w:rPr>
        <w:t xml:space="preserve"> el potencial de replicación de este enfoque metodológico</w:t>
      </w:r>
      <w:r w:rsidR="00DC5FD3">
        <w:rPr>
          <w:szCs w:val="24"/>
        </w:rPr>
        <w:t xml:space="preserve"> en</w:t>
      </w:r>
      <w:r w:rsidR="00107C7B" w:rsidRPr="00DD6966">
        <w:rPr>
          <w:szCs w:val="24"/>
        </w:rPr>
        <w:t xml:space="preserve"> </w:t>
      </w:r>
      <w:r w:rsidR="006E76B7" w:rsidRPr="00DD6966">
        <w:rPr>
          <w:szCs w:val="24"/>
        </w:rPr>
        <w:t xml:space="preserve">otros lugares y </w:t>
      </w:r>
      <w:r w:rsidR="00107C7B" w:rsidRPr="00DD6966">
        <w:rPr>
          <w:szCs w:val="24"/>
        </w:rPr>
        <w:t>países de América Latina</w:t>
      </w:r>
      <w:r w:rsidR="00B732A4" w:rsidRPr="00DD6966">
        <w:rPr>
          <w:szCs w:val="24"/>
        </w:rPr>
        <w:t xml:space="preserve">. Poblaciones </w:t>
      </w:r>
      <w:r w:rsidR="007D5DE9" w:rsidRPr="00DD6966">
        <w:rPr>
          <w:szCs w:val="24"/>
        </w:rPr>
        <w:t xml:space="preserve">de la región </w:t>
      </w:r>
      <w:r w:rsidR="00B732A4" w:rsidRPr="00DD6966">
        <w:rPr>
          <w:szCs w:val="24"/>
        </w:rPr>
        <w:t>con condiciones socioeconómicas similares y con contextos de prestación del servicio del agua en los que existan múltiples actores involucrados pueden verse beneficiadas al colocar a</w:t>
      </w:r>
      <w:r w:rsidR="00812422" w:rsidRPr="00DD6966">
        <w:rPr>
          <w:szCs w:val="24"/>
        </w:rPr>
        <w:t xml:space="preserve"> </w:t>
      </w:r>
      <w:r w:rsidR="00B732A4" w:rsidRPr="00DD6966">
        <w:rPr>
          <w:szCs w:val="24"/>
        </w:rPr>
        <w:t>l</w:t>
      </w:r>
      <w:r w:rsidR="00812422" w:rsidRPr="00DD6966">
        <w:rPr>
          <w:szCs w:val="24"/>
        </w:rPr>
        <w:t>a persona</w:t>
      </w:r>
      <w:r w:rsidR="00B732A4" w:rsidRPr="00DD6966">
        <w:rPr>
          <w:szCs w:val="24"/>
        </w:rPr>
        <w:t xml:space="preserve"> usuari</w:t>
      </w:r>
      <w:r w:rsidR="00812422" w:rsidRPr="00DD6966">
        <w:rPr>
          <w:szCs w:val="24"/>
        </w:rPr>
        <w:t>a</w:t>
      </w:r>
      <w:r w:rsidR="00B732A4" w:rsidRPr="00DD6966">
        <w:rPr>
          <w:szCs w:val="24"/>
        </w:rPr>
        <w:t xml:space="preserve"> en el centro de la </w:t>
      </w:r>
      <w:r w:rsidR="00DE2A5B" w:rsidRPr="00DD6966">
        <w:rPr>
          <w:szCs w:val="24"/>
        </w:rPr>
        <w:t>cuestión</w:t>
      </w:r>
      <w:r w:rsidR="00B732A4" w:rsidRPr="00DD6966">
        <w:rPr>
          <w:szCs w:val="24"/>
        </w:rPr>
        <w:t xml:space="preserve">, </w:t>
      </w:r>
      <w:r w:rsidR="009C4664">
        <w:rPr>
          <w:szCs w:val="24"/>
        </w:rPr>
        <w:t xml:space="preserve">al </w:t>
      </w:r>
      <w:r w:rsidR="00B732A4" w:rsidRPr="00DD6966">
        <w:rPr>
          <w:szCs w:val="24"/>
        </w:rPr>
        <w:t>promov</w:t>
      </w:r>
      <w:r w:rsidR="009C4664">
        <w:rPr>
          <w:szCs w:val="24"/>
        </w:rPr>
        <w:t>er</w:t>
      </w:r>
      <w:r w:rsidR="00DC5FD3">
        <w:rPr>
          <w:szCs w:val="24"/>
        </w:rPr>
        <w:t>,</w:t>
      </w:r>
      <w:r w:rsidR="00B732A4" w:rsidRPr="00DD6966">
        <w:rPr>
          <w:szCs w:val="24"/>
        </w:rPr>
        <w:t xml:space="preserve"> así</w:t>
      </w:r>
      <w:r w:rsidR="00DC5FD3">
        <w:rPr>
          <w:szCs w:val="24"/>
        </w:rPr>
        <w:t>,</w:t>
      </w:r>
      <w:r w:rsidR="00B732A4" w:rsidRPr="00DD6966">
        <w:rPr>
          <w:szCs w:val="24"/>
        </w:rPr>
        <w:t xml:space="preserve"> una visión de </w:t>
      </w:r>
      <w:r w:rsidR="00DC5FD3">
        <w:rPr>
          <w:szCs w:val="24"/>
        </w:rPr>
        <w:t>d</w:t>
      </w:r>
      <w:r w:rsidR="00B732A4" w:rsidRPr="00DD6966">
        <w:rPr>
          <w:szCs w:val="24"/>
        </w:rPr>
        <w:t xml:space="preserve">erecho </w:t>
      </w:r>
      <w:r w:rsidR="00DC5FD3">
        <w:rPr>
          <w:szCs w:val="24"/>
        </w:rPr>
        <w:t>h</w:t>
      </w:r>
      <w:r w:rsidR="00B732A4" w:rsidRPr="00DD6966">
        <w:rPr>
          <w:szCs w:val="24"/>
        </w:rPr>
        <w:t xml:space="preserve">umano </w:t>
      </w:r>
      <w:r w:rsidR="00DE2A5B" w:rsidRPr="00DD6966">
        <w:rPr>
          <w:szCs w:val="24"/>
        </w:rPr>
        <w:t>de acceso al agua</w:t>
      </w:r>
      <w:r w:rsidR="005A7354" w:rsidRPr="00DD6966">
        <w:rPr>
          <w:szCs w:val="24"/>
        </w:rPr>
        <w:t xml:space="preserve"> y complementa</w:t>
      </w:r>
      <w:r w:rsidR="009C4664">
        <w:rPr>
          <w:szCs w:val="24"/>
        </w:rPr>
        <w:t>r</w:t>
      </w:r>
      <w:r w:rsidR="005A7354" w:rsidRPr="00DD6966">
        <w:rPr>
          <w:szCs w:val="24"/>
        </w:rPr>
        <w:t xml:space="preserve"> los indicadores tradicionales de calidad del servicio prestado</w:t>
      </w:r>
      <w:r w:rsidR="00B732A4" w:rsidRPr="00DD6966">
        <w:rPr>
          <w:szCs w:val="24"/>
        </w:rPr>
        <w:t>.</w:t>
      </w:r>
    </w:p>
    <w:p w14:paraId="17FA58D5" w14:textId="77777777" w:rsidR="00212A13" w:rsidRPr="00DD6966" w:rsidRDefault="00212A13" w:rsidP="00B36B1D">
      <w:pPr>
        <w:spacing w:after="0"/>
        <w:jc w:val="both"/>
        <w:rPr>
          <w:color w:val="7030A0"/>
          <w:szCs w:val="24"/>
        </w:rPr>
      </w:pPr>
    </w:p>
    <w:p w14:paraId="5D57B523" w14:textId="0989F85F" w:rsidR="00B732A4" w:rsidRPr="00DD6966" w:rsidRDefault="009807A7" w:rsidP="00B36B1D">
      <w:pPr>
        <w:spacing w:after="0"/>
        <w:jc w:val="both"/>
        <w:rPr>
          <w:szCs w:val="24"/>
        </w:rPr>
      </w:pPr>
      <w:r w:rsidRPr="00DD6966">
        <w:rPr>
          <w:szCs w:val="24"/>
        </w:rPr>
        <w:t xml:space="preserve">Aunque el análisis se centra en una agrupación de datos por cantón y distrito, </w:t>
      </w:r>
      <w:r w:rsidR="009C4664">
        <w:rPr>
          <w:szCs w:val="24"/>
        </w:rPr>
        <w:t xml:space="preserve">para enriquecer las conclusiones, </w:t>
      </w:r>
      <w:r w:rsidRPr="00DD6966">
        <w:rPr>
          <w:szCs w:val="24"/>
        </w:rPr>
        <w:t>se contempló</w:t>
      </w:r>
      <w:r w:rsidR="009C4664">
        <w:rPr>
          <w:szCs w:val="24"/>
        </w:rPr>
        <w:t>,</w:t>
      </w:r>
      <w:r w:rsidRPr="00DD6966">
        <w:rPr>
          <w:szCs w:val="24"/>
        </w:rPr>
        <w:t xml:space="preserve"> en algunos puntos clave</w:t>
      </w:r>
      <w:r w:rsidR="009C4664">
        <w:rPr>
          <w:szCs w:val="24"/>
        </w:rPr>
        <w:t xml:space="preserve"> y</w:t>
      </w:r>
      <w:r w:rsidR="009C4664" w:rsidRPr="009C4664">
        <w:rPr>
          <w:szCs w:val="24"/>
        </w:rPr>
        <w:t xml:space="preserve"> </w:t>
      </w:r>
      <w:r w:rsidR="009C4664">
        <w:rPr>
          <w:szCs w:val="24"/>
        </w:rPr>
        <w:t>según</w:t>
      </w:r>
      <w:r w:rsidR="009C4664" w:rsidRPr="00DD6966">
        <w:rPr>
          <w:szCs w:val="24"/>
        </w:rPr>
        <w:t xml:space="preserve"> la opinión de las personas,</w:t>
      </w:r>
      <w:r w:rsidRPr="00DD6966">
        <w:rPr>
          <w:szCs w:val="24"/>
        </w:rPr>
        <w:t xml:space="preserve"> la diferenciación que hace el tipo de </w:t>
      </w:r>
      <w:proofErr w:type="gramStart"/>
      <w:r w:rsidRPr="00DD6966">
        <w:rPr>
          <w:szCs w:val="24"/>
        </w:rPr>
        <w:t>operador .</w:t>
      </w:r>
      <w:proofErr w:type="gramEnd"/>
      <w:r w:rsidRPr="00DD6966">
        <w:rPr>
          <w:szCs w:val="24"/>
        </w:rPr>
        <w:t xml:space="preserve"> </w:t>
      </w:r>
    </w:p>
    <w:p w14:paraId="0E92F9F3" w14:textId="77777777" w:rsidR="00212A13" w:rsidRPr="00DD6966" w:rsidRDefault="00212A13" w:rsidP="00B36B1D">
      <w:pPr>
        <w:spacing w:after="0"/>
        <w:jc w:val="both"/>
        <w:rPr>
          <w:szCs w:val="24"/>
        </w:rPr>
      </w:pPr>
    </w:p>
    <w:p w14:paraId="10EAC7C6" w14:textId="22C113DA" w:rsidR="00324720" w:rsidRPr="00DD6966" w:rsidRDefault="00324720" w:rsidP="00B36B1D">
      <w:pPr>
        <w:pStyle w:val="Prrafodelista"/>
        <w:numPr>
          <w:ilvl w:val="0"/>
          <w:numId w:val="4"/>
        </w:numPr>
        <w:spacing w:after="0"/>
        <w:ind w:left="426" w:hanging="426"/>
        <w:rPr>
          <w:b/>
          <w:szCs w:val="24"/>
        </w:rPr>
      </w:pPr>
      <w:r w:rsidRPr="00DD6966">
        <w:rPr>
          <w:b/>
          <w:szCs w:val="24"/>
        </w:rPr>
        <w:t>Antecedentes y contexto de la investigación</w:t>
      </w:r>
    </w:p>
    <w:p w14:paraId="64234A2A" w14:textId="77777777" w:rsidR="00324720" w:rsidRPr="00DD6966" w:rsidRDefault="00324720" w:rsidP="00B36B1D">
      <w:pPr>
        <w:pStyle w:val="Prrafodelista"/>
        <w:spacing w:after="0"/>
        <w:rPr>
          <w:b/>
          <w:szCs w:val="24"/>
        </w:rPr>
      </w:pPr>
    </w:p>
    <w:p w14:paraId="3CF916C2" w14:textId="77777777" w:rsidR="00324720" w:rsidRPr="00DD6966" w:rsidRDefault="00324720" w:rsidP="00B36B1D">
      <w:pPr>
        <w:pStyle w:val="Prrafodelista"/>
        <w:numPr>
          <w:ilvl w:val="1"/>
          <w:numId w:val="4"/>
        </w:numPr>
        <w:spacing w:after="0"/>
        <w:ind w:left="426" w:hanging="426"/>
        <w:jc w:val="both"/>
        <w:rPr>
          <w:b/>
          <w:szCs w:val="24"/>
        </w:rPr>
      </w:pPr>
      <w:r w:rsidRPr="00DD6966">
        <w:rPr>
          <w:b/>
          <w:szCs w:val="24"/>
        </w:rPr>
        <w:t>La problemática de los servicios de acueductos municipales</w:t>
      </w:r>
    </w:p>
    <w:p w14:paraId="033C22C6" w14:textId="77777777" w:rsidR="00DF3728" w:rsidRDefault="00DF3728" w:rsidP="00B36B1D">
      <w:pPr>
        <w:spacing w:after="0"/>
        <w:jc w:val="both"/>
        <w:rPr>
          <w:szCs w:val="24"/>
        </w:rPr>
      </w:pPr>
    </w:p>
    <w:p w14:paraId="3AEAECDD" w14:textId="398115A3" w:rsidR="00324720" w:rsidRPr="00DD6966" w:rsidRDefault="47840DA5" w:rsidP="00B36B1D">
      <w:pPr>
        <w:spacing w:after="0"/>
        <w:jc w:val="both"/>
        <w:rPr>
          <w:szCs w:val="24"/>
        </w:rPr>
      </w:pPr>
      <w:r w:rsidRPr="00DD6966">
        <w:rPr>
          <w:szCs w:val="24"/>
        </w:rPr>
        <w:lastRenderedPageBreak/>
        <w:t xml:space="preserve">El problema del abastecimiento universal del agua potable es un desafío que se trabaja desde muchos ámbitos. </w:t>
      </w:r>
      <w:r w:rsidR="00D017FD" w:rsidRPr="00DD6966">
        <w:rPr>
          <w:szCs w:val="24"/>
        </w:rPr>
        <w:t>En los</w:t>
      </w:r>
      <w:r w:rsidRPr="00DD6966">
        <w:rPr>
          <w:szCs w:val="24"/>
        </w:rPr>
        <w:t xml:space="preserve"> </w:t>
      </w:r>
      <w:r w:rsidRPr="00E71527">
        <w:rPr>
          <w:i/>
          <w:szCs w:val="24"/>
        </w:rPr>
        <w:t xml:space="preserve">Objetivos del </w:t>
      </w:r>
      <w:r w:rsidR="009C4664" w:rsidRPr="00E71527">
        <w:rPr>
          <w:i/>
          <w:szCs w:val="24"/>
        </w:rPr>
        <w:t>desarrollo sostenible</w:t>
      </w:r>
      <w:r w:rsidR="009C4664" w:rsidRPr="00DD6966">
        <w:rPr>
          <w:szCs w:val="24"/>
        </w:rPr>
        <w:t xml:space="preserve"> </w:t>
      </w:r>
      <w:r w:rsidRPr="00DD6966">
        <w:rPr>
          <w:szCs w:val="24"/>
        </w:rPr>
        <w:t xml:space="preserve">(ODS), planteados por Naciones Unidas, se declara la importancia de garantizar el acceso al agua potable como un derecho humano de todas las personas; </w:t>
      </w:r>
      <w:r w:rsidR="009C4664">
        <w:rPr>
          <w:szCs w:val="24"/>
        </w:rPr>
        <w:t xml:space="preserve">se </w:t>
      </w:r>
      <w:r w:rsidR="00D017FD" w:rsidRPr="00DD6966">
        <w:rPr>
          <w:szCs w:val="24"/>
        </w:rPr>
        <w:t>enfatiza</w:t>
      </w:r>
      <w:r w:rsidRPr="00DD6966">
        <w:rPr>
          <w:szCs w:val="24"/>
        </w:rPr>
        <w:t xml:space="preserve"> el papel de los Estados para velar por este derecho. En varias de las metas establecidas para el cumplimiento de los ODS se habla de la necesidad de trabajar para disminuir o mitigar el impacto de la extracción y uso del agua para consumo humano, y de la necesidad de darle acceso al 100</w:t>
      </w:r>
      <w:r w:rsidR="006A7E0A" w:rsidRPr="00DD6966">
        <w:rPr>
          <w:szCs w:val="24"/>
        </w:rPr>
        <w:t xml:space="preserve"> </w:t>
      </w:r>
      <w:r w:rsidRPr="00DD6966">
        <w:rPr>
          <w:szCs w:val="24"/>
        </w:rPr>
        <w:t xml:space="preserve">% de la sociedad. </w:t>
      </w:r>
      <w:r w:rsidR="00E07E83" w:rsidRPr="00DD6966">
        <w:rPr>
          <w:szCs w:val="24"/>
        </w:rPr>
        <w:t>Específicamente</w:t>
      </w:r>
      <w:r w:rsidR="009C4664">
        <w:rPr>
          <w:szCs w:val="24"/>
        </w:rPr>
        <w:t>,</w:t>
      </w:r>
      <w:r w:rsidRPr="00DD6966">
        <w:rPr>
          <w:szCs w:val="24"/>
        </w:rPr>
        <w:t xml:space="preserve"> el ODS 12 versa sobre </w:t>
      </w:r>
      <w:r w:rsidR="00086D28" w:rsidRPr="00DD6966">
        <w:rPr>
          <w:szCs w:val="24"/>
        </w:rPr>
        <w:t>la necesidad de</w:t>
      </w:r>
      <w:r w:rsidRPr="00DD6966">
        <w:rPr>
          <w:szCs w:val="24"/>
        </w:rPr>
        <w:t xml:space="preserve"> garantizar modalidades de consumo y producción sostenibles (</w:t>
      </w:r>
      <w:r w:rsidR="006F77F6" w:rsidRPr="00DD6966">
        <w:rPr>
          <w:color w:val="365F91" w:themeColor="accent1" w:themeShade="BF"/>
          <w:szCs w:val="24"/>
        </w:rPr>
        <w:t>ONU</w:t>
      </w:r>
      <w:r w:rsidRPr="00DD6966">
        <w:rPr>
          <w:color w:val="365F91" w:themeColor="accent1" w:themeShade="BF"/>
          <w:szCs w:val="24"/>
        </w:rPr>
        <w:t>, 2015</w:t>
      </w:r>
      <w:r w:rsidRPr="00DD6966">
        <w:rPr>
          <w:szCs w:val="24"/>
        </w:rPr>
        <w:t>)</w:t>
      </w:r>
      <w:r w:rsidR="006121C3" w:rsidRPr="00DD6966">
        <w:rPr>
          <w:szCs w:val="24"/>
        </w:rPr>
        <w:t>.</w:t>
      </w:r>
    </w:p>
    <w:p w14:paraId="201C6AFB" w14:textId="77777777" w:rsidR="004C5156" w:rsidRPr="00DD6966" w:rsidRDefault="004C5156" w:rsidP="00B36B1D">
      <w:pPr>
        <w:spacing w:after="0"/>
        <w:jc w:val="both"/>
        <w:rPr>
          <w:szCs w:val="24"/>
        </w:rPr>
      </w:pPr>
    </w:p>
    <w:p w14:paraId="3914B16C" w14:textId="4EF9CB10" w:rsidR="00674613" w:rsidRPr="00DD6966" w:rsidRDefault="47840DA5" w:rsidP="00B36B1D">
      <w:pPr>
        <w:spacing w:after="0"/>
        <w:jc w:val="both"/>
        <w:rPr>
          <w:szCs w:val="24"/>
        </w:rPr>
      </w:pPr>
      <w:r w:rsidRPr="00DD6966">
        <w:rPr>
          <w:szCs w:val="24"/>
        </w:rPr>
        <w:t xml:space="preserve">Por otro lado, se debe tener claro que la gestión y administración de los acueductos requiere de conocimientos técnicos, </w:t>
      </w:r>
      <w:r w:rsidR="00E07E83" w:rsidRPr="00DD6966">
        <w:rPr>
          <w:szCs w:val="24"/>
        </w:rPr>
        <w:t>tanto de ingeniería como de</w:t>
      </w:r>
      <w:r w:rsidRPr="00DD6966">
        <w:rPr>
          <w:szCs w:val="24"/>
        </w:rPr>
        <w:t xml:space="preserve"> </w:t>
      </w:r>
      <w:r w:rsidR="00726777" w:rsidRPr="00DD6966">
        <w:rPr>
          <w:szCs w:val="24"/>
        </w:rPr>
        <w:t>otras áreas</w:t>
      </w:r>
      <w:r w:rsidRPr="00DD6966">
        <w:rPr>
          <w:szCs w:val="24"/>
        </w:rPr>
        <w:t xml:space="preserve"> como administración de recursos, gestión de calidad, manejo de personal, finanzas, entre otros</w:t>
      </w:r>
      <w:r w:rsidR="00086D28" w:rsidRPr="00DD6966">
        <w:rPr>
          <w:szCs w:val="24"/>
        </w:rPr>
        <w:t xml:space="preserve"> (</w:t>
      </w:r>
      <w:r w:rsidR="00086D28" w:rsidRPr="00DD6966">
        <w:rPr>
          <w:color w:val="365F91" w:themeColor="accent1" w:themeShade="BF"/>
          <w:szCs w:val="24"/>
        </w:rPr>
        <w:t>OMS, 2017</w:t>
      </w:r>
      <w:r w:rsidR="00086D28" w:rsidRPr="00DD6966">
        <w:rPr>
          <w:szCs w:val="24"/>
        </w:rPr>
        <w:t>)</w:t>
      </w:r>
      <w:r w:rsidRPr="00DD6966">
        <w:rPr>
          <w:szCs w:val="24"/>
        </w:rPr>
        <w:t>. Como se ha indicado, en el caso de los cantones en estudio</w:t>
      </w:r>
      <w:r w:rsidR="008B15CB" w:rsidRPr="00DD6966">
        <w:rPr>
          <w:szCs w:val="24"/>
        </w:rPr>
        <w:t>,</w:t>
      </w:r>
      <w:r w:rsidR="006E76B7" w:rsidRPr="00DD6966">
        <w:rPr>
          <w:szCs w:val="24"/>
        </w:rPr>
        <w:t xml:space="preserve"> una</w:t>
      </w:r>
      <w:r w:rsidRPr="00DD6966">
        <w:rPr>
          <w:szCs w:val="24"/>
        </w:rPr>
        <w:t xml:space="preserve"> parte del área servida es atendida por acued</w:t>
      </w:r>
      <w:r w:rsidR="006E76B7" w:rsidRPr="00DD6966">
        <w:rPr>
          <w:szCs w:val="24"/>
        </w:rPr>
        <w:t xml:space="preserve">uctos municipales, y otra </w:t>
      </w:r>
      <w:r w:rsidRPr="00DD6966">
        <w:rPr>
          <w:szCs w:val="24"/>
        </w:rPr>
        <w:t xml:space="preserve">por </w:t>
      </w:r>
      <w:r w:rsidR="004361D2" w:rsidRPr="00DD6966">
        <w:rPr>
          <w:szCs w:val="24"/>
        </w:rPr>
        <w:t xml:space="preserve">las </w:t>
      </w:r>
      <w:r w:rsidRPr="00DD6966">
        <w:rPr>
          <w:szCs w:val="24"/>
        </w:rPr>
        <w:t>ASADA</w:t>
      </w:r>
      <w:r w:rsidR="00BF731D" w:rsidRPr="00DD6966">
        <w:rPr>
          <w:szCs w:val="24"/>
        </w:rPr>
        <w:t xml:space="preserve"> (Apéndice 1)</w:t>
      </w:r>
      <w:r w:rsidRPr="00DD6966">
        <w:rPr>
          <w:szCs w:val="24"/>
        </w:rPr>
        <w:t xml:space="preserve">. Estas últimas </w:t>
      </w:r>
      <w:r w:rsidR="009C4664">
        <w:rPr>
          <w:szCs w:val="24"/>
        </w:rPr>
        <w:t xml:space="preserve">son </w:t>
      </w:r>
      <w:r w:rsidR="00086D28" w:rsidRPr="00DD6966">
        <w:rPr>
          <w:szCs w:val="24"/>
        </w:rPr>
        <w:t>fiscaliza</w:t>
      </w:r>
      <w:r w:rsidR="009C4664">
        <w:rPr>
          <w:szCs w:val="24"/>
        </w:rPr>
        <w:t>das por el</w:t>
      </w:r>
      <w:r w:rsidRPr="00DD6966">
        <w:rPr>
          <w:szCs w:val="24"/>
        </w:rPr>
        <w:t xml:space="preserve"> Instituto Costarricense de Acueductos y Alcantarillados</w:t>
      </w:r>
      <w:r w:rsidR="00086D28" w:rsidRPr="00DD6966">
        <w:rPr>
          <w:szCs w:val="24"/>
        </w:rPr>
        <w:t xml:space="preserve"> </w:t>
      </w:r>
      <w:r w:rsidR="00086D28" w:rsidRPr="00DD6966">
        <w:rPr>
          <w:szCs w:val="24"/>
        </w:rPr>
        <w:fldChar w:fldCharType="begin" w:fldLock="1"/>
      </w:r>
      <w:r w:rsidR="00086D28" w:rsidRPr="00DD6966">
        <w:rPr>
          <w:szCs w:val="24"/>
        </w:rPr>
        <w:instrText>ADDIN CSL_CITATION {"citationItems":[{"id":"ITEM-1","itemData":{"author":[{"dropping-particle":"","family":"Ley 2726","given":"","non-dropping-particle":"","parse-names":false,"suffix":""}],"container-title":"Diario Oficial La Gaceta","id":"ITEM-1","issued":{"date-parts":[["1961"]]},"page":"pp. 20","publisher-place":"San José, Costa Rica","title":"Ley Constitutiva del AYA","type":"article-journal","volume":"14 de abri"},"uris":["http://www.mendeley.com/documents/?uuid=aa006751-7de4-4ce1-bf0b-06ac0924afbf"]}],"mendeley":{"formattedCitation":"(Ley 2726, 1961)","manualFormatting":"(Ley 2726, 1961; AyA, 2016)","plainTextFormattedCitation":"(Ley 2726, 1961)","previouslyFormattedCitation":"(Ley 2726, 1961)"},"properties":{"noteIndex":0},"schema":"https://github.com/citation-style-language/schema/raw/master/csl-citation.json"}</w:instrText>
      </w:r>
      <w:r w:rsidR="00086D28" w:rsidRPr="00DD6966">
        <w:rPr>
          <w:szCs w:val="24"/>
        </w:rPr>
        <w:fldChar w:fldCharType="separate"/>
      </w:r>
      <w:r w:rsidR="00086D28" w:rsidRPr="00DD6966">
        <w:rPr>
          <w:noProof/>
          <w:color w:val="365F91" w:themeColor="accent1" w:themeShade="BF"/>
          <w:szCs w:val="24"/>
        </w:rPr>
        <w:t>(AyA, 2016</w:t>
      </w:r>
      <w:r w:rsidR="00BF3711">
        <w:rPr>
          <w:noProof/>
          <w:color w:val="365F91" w:themeColor="accent1" w:themeShade="BF"/>
          <w:szCs w:val="24"/>
        </w:rPr>
        <w:t>; La Gaceta</w:t>
      </w:r>
      <w:r w:rsidR="00BF3711" w:rsidRPr="00DD6966">
        <w:rPr>
          <w:noProof/>
          <w:color w:val="365F91" w:themeColor="accent1" w:themeShade="BF"/>
          <w:szCs w:val="24"/>
        </w:rPr>
        <w:t>, 1961</w:t>
      </w:r>
      <w:r w:rsidR="00086D28" w:rsidRPr="00DD6966">
        <w:rPr>
          <w:noProof/>
          <w:szCs w:val="24"/>
        </w:rPr>
        <w:t>)</w:t>
      </w:r>
      <w:r w:rsidR="00086D28" w:rsidRPr="00DD6966">
        <w:rPr>
          <w:szCs w:val="24"/>
        </w:rPr>
        <w:fldChar w:fldCharType="end"/>
      </w:r>
      <w:r w:rsidRPr="00DD6966">
        <w:rPr>
          <w:szCs w:val="24"/>
        </w:rPr>
        <w:t xml:space="preserve">. </w:t>
      </w:r>
      <w:r w:rsidR="00E07E83" w:rsidRPr="00DD6966">
        <w:rPr>
          <w:szCs w:val="24"/>
        </w:rPr>
        <w:t>E</w:t>
      </w:r>
      <w:r w:rsidRPr="00DD6966">
        <w:rPr>
          <w:szCs w:val="24"/>
        </w:rPr>
        <w:t xml:space="preserve">n los cuatro cantones </w:t>
      </w:r>
      <w:r w:rsidR="00BF731D" w:rsidRPr="00DD6966">
        <w:rPr>
          <w:szCs w:val="24"/>
        </w:rPr>
        <w:t xml:space="preserve">y dos </w:t>
      </w:r>
      <w:r w:rsidR="009C4664">
        <w:rPr>
          <w:szCs w:val="24"/>
        </w:rPr>
        <w:t>c</w:t>
      </w:r>
      <w:r w:rsidR="00BF731D" w:rsidRPr="00DD6966">
        <w:rPr>
          <w:szCs w:val="24"/>
        </w:rPr>
        <w:t xml:space="preserve">oncejos de distrito </w:t>
      </w:r>
      <w:r w:rsidRPr="00DD6966">
        <w:rPr>
          <w:szCs w:val="24"/>
        </w:rPr>
        <w:t>estudiados existen pocos puestos</w:t>
      </w:r>
      <w:r w:rsidR="008B15CB" w:rsidRPr="00DD6966">
        <w:rPr>
          <w:szCs w:val="24"/>
        </w:rPr>
        <w:t xml:space="preserve"> de trabajo</w:t>
      </w:r>
      <w:r w:rsidRPr="00DD6966">
        <w:rPr>
          <w:szCs w:val="24"/>
        </w:rPr>
        <w:t xml:space="preserve"> asociados a la atención de los acueductos, y en algunos casos </w:t>
      </w:r>
      <w:r w:rsidR="009C4664">
        <w:rPr>
          <w:szCs w:val="24"/>
        </w:rPr>
        <w:t xml:space="preserve">el mismo personal </w:t>
      </w:r>
      <w:r w:rsidR="00C825B4" w:rsidRPr="00DD6966">
        <w:rPr>
          <w:szCs w:val="24"/>
        </w:rPr>
        <w:t xml:space="preserve">que </w:t>
      </w:r>
      <w:r w:rsidRPr="00DD6966">
        <w:rPr>
          <w:szCs w:val="24"/>
        </w:rPr>
        <w:t xml:space="preserve">atiende el acueducto </w:t>
      </w:r>
      <w:r w:rsidR="00E07E83" w:rsidRPr="00DD6966">
        <w:rPr>
          <w:szCs w:val="24"/>
        </w:rPr>
        <w:t>se encargan también de otros</w:t>
      </w:r>
      <w:r w:rsidRPr="00DD6966">
        <w:rPr>
          <w:szCs w:val="24"/>
        </w:rPr>
        <w:t xml:space="preserve"> temas ambientales. </w:t>
      </w:r>
      <w:r w:rsidR="007B6F2A" w:rsidRPr="00DD6966">
        <w:rPr>
          <w:szCs w:val="24"/>
        </w:rPr>
        <w:t>Adicionalmente, e</w:t>
      </w:r>
      <w:r w:rsidR="00086D28" w:rsidRPr="00DD6966">
        <w:rPr>
          <w:szCs w:val="24"/>
        </w:rPr>
        <w:t>n la zona de estudio existe</w:t>
      </w:r>
      <w:r w:rsidR="00575C12" w:rsidRPr="00DD6966">
        <w:rPr>
          <w:szCs w:val="24"/>
        </w:rPr>
        <w:t>n</w:t>
      </w:r>
      <w:r w:rsidRPr="00DD6966">
        <w:rPr>
          <w:szCs w:val="24"/>
        </w:rPr>
        <w:t xml:space="preserve"> </w:t>
      </w:r>
      <w:r w:rsidR="00575C12" w:rsidRPr="00DD6966">
        <w:rPr>
          <w:szCs w:val="24"/>
        </w:rPr>
        <w:t xml:space="preserve">algunos </w:t>
      </w:r>
      <w:r w:rsidRPr="00DD6966">
        <w:rPr>
          <w:szCs w:val="24"/>
        </w:rPr>
        <w:t xml:space="preserve">factores que </w:t>
      </w:r>
      <w:r w:rsidR="00575C12" w:rsidRPr="00DD6966">
        <w:rPr>
          <w:szCs w:val="24"/>
        </w:rPr>
        <w:t>promueven una</w:t>
      </w:r>
      <w:r w:rsidRPr="00DD6966">
        <w:rPr>
          <w:szCs w:val="24"/>
        </w:rPr>
        <w:t xml:space="preserve"> mala gestión y manejo </w:t>
      </w:r>
      <w:r w:rsidR="00C825B4" w:rsidRPr="00DD6966">
        <w:rPr>
          <w:szCs w:val="24"/>
        </w:rPr>
        <w:t>in</w:t>
      </w:r>
      <w:r w:rsidRPr="00DD6966">
        <w:rPr>
          <w:szCs w:val="24"/>
        </w:rPr>
        <w:t xml:space="preserve">adecuado de algunos acueductos. Uno de </w:t>
      </w:r>
      <w:r w:rsidR="00575C12" w:rsidRPr="00DD6966">
        <w:rPr>
          <w:szCs w:val="24"/>
        </w:rPr>
        <w:t>ellos</w:t>
      </w:r>
      <w:r w:rsidRPr="00DD6966">
        <w:rPr>
          <w:szCs w:val="24"/>
        </w:rPr>
        <w:t xml:space="preserve"> es el consumo no controlado del recurso</w:t>
      </w:r>
      <w:r w:rsidR="009C4664">
        <w:rPr>
          <w:szCs w:val="24"/>
        </w:rPr>
        <w:t>,</w:t>
      </w:r>
      <w:r w:rsidR="00086D28" w:rsidRPr="00DD6966">
        <w:rPr>
          <w:szCs w:val="24"/>
        </w:rPr>
        <w:t xml:space="preserve"> debido a la falta de </w:t>
      </w:r>
      <w:proofErr w:type="spellStart"/>
      <w:r w:rsidR="00086D28" w:rsidRPr="00DD6966">
        <w:rPr>
          <w:szCs w:val="24"/>
        </w:rPr>
        <w:t>micromedición</w:t>
      </w:r>
      <w:proofErr w:type="spellEnd"/>
      <w:r w:rsidR="00086D28" w:rsidRPr="00DD6966">
        <w:rPr>
          <w:szCs w:val="24"/>
        </w:rPr>
        <w:t xml:space="preserve"> (</w:t>
      </w:r>
      <w:r w:rsidR="00086D28" w:rsidRPr="00DD6966">
        <w:rPr>
          <w:color w:val="365F91" w:themeColor="accent1" w:themeShade="BF"/>
          <w:szCs w:val="24"/>
        </w:rPr>
        <w:t>CGR, 2016</w:t>
      </w:r>
      <w:r w:rsidR="00086D28" w:rsidRPr="00DD6966">
        <w:rPr>
          <w:szCs w:val="24"/>
        </w:rPr>
        <w:t>)</w:t>
      </w:r>
      <w:r w:rsidRPr="00DD6966">
        <w:rPr>
          <w:szCs w:val="24"/>
        </w:rPr>
        <w:t xml:space="preserve">. </w:t>
      </w:r>
    </w:p>
    <w:p w14:paraId="38D9C42B" w14:textId="77777777" w:rsidR="006121C3" w:rsidRPr="00DD6966" w:rsidRDefault="006121C3" w:rsidP="00B36B1D">
      <w:pPr>
        <w:spacing w:after="0"/>
        <w:jc w:val="both"/>
        <w:rPr>
          <w:szCs w:val="24"/>
        </w:rPr>
      </w:pPr>
    </w:p>
    <w:p w14:paraId="527418C0" w14:textId="00DEC5FE" w:rsidR="00324720" w:rsidRPr="00DD6966" w:rsidRDefault="00674613" w:rsidP="00B36B1D">
      <w:pPr>
        <w:spacing w:after="0"/>
        <w:jc w:val="both"/>
        <w:rPr>
          <w:szCs w:val="24"/>
        </w:rPr>
      </w:pPr>
      <w:r w:rsidRPr="00DD6966">
        <w:rPr>
          <w:szCs w:val="24"/>
        </w:rPr>
        <w:t>En</w:t>
      </w:r>
      <w:r w:rsidR="006E76B7" w:rsidRPr="00DD6966">
        <w:rPr>
          <w:szCs w:val="24"/>
        </w:rPr>
        <w:t xml:space="preserve"> Latinoamérica</w:t>
      </w:r>
      <w:r w:rsidRPr="00DD6966">
        <w:rPr>
          <w:szCs w:val="24"/>
        </w:rPr>
        <w:t>, Uruguay y Costa Rica son los países con menor desigualdad en cuanto a acceso de agua para consumo humano. Pero</w:t>
      </w:r>
      <w:r w:rsidR="009C4664">
        <w:rPr>
          <w:szCs w:val="24"/>
        </w:rPr>
        <w:t>,</w:t>
      </w:r>
      <w:r w:rsidRPr="00DD6966">
        <w:rPr>
          <w:szCs w:val="24"/>
        </w:rPr>
        <w:t xml:space="preserve"> a pesar de la situación privilegiada de nuestro país, persisten grandes desigualdades en el acceso a agua potable por cantones o municipios (</w:t>
      </w:r>
      <w:r w:rsidRPr="00DF3728">
        <w:rPr>
          <w:color w:val="4F81BD" w:themeColor="accent1"/>
          <w:szCs w:val="24"/>
        </w:rPr>
        <w:t>Mora, s.</w:t>
      </w:r>
      <w:r w:rsidR="009C4664">
        <w:rPr>
          <w:color w:val="4F81BD" w:themeColor="accent1"/>
          <w:szCs w:val="24"/>
        </w:rPr>
        <w:t xml:space="preserve"> </w:t>
      </w:r>
      <w:r w:rsidRPr="00DF3728">
        <w:rPr>
          <w:color w:val="4F81BD" w:themeColor="accent1"/>
          <w:szCs w:val="24"/>
        </w:rPr>
        <w:t>f.</w:t>
      </w:r>
      <w:r w:rsidRPr="00DD6966">
        <w:rPr>
          <w:szCs w:val="24"/>
        </w:rPr>
        <w:t>)</w:t>
      </w:r>
      <w:r w:rsidR="009C4664">
        <w:rPr>
          <w:szCs w:val="24"/>
        </w:rPr>
        <w:t>.</w:t>
      </w:r>
      <w:r w:rsidR="47840DA5" w:rsidRPr="00DD6966">
        <w:rPr>
          <w:szCs w:val="24"/>
        </w:rPr>
        <w:t xml:space="preserve"> </w:t>
      </w:r>
      <w:r w:rsidR="00C825B4" w:rsidRPr="00DD6966">
        <w:rPr>
          <w:szCs w:val="24"/>
        </w:rPr>
        <w:t>O</w:t>
      </w:r>
      <w:r w:rsidR="47840DA5" w:rsidRPr="00DD6966">
        <w:rPr>
          <w:szCs w:val="24"/>
        </w:rPr>
        <w:t>tro problem</w:t>
      </w:r>
      <w:r w:rsidR="00282464" w:rsidRPr="00DD6966">
        <w:rPr>
          <w:szCs w:val="24"/>
        </w:rPr>
        <w:t>a es la presencia de tarifas</w:t>
      </w:r>
      <w:r w:rsidR="006E76B7" w:rsidRPr="00DD6966">
        <w:rPr>
          <w:szCs w:val="24"/>
        </w:rPr>
        <w:t xml:space="preserve"> planas</w:t>
      </w:r>
      <w:r w:rsidR="47840DA5" w:rsidRPr="00DD6966">
        <w:rPr>
          <w:szCs w:val="24"/>
        </w:rPr>
        <w:t xml:space="preserve"> </w:t>
      </w:r>
      <w:r w:rsidR="00282464" w:rsidRPr="00DD6966">
        <w:rPr>
          <w:szCs w:val="24"/>
        </w:rPr>
        <w:t>en algunos cantones, según indic</w:t>
      </w:r>
      <w:r w:rsidR="009C4664">
        <w:rPr>
          <w:szCs w:val="24"/>
        </w:rPr>
        <w:t>ó</w:t>
      </w:r>
      <w:r w:rsidR="00282464" w:rsidRPr="00DD6966">
        <w:rPr>
          <w:szCs w:val="24"/>
        </w:rPr>
        <w:t xml:space="preserve"> </w:t>
      </w:r>
      <w:r w:rsidR="009C4664">
        <w:rPr>
          <w:szCs w:val="24"/>
        </w:rPr>
        <w:t>el personal</w:t>
      </w:r>
      <w:r w:rsidR="00282464" w:rsidRPr="00DD6966">
        <w:rPr>
          <w:szCs w:val="24"/>
        </w:rPr>
        <w:t xml:space="preserve"> administra</w:t>
      </w:r>
      <w:r w:rsidR="009C4664">
        <w:rPr>
          <w:szCs w:val="24"/>
        </w:rPr>
        <w:t>tivo</w:t>
      </w:r>
      <w:r w:rsidR="00D7155E" w:rsidRPr="00DD6966">
        <w:rPr>
          <w:szCs w:val="24"/>
        </w:rPr>
        <w:t xml:space="preserve"> entrevistado en Jiménez y Turrialba</w:t>
      </w:r>
      <w:r w:rsidR="00282464" w:rsidRPr="00DD6966">
        <w:rPr>
          <w:szCs w:val="24"/>
        </w:rPr>
        <w:t xml:space="preserve">, lo </w:t>
      </w:r>
      <w:r w:rsidR="47840DA5" w:rsidRPr="00DD6966">
        <w:rPr>
          <w:szCs w:val="24"/>
        </w:rPr>
        <w:t>que no fomenta e</w:t>
      </w:r>
      <w:r w:rsidR="00575C12" w:rsidRPr="00DD6966">
        <w:rPr>
          <w:szCs w:val="24"/>
        </w:rPr>
        <w:t>l</w:t>
      </w:r>
      <w:r w:rsidR="47840DA5" w:rsidRPr="00DD6966">
        <w:rPr>
          <w:szCs w:val="24"/>
        </w:rPr>
        <w:t xml:space="preserve"> ahorro del recurs</w:t>
      </w:r>
      <w:r w:rsidR="007B6F2A" w:rsidRPr="00DD6966">
        <w:rPr>
          <w:szCs w:val="24"/>
        </w:rPr>
        <w:t xml:space="preserve">o y dificulta </w:t>
      </w:r>
      <w:r w:rsidR="006E76B7" w:rsidRPr="00DD6966">
        <w:rPr>
          <w:szCs w:val="24"/>
        </w:rPr>
        <w:t>la toma de conciencia de las personas</w:t>
      </w:r>
      <w:r w:rsidR="47840DA5" w:rsidRPr="00DD6966">
        <w:rPr>
          <w:szCs w:val="24"/>
        </w:rPr>
        <w:t xml:space="preserve">. </w:t>
      </w:r>
    </w:p>
    <w:p w14:paraId="6F9B725C" w14:textId="77777777" w:rsidR="006121C3" w:rsidRPr="00DD6966" w:rsidRDefault="006121C3" w:rsidP="00B36B1D">
      <w:pPr>
        <w:spacing w:after="0"/>
        <w:jc w:val="both"/>
        <w:rPr>
          <w:szCs w:val="24"/>
        </w:rPr>
      </w:pPr>
    </w:p>
    <w:p w14:paraId="729E8484" w14:textId="34DF47BF" w:rsidR="00086D28" w:rsidRPr="00DD6966" w:rsidRDefault="47840DA5" w:rsidP="00B36B1D">
      <w:pPr>
        <w:spacing w:after="0"/>
        <w:jc w:val="both"/>
        <w:rPr>
          <w:szCs w:val="24"/>
        </w:rPr>
      </w:pPr>
      <w:r w:rsidRPr="00DD6966">
        <w:rPr>
          <w:szCs w:val="24"/>
        </w:rPr>
        <w:t xml:space="preserve">Otro aspecto evidenciado es que </w:t>
      </w:r>
      <w:r w:rsidR="009C4664">
        <w:rPr>
          <w:szCs w:val="24"/>
        </w:rPr>
        <w:t>el</w:t>
      </w:r>
      <w:r w:rsidRPr="00DD6966">
        <w:rPr>
          <w:szCs w:val="24"/>
        </w:rPr>
        <w:t xml:space="preserve"> funcionari</w:t>
      </w:r>
      <w:r w:rsidR="001666D8">
        <w:rPr>
          <w:szCs w:val="24"/>
        </w:rPr>
        <w:t>ado</w:t>
      </w:r>
      <w:r w:rsidRPr="00DD6966">
        <w:rPr>
          <w:szCs w:val="24"/>
        </w:rPr>
        <w:t xml:space="preserve"> de los gobiernos locales que atiende</w:t>
      </w:r>
      <w:r w:rsidR="00575C12" w:rsidRPr="00DD6966">
        <w:rPr>
          <w:szCs w:val="24"/>
        </w:rPr>
        <w:t xml:space="preserve"> los</w:t>
      </w:r>
      <w:r w:rsidRPr="00DD6966">
        <w:rPr>
          <w:szCs w:val="24"/>
        </w:rPr>
        <w:t xml:space="preserve"> acueductos </w:t>
      </w:r>
      <w:r w:rsidR="00575C12" w:rsidRPr="00DD6966">
        <w:rPr>
          <w:szCs w:val="24"/>
        </w:rPr>
        <w:t>no siempre cuenta con</w:t>
      </w:r>
      <w:r w:rsidRPr="00DD6966">
        <w:rPr>
          <w:szCs w:val="24"/>
        </w:rPr>
        <w:t xml:space="preserve"> </w:t>
      </w:r>
      <w:r w:rsidR="00AE02BF" w:rsidRPr="00DD6966">
        <w:rPr>
          <w:szCs w:val="24"/>
        </w:rPr>
        <w:t xml:space="preserve">una </w:t>
      </w:r>
      <w:r w:rsidRPr="00DD6966">
        <w:rPr>
          <w:szCs w:val="24"/>
        </w:rPr>
        <w:t xml:space="preserve">adecuada </w:t>
      </w:r>
      <w:r w:rsidR="00AE02BF" w:rsidRPr="00DD6966">
        <w:rPr>
          <w:szCs w:val="24"/>
        </w:rPr>
        <w:t>capacitación</w:t>
      </w:r>
      <w:r w:rsidRPr="00DD6966">
        <w:rPr>
          <w:szCs w:val="24"/>
        </w:rPr>
        <w:t xml:space="preserve">. La formación profesional de </w:t>
      </w:r>
      <w:r w:rsidR="00BF731D" w:rsidRPr="00DD6966">
        <w:rPr>
          <w:szCs w:val="24"/>
        </w:rPr>
        <w:t>estas personas</w:t>
      </w:r>
      <w:r w:rsidRPr="00DD6966">
        <w:rPr>
          <w:szCs w:val="24"/>
        </w:rPr>
        <w:t xml:space="preserve"> es muy diversa y</w:t>
      </w:r>
      <w:r w:rsidR="001666D8">
        <w:rPr>
          <w:szCs w:val="24"/>
        </w:rPr>
        <w:t>,</w:t>
      </w:r>
      <w:r w:rsidRPr="00DD6966">
        <w:rPr>
          <w:szCs w:val="24"/>
        </w:rPr>
        <w:t xml:space="preserve"> en algunos casos</w:t>
      </w:r>
      <w:r w:rsidR="001666D8">
        <w:rPr>
          <w:szCs w:val="24"/>
        </w:rPr>
        <w:t>,</w:t>
      </w:r>
      <w:r w:rsidRPr="00DD6966">
        <w:rPr>
          <w:szCs w:val="24"/>
        </w:rPr>
        <w:t xml:space="preserve"> no contempló ninguna capacitación específica para el manejo de</w:t>
      </w:r>
      <w:r w:rsidR="00387CB9" w:rsidRPr="00DD6966">
        <w:rPr>
          <w:szCs w:val="24"/>
        </w:rPr>
        <w:t>l</w:t>
      </w:r>
      <w:r w:rsidRPr="00DD6966">
        <w:rPr>
          <w:szCs w:val="24"/>
        </w:rPr>
        <w:t xml:space="preserve"> recurso hídrico. </w:t>
      </w:r>
      <w:r w:rsidR="00B5095B" w:rsidRPr="00DD6966">
        <w:rPr>
          <w:szCs w:val="24"/>
        </w:rPr>
        <w:t>Este punto se agrava en el caso de las ASADA.</w:t>
      </w:r>
    </w:p>
    <w:p w14:paraId="618C5BEB" w14:textId="77777777" w:rsidR="00B55A3B" w:rsidRPr="00DD6966" w:rsidRDefault="00B55A3B" w:rsidP="00B36B1D">
      <w:pPr>
        <w:spacing w:after="0"/>
        <w:jc w:val="both"/>
        <w:rPr>
          <w:szCs w:val="24"/>
        </w:rPr>
      </w:pPr>
    </w:p>
    <w:p w14:paraId="632E10FB" w14:textId="72CB0E47" w:rsidR="00D5315D" w:rsidRPr="00DD6966" w:rsidRDefault="00D5315D" w:rsidP="00B36B1D">
      <w:pPr>
        <w:spacing w:after="0"/>
        <w:jc w:val="both"/>
        <w:rPr>
          <w:szCs w:val="24"/>
        </w:rPr>
      </w:pPr>
      <w:r w:rsidRPr="00DD6966">
        <w:rPr>
          <w:szCs w:val="24"/>
        </w:rPr>
        <w:t xml:space="preserve">Cada uno de los cantones analizados tiene diferencias importantes </w:t>
      </w:r>
      <w:r w:rsidR="000E3C58" w:rsidRPr="00DD6966">
        <w:rPr>
          <w:szCs w:val="24"/>
        </w:rPr>
        <w:t>en relación</w:t>
      </w:r>
      <w:r w:rsidRPr="00DD6966">
        <w:rPr>
          <w:szCs w:val="24"/>
        </w:rPr>
        <w:t xml:space="preserve"> </w:t>
      </w:r>
      <w:r w:rsidR="001666D8">
        <w:rPr>
          <w:szCs w:val="24"/>
        </w:rPr>
        <w:t>con e</w:t>
      </w:r>
      <w:r w:rsidRPr="00DD6966">
        <w:rPr>
          <w:szCs w:val="24"/>
        </w:rPr>
        <w:t xml:space="preserve">l servicio de agua que se brinda. </w:t>
      </w:r>
      <w:r w:rsidR="00BF731D" w:rsidRPr="00DD6966">
        <w:rPr>
          <w:szCs w:val="24"/>
        </w:rPr>
        <w:t xml:space="preserve">Una de las principales está asociada a la cantidad de entidades administradoras que participan en el proceso.  En el </w:t>
      </w:r>
      <w:r w:rsidR="000E3C58" w:rsidRPr="00DD6966">
        <w:rPr>
          <w:b/>
          <w:szCs w:val="24"/>
        </w:rPr>
        <w:t>C</w:t>
      </w:r>
      <w:r w:rsidR="00BF731D" w:rsidRPr="00DD6966">
        <w:rPr>
          <w:b/>
          <w:szCs w:val="24"/>
        </w:rPr>
        <w:t>uadro 1</w:t>
      </w:r>
      <w:r w:rsidR="00BF731D" w:rsidRPr="00DD6966">
        <w:rPr>
          <w:szCs w:val="24"/>
        </w:rPr>
        <w:t xml:space="preserve"> se muestran registros históricos respecto a la calidad del agua de los acueductos municipales, y se evidencia c</w:t>
      </w:r>
      <w:r w:rsidR="001666D8">
        <w:rPr>
          <w:szCs w:val="24"/>
        </w:rPr>
        <w:t>ó</w:t>
      </w:r>
      <w:r w:rsidR="00BF731D" w:rsidRPr="00DD6966">
        <w:rPr>
          <w:szCs w:val="24"/>
        </w:rPr>
        <w:t>mo en Costa Rica es común asociar estos análisis por cantón, ya que es la unidad administrativa más directa que está fiscalizada</w:t>
      </w:r>
      <w:r w:rsidR="006E76B7" w:rsidRPr="00DD6966">
        <w:rPr>
          <w:szCs w:val="24"/>
        </w:rPr>
        <w:t xml:space="preserve"> por parte de la CRG</w:t>
      </w:r>
      <w:r w:rsidR="000E3C58" w:rsidRPr="00DD6966">
        <w:rPr>
          <w:szCs w:val="24"/>
        </w:rPr>
        <w:t>.</w:t>
      </w:r>
    </w:p>
    <w:p w14:paraId="772F9708" w14:textId="77777777" w:rsidR="004C5156" w:rsidRDefault="004C5156" w:rsidP="00B36B1D">
      <w:pPr>
        <w:spacing w:after="0"/>
        <w:jc w:val="both"/>
      </w:pPr>
    </w:p>
    <w:p w14:paraId="77C1FDD9" w14:textId="77777777" w:rsidR="004C5156" w:rsidRPr="006E76B7" w:rsidRDefault="004C5156" w:rsidP="00B36B1D">
      <w:pPr>
        <w:spacing w:after="0"/>
        <w:jc w:val="both"/>
      </w:pPr>
    </w:p>
    <w:p w14:paraId="1DDC4FC5" w14:textId="72EFA84F" w:rsidR="00BF731D" w:rsidRPr="00E71527" w:rsidRDefault="00BF731D" w:rsidP="00B36B1D">
      <w:pPr>
        <w:pStyle w:val="Descripcin"/>
        <w:keepNext/>
        <w:spacing w:after="0"/>
        <w:ind w:left="1134" w:hanging="1134"/>
        <w:jc w:val="both"/>
        <w:rPr>
          <w:i w:val="0"/>
          <w:color w:val="auto"/>
          <w:sz w:val="24"/>
          <w:szCs w:val="24"/>
        </w:rPr>
      </w:pPr>
      <w:r w:rsidRPr="00E71527">
        <w:rPr>
          <w:b/>
          <w:i w:val="0"/>
          <w:color w:val="auto"/>
          <w:sz w:val="24"/>
          <w:szCs w:val="24"/>
        </w:rPr>
        <w:t xml:space="preserve">Cuadro </w:t>
      </w:r>
      <w:r w:rsidRPr="00E71527">
        <w:rPr>
          <w:b/>
          <w:i w:val="0"/>
          <w:color w:val="auto"/>
          <w:sz w:val="24"/>
          <w:szCs w:val="24"/>
        </w:rPr>
        <w:fldChar w:fldCharType="begin"/>
      </w:r>
      <w:r w:rsidRPr="00E71527">
        <w:rPr>
          <w:b/>
          <w:i w:val="0"/>
          <w:color w:val="auto"/>
          <w:sz w:val="24"/>
          <w:szCs w:val="24"/>
        </w:rPr>
        <w:instrText xml:space="preserve"> SEQ Cuadro \* ARABIC </w:instrText>
      </w:r>
      <w:r w:rsidRPr="00E71527">
        <w:rPr>
          <w:b/>
          <w:i w:val="0"/>
          <w:color w:val="auto"/>
          <w:sz w:val="24"/>
          <w:szCs w:val="24"/>
        </w:rPr>
        <w:fldChar w:fldCharType="separate"/>
      </w:r>
      <w:r w:rsidR="009F5136" w:rsidRPr="00E71527">
        <w:rPr>
          <w:b/>
          <w:i w:val="0"/>
          <w:noProof/>
          <w:color w:val="auto"/>
          <w:sz w:val="24"/>
          <w:szCs w:val="24"/>
        </w:rPr>
        <w:t>1</w:t>
      </w:r>
      <w:r w:rsidRPr="00E71527">
        <w:rPr>
          <w:b/>
          <w:i w:val="0"/>
          <w:color w:val="auto"/>
          <w:sz w:val="24"/>
          <w:szCs w:val="24"/>
        </w:rPr>
        <w:fldChar w:fldCharType="end"/>
      </w:r>
      <w:r w:rsidR="00622A37" w:rsidRPr="00E71527">
        <w:rPr>
          <w:b/>
          <w:i w:val="0"/>
          <w:color w:val="auto"/>
          <w:sz w:val="24"/>
          <w:szCs w:val="24"/>
        </w:rPr>
        <w:t>.</w:t>
      </w:r>
      <w:r w:rsidR="008D7A6C" w:rsidRPr="00E71527">
        <w:rPr>
          <w:i w:val="0"/>
          <w:color w:val="auto"/>
          <w:sz w:val="24"/>
          <w:szCs w:val="24"/>
        </w:rPr>
        <w:t xml:space="preserve"> </w:t>
      </w:r>
      <w:r w:rsidRPr="00E71527">
        <w:rPr>
          <w:i w:val="0"/>
          <w:color w:val="auto"/>
          <w:sz w:val="24"/>
          <w:szCs w:val="24"/>
        </w:rPr>
        <w:t>Población servida por tipo de administrador y características generales de calidad del agua municipal</w:t>
      </w:r>
      <w:r w:rsidR="00B55A3B" w:rsidRPr="00E71527">
        <w:rPr>
          <w:i w:val="0"/>
          <w:color w:val="auto"/>
          <w:sz w:val="24"/>
          <w:szCs w:val="24"/>
        </w:rPr>
        <w:t xml:space="preserve"> </w:t>
      </w:r>
    </w:p>
    <w:p w14:paraId="02CD23BD" w14:textId="6F18DBE7" w:rsidR="00622A37" w:rsidRDefault="00622A37" w:rsidP="00B36B1D">
      <w:pPr>
        <w:spacing w:after="0"/>
        <w:ind w:left="851" w:hanging="851"/>
        <w:jc w:val="both"/>
        <w:rPr>
          <w:i/>
          <w:iCs/>
          <w:lang w:val="en-US"/>
        </w:rPr>
      </w:pPr>
      <w:r w:rsidRPr="00DD6966">
        <w:rPr>
          <w:b/>
          <w:i/>
          <w:iCs/>
          <w:lang w:val="en-US"/>
        </w:rPr>
        <w:t xml:space="preserve">Table 1. </w:t>
      </w:r>
      <w:r w:rsidRPr="00DD6966">
        <w:rPr>
          <w:i/>
          <w:iCs/>
          <w:lang w:val="en-US"/>
        </w:rPr>
        <w:t>Population served by type of water administrator and general characteristics of quality in the delivered water</w:t>
      </w:r>
    </w:p>
    <w:p w14:paraId="726DD24E" w14:textId="77777777" w:rsidR="00DD6966" w:rsidRPr="00DD6966" w:rsidRDefault="00DD6966" w:rsidP="00B36B1D">
      <w:pPr>
        <w:spacing w:after="0"/>
        <w:ind w:left="851" w:hanging="851"/>
        <w:jc w:val="both"/>
        <w:rPr>
          <w:i/>
          <w:iCs/>
          <w:lang w:val="en-US"/>
        </w:rPr>
      </w:pPr>
    </w:p>
    <w:tbl>
      <w:tblPr>
        <w:tblStyle w:val="Tablaconcuadrcul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1210"/>
        <w:gridCol w:w="876"/>
        <w:gridCol w:w="1695"/>
        <w:gridCol w:w="1121"/>
        <w:gridCol w:w="1416"/>
      </w:tblGrid>
      <w:tr w:rsidR="00BF731D" w:rsidRPr="00EF22BD" w14:paraId="4D32F975" w14:textId="23C0DE04" w:rsidTr="00CB6F0A">
        <w:tc>
          <w:tcPr>
            <w:tcW w:w="1525" w:type="pct"/>
            <w:vMerge w:val="restart"/>
            <w:tcBorders>
              <w:top w:val="single" w:sz="4" w:space="0" w:color="auto"/>
              <w:bottom w:val="single" w:sz="4" w:space="0" w:color="auto"/>
            </w:tcBorders>
          </w:tcPr>
          <w:p w14:paraId="15313FB8" w14:textId="1BD49F14" w:rsidR="00BF731D" w:rsidRPr="00EF22BD" w:rsidRDefault="00BF731D" w:rsidP="00B36B1D">
            <w:pPr>
              <w:jc w:val="center"/>
              <w:rPr>
                <w:b/>
                <w:sz w:val="22"/>
              </w:rPr>
            </w:pPr>
            <w:r w:rsidRPr="00EF22BD">
              <w:rPr>
                <w:b/>
                <w:sz w:val="22"/>
              </w:rPr>
              <w:t>Comunidad</w:t>
            </w:r>
          </w:p>
        </w:tc>
        <w:tc>
          <w:tcPr>
            <w:tcW w:w="1162" w:type="pct"/>
            <w:gridSpan w:val="2"/>
            <w:tcBorders>
              <w:top w:val="single" w:sz="4" w:space="0" w:color="auto"/>
              <w:bottom w:val="single" w:sz="4" w:space="0" w:color="auto"/>
            </w:tcBorders>
          </w:tcPr>
          <w:p w14:paraId="7545E9B2" w14:textId="715863AB" w:rsidR="00BF731D" w:rsidRPr="00EF22BD" w:rsidRDefault="00BF731D" w:rsidP="00E71527">
            <w:pPr>
              <w:jc w:val="center"/>
              <w:rPr>
                <w:b/>
                <w:sz w:val="22"/>
              </w:rPr>
            </w:pPr>
            <w:r w:rsidRPr="00EF22BD">
              <w:rPr>
                <w:b/>
                <w:sz w:val="22"/>
              </w:rPr>
              <w:t>Población servida</w:t>
            </w:r>
          </w:p>
        </w:tc>
        <w:tc>
          <w:tcPr>
            <w:tcW w:w="2313" w:type="pct"/>
            <w:gridSpan w:val="3"/>
            <w:tcBorders>
              <w:top w:val="single" w:sz="4" w:space="0" w:color="auto"/>
              <w:bottom w:val="single" w:sz="4" w:space="0" w:color="auto"/>
            </w:tcBorders>
          </w:tcPr>
          <w:p w14:paraId="3912098F" w14:textId="2E50CF09" w:rsidR="00BF731D" w:rsidRPr="00EF22BD" w:rsidRDefault="00BF731D" w:rsidP="00E71527">
            <w:pPr>
              <w:jc w:val="center"/>
              <w:rPr>
                <w:b/>
                <w:sz w:val="22"/>
              </w:rPr>
            </w:pPr>
            <w:r w:rsidRPr="00EF22BD">
              <w:rPr>
                <w:b/>
                <w:sz w:val="22"/>
              </w:rPr>
              <w:t>Calidad del agua en acueductos municipales*</w:t>
            </w:r>
          </w:p>
        </w:tc>
      </w:tr>
      <w:tr w:rsidR="00BF731D" w:rsidRPr="00EF22BD" w14:paraId="3E223877" w14:textId="04057F15" w:rsidTr="00CB6F0A">
        <w:tc>
          <w:tcPr>
            <w:tcW w:w="1525" w:type="pct"/>
            <w:vMerge/>
            <w:tcBorders>
              <w:top w:val="single" w:sz="4" w:space="0" w:color="auto"/>
              <w:bottom w:val="single" w:sz="4" w:space="0" w:color="auto"/>
            </w:tcBorders>
          </w:tcPr>
          <w:p w14:paraId="39C919F2" w14:textId="00A6D8B7" w:rsidR="00BF731D" w:rsidRPr="00EF22BD" w:rsidRDefault="00BF731D" w:rsidP="00E71527">
            <w:pPr>
              <w:jc w:val="center"/>
              <w:rPr>
                <w:b/>
                <w:sz w:val="22"/>
              </w:rPr>
            </w:pPr>
          </w:p>
        </w:tc>
        <w:tc>
          <w:tcPr>
            <w:tcW w:w="674" w:type="pct"/>
            <w:tcBorders>
              <w:top w:val="single" w:sz="4" w:space="0" w:color="auto"/>
              <w:bottom w:val="single" w:sz="4" w:space="0" w:color="auto"/>
            </w:tcBorders>
          </w:tcPr>
          <w:p w14:paraId="72F5287C" w14:textId="1666852A" w:rsidR="00BF731D" w:rsidRPr="00EF22BD" w:rsidRDefault="00BF731D" w:rsidP="00E71527">
            <w:pPr>
              <w:jc w:val="center"/>
              <w:rPr>
                <w:b/>
                <w:sz w:val="22"/>
              </w:rPr>
            </w:pPr>
            <w:r w:rsidRPr="00EF22BD">
              <w:rPr>
                <w:b/>
                <w:sz w:val="22"/>
              </w:rPr>
              <w:t>Por acueducto municipal</w:t>
            </w:r>
          </w:p>
        </w:tc>
        <w:tc>
          <w:tcPr>
            <w:tcW w:w="488" w:type="pct"/>
            <w:tcBorders>
              <w:top w:val="single" w:sz="4" w:space="0" w:color="auto"/>
              <w:bottom w:val="single" w:sz="4" w:space="0" w:color="auto"/>
            </w:tcBorders>
          </w:tcPr>
          <w:p w14:paraId="421F1981" w14:textId="3960EDA7" w:rsidR="00BF731D" w:rsidRPr="00EF22BD" w:rsidRDefault="00BF731D" w:rsidP="00E71527">
            <w:pPr>
              <w:jc w:val="center"/>
              <w:rPr>
                <w:b/>
                <w:sz w:val="22"/>
              </w:rPr>
            </w:pPr>
            <w:r w:rsidRPr="00EF22BD">
              <w:rPr>
                <w:b/>
                <w:sz w:val="22"/>
              </w:rPr>
              <w:t>Por otros medios</w:t>
            </w:r>
          </w:p>
        </w:tc>
        <w:tc>
          <w:tcPr>
            <w:tcW w:w="944" w:type="pct"/>
            <w:tcBorders>
              <w:top w:val="single" w:sz="4" w:space="0" w:color="auto"/>
              <w:bottom w:val="single" w:sz="4" w:space="0" w:color="auto"/>
            </w:tcBorders>
          </w:tcPr>
          <w:p w14:paraId="7D2D4935" w14:textId="1854D99F" w:rsidR="00BF731D" w:rsidRPr="00EF22BD" w:rsidRDefault="00BF731D" w:rsidP="00E71527">
            <w:pPr>
              <w:jc w:val="center"/>
              <w:rPr>
                <w:b/>
                <w:sz w:val="22"/>
              </w:rPr>
            </w:pPr>
            <w:r w:rsidRPr="00EF22BD">
              <w:rPr>
                <w:b/>
                <w:sz w:val="22"/>
              </w:rPr>
              <w:t xml:space="preserve">Análisis microbiológico promedio (Coliformes fecales y </w:t>
            </w:r>
            <w:r w:rsidRPr="00DD6966">
              <w:rPr>
                <w:b/>
                <w:i/>
                <w:iCs/>
                <w:sz w:val="22"/>
              </w:rPr>
              <w:t xml:space="preserve">E. </w:t>
            </w:r>
            <w:proofErr w:type="spellStart"/>
            <w:r w:rsidRPr="00DD6966">
              <w:rPr>
                <w:b/>
                <w:i/>
                <w:iCs/>
                <w:sz w:val="22"/>
              </w:rPr>
              <w:t>Coli</w:t>
            </w:r>
            <w:proofErr w:type="spellEnd"/>
            <w:r w:rsidRPr="00EF22BD">
              <w:rPr>
                <w:b/>
                <w:sz w:val="22"/>
              </w:rPr>
              <w:t>)</w:t>
            </w:r>
          </w:p>
        </w:tc>
        <w:tc>
          <w:tcPr>
            <w:tcW w:w="581" w:type="pct"/>
            <w:tcBorders>
              <w:top w:val="single" w:sz="4" w:space="0" w:color="auto"/>
              <w:bottom w:val="single" w:sz="4" w:space="0" w:color="auto"/>
            </w:tcBorders>
          </w:tcPr>
          <w:p w14:paraId="6F23AC47" w14:textId="4016533F" w:rsidR="00BF731D" w:rsidRPr="00EF22BD" w:rsidRDefault="00BF731D" w:rsidP="00E71527">
            <w:pPr>
              <w:jc w:val="center"/>
              <w:rPr>
                <w:b/>
                <w:sz w:val="22"/>
              </w:rPr>
            </w:pPr>
            <w:r w:rsidRPr="00EF22BD">
              <w:rPr>
                <w:b/>
                <w:sz w:val="22"/>
              </w:rPr>
              <w:t>Análisis químico promedio (nitrato)</w:t>
            </w:r>
          </w:p>
        </w:tc>
        <w:tc>
          <w:tcPr>
            <w:tcW w:w="787" w:type="pct"/>
            <w:tcBorders>
              <w:top w:val="single" w:sz="4" w:space="0" w:color="auto"/>
              <w:bottom w:val="single" w:sz="4" w:space="0" w:color="auto"/>
            </w:tcBorders>
          </w:tcPr>
          <w:p w14:paraId="61E8EAB8" w14:textId="4E22168F" w:rsidR="00BF731D" w:rsidRPr="00EF22BD" w:rsidRDefault="00BF731D" w:rsidP="00E71527">
            <w:pPr>
              <w:jc w:val="center"/>
              <w:rPr>
                <w:b/>
                <w:sz w:val="22"/>
              </w:rPr>
            </w:pPr>
            <w:r w:rsidRPr="00EF22BD">
              <w:rPr>
                <w:b/>
                <w:sz w:val="22"/>
              </w:rPr>
              <w:t>Porcentaje de muestras con cloro residual &lt;</w:t>
            </w:r>
            <w:r w:rsidR="00EF22BD" w:rsidRPr="00EF22BD">
              <w:rPr>
                <w:b/>
                <w:sz w:val="22"/>
              </w:rPr>
              <w:t xml:space="preserve"> </w:t>
            </w:r>
            <w:r w:rsidRPr="00EF22BD">
              <w:rPr>
                <w:b/>
                <w:sz w:val="22"/>
              </w:rPr>
              <w:t>0.1 mg/L</w:t>
            </w:r>
          </w:p>
        </w:tc>
      </w:tr>
      <w:tr w:rsidR="00C75B6F" w:rsidRPr="00EF22BD" w14:paraId="71CCCF4D" w14:textId="3F81877C" w:rsidTr="00CB6F0A">
        <w:tc>
          <w:tcPr>
            <w:tcW w:w="1525" w:type="pct"/>
            <w:tcBorders>
              <w:top w:val="single" w:sz="4" w:space="0" w:color="auto"/>
            </w:tcBorders>
          </w:tcPr>
          <w:p w14:paraId="41DCF576" w14:textId="66F48869" w:rsidR="00C75B6F" w:rsidRPr="00EF22BD" w:rsidRDefault="00C75B6F" w:rsidP="00B36B1D">
            <w:pPr>
              <w:jc w:val="center"/>
              <w:rPr>
                <w:sz w:val="22"/>
              </w:rPr>
            </w:pPr>
            <w:r w:rsidRPr="00EF22BD">
              <w:rPr>
                <w:sz w:val="22"/>
              </w:rPr>
              <w:t>Alvarado</w:t>
            </w:r>
          </w:p>
        </w:tc>
        <w:tc>
          <w:tcPr>
            <w:tcW w:w="674" w:type="pct"/>
            <w:tcBorders>
              <w:top w:val="single" w:sz="4" w:space="0" w:color="auto"/>
            </w:tcBorders>
          </w:tcPr>
          <w:p w14:paraId="54C18D9A" w14:textId="6E6CC4FD" w:rsidR="00C75B6F" w:rsidRPr="00EF22BD" w:rsidRDefault="00C75B6F" w:rsidP="00E71527">
            <w:pPr>
              <w:jc w:val="center"/>
              <w:rPr>
                <w:sz w:val="22"/>
              </w:rPr>
            </w:pPr>
            <w:r w:rsidRPr="00EF22BD">
              <w:rPr>
                <w:sz w:val="22"/>
              </w:rPr>
              <w:t>88.4</w:t>
            </w:r>
            <w:r w:rsidR="00D34C75" w:rsidRPr="00EF22BD">
              <w:rPr>
                <w:sz w:val="22"/>
              </w:rPr>
              <w:t xml:space="preserve"> </w:t>
            </w:r>
            <w:r w:rsidRPr="00EF22BD">
              <w:rPr>
                <w:sz w:val="22"/>
              </w:rPr>
              <w:t>%</w:t>
            </w:r>
          </w:p>
        </w:tc>
        <w:tc>
          <w:tcPr>
            <w:tcW w:w="488" w:type="pct"/>
            <w:tcBorders>
              <w:top w:val="single" w:sz="4" w:space="0" w:color="auto"/>
            </w:tcBorders>
          </w:tcPr>
          <w:p w14:paraId="20622FB4" w14:textId="0E4C853F" w:rsidR="00C75B6F" w:rsidRPr="00EF22BD" w:rsidRDefault="00C75B6F" w:rsidP="00E71527">
            <w:pPr>
              <w:jc w:val="center"/>
              <w:rPr>
                <w:sz w:val="22"/>
              </w:rPr>
            </w:pPr>
            <w:r w:rsidRPr="00EF22BD">
              <w:rPr>
                <w:sz w:val="22"/>
              </w:rPr>
              <w:t>11.5</w:t>
            </w:r>
            <w:r w:rsidR="00D34C75" w:rsidRPr="00EF22BD">
              <w:rPr>
                <w:sz w:val="22"/>
              </w:rPr>
              <w:t xml:space="preserve"> </w:t>
            </w:r>
            <w:r w:rsidRPr="00EF22BD">
              <w:rPr>
                <w:sz w:val="22"/>
              </w:rPr>
              <w:t>%</w:t>
            </w:r>
          </w:p>
        </w:tc>
        <w:tc>
          <w:tcPr>
            <w:tcW w:w="944" w:type="pct"/>
            <w:tcBorders>
              <w:top w:val="single" w:sz="4" w:space="0" w:color="auto"/>
            </w:tcBorders>
          </w:tcPr>
          <w:p w14:paraId="3BAB5B8F" w14:textId="0A2D58A5" w:rsidR="00C75B6F" w:rsidRPr="00EF22BD" w:rsidRDefault="00C75B6F" w:rsidP="00E71527">
            <w:pPr>
              <w:jc w:val="center"/>
              <w:rPr>
                <w:sz w:val="22"/>
              </w:rPr>
            </w:pPr>
            <w:r w:rsidRPr="00EF22BD">
              <w:rPr>
                <w:sz w:val="22"/>
              </w:rPr>
              <w:t>5</w:t>
            </w:r>
          </w:p>
        </w:tc>
        <w:tc>
          <w:tcPr>
            <w:tcW w:w="581" w:type="pct"/>
            <w:tcBorders>
              <w:top w:val="single" w:sz="4" w:space="0" w:color="auto"/>
            </w:tcBorders>
          </w:tcPr>
          <w:p w14:paraId="5D22630C" w14:textId="08AE680B" w:rsidR="00C75B6F" w:rsidRPr="00EF22BD" w:rsidRDefault="00C75B6F" w:rsidP="00E71527">
            <w:pPr>
              <w:jc w:val="center"/>
              <w:rPr>
                <w:sz w:val="22"/>
              </w:rPr>
            </w:pPr>
            <w:r w:rsidRPr="00EF22BD">
              <w:rPr>
                <w:sz w:val="22"/>
              </w:rPr>
              <w:t>0</w:t>
            </w:r>
          </w:p>
        </w:tc>
        <w:tc>
          <w:tcPr>
            <w:tcW w:w="787" w:type="pct"/>
            <w:tcBorders>
              <w:top w:val="single" w:sz="4" w:space="0" w:color="auto"/>
            </w:tcBorders>
          </w:tcPr>
          <w:p w14:paraId="67377670" w14:textId="1647C551" w:rsidR="00C75B6F" w:rsidRPr="00EF22BD" w:rsidRDefault="00B81954" w:rsidP="00E71527">
            <w:pPr>
              <w:jc w:val="center"/>
              <w:rPr>
                <w:sz w:val="22"/>
              </w:rPr>
            </w:pPr>
            <w:r w:rsidRPr="00EF22BD">
              <w:rPr>
                <w:sz w:val="22"/>
              </w:rPr>
              <w:t>66.7</w:t>
            </w:r>
            <w:r w:rsidR="00D34C75" w:rsidRPr="00EF22BD">
              <w:rPr>
                <w:sz w:val="22"/>
              </w:rPr>
              <w:t xml:space="preserve"> </w:t>
            </w:r>
            <w:r w:rsidRPr="00EF22BD">
              <w:rPr>
                <w:sz w:val="22"/>
              </w:rPr>
              <w:t>%</w:t>
            </w:r>
          </w:p>
        </w:tc>
      </w:tr>
      <w:tr w:rsidR="00C75B6F" w:rsidRPr="00EF22BD" w14:paraId="79DC92F3" w14:textId="55C79116" w:rsidTr="00CB6F0A">
        <w:tc>
          <w:tcPr>
            <w:tcW w:w="1525" w:type="pct"/>
          </w:tcPr>
          <w:p w14:paraId="59399EAE" w14:textId="208C5AE2" w:rsidR="00C75B6F" w:rsidRPr="00EF22BD" w:rsidRDefault="008D7A6C" w:rsidP="00B36B1D">
            <w:pPr>
              <w:jc w:val="center"/>
              <w:rPr>
                <w:sz w:val="22"/>
              </w:rPr>
            </w:pPr>
            <w:r w:rsidRPr="00EF22BD">
              <w:rPr>
                <w:sz w:val="22"/>
              </w:rPr>
              <w:t>Cervantes (Conc</w:t>
            </w:r>
            <w:r w:rsidR="00C75B6F" w:rsidRPr="00EF22BD">
              <w:rPr>
                <w:sz w:val="22"/>
              </w:rPr>
              <w:t>ejo de distrito)</w:t>
            </w:r>
          </w:p>
        </w:tc>
        <w:tc>
          <w:tcPr>
            <w:tcW w:w="674" w:type="pct"/>
          </w:tcPr>
          <w:p w14:paraId="12894DA9" w14:textId="4FC2FA52" w:rsidR="00C75B6F" w:rsidRPr="00EF22BD" w:rsidRDefault="00C75B6F" w:rsidP="00E71527">
            <w:pPr>
              <w:jc w:val="center"/>
              <w:rPr>
                <w:sz w:val="22"/>
              </w:rPr>
            </w:pPr>
            <w:r w:rsidRPr="00EF22BD">
              <w:rPr>
                <w:sz w:val="22"/>
              </w:rPr>
              <w:t>84.4</w:t>
            </w:r>
            <w:r w:rsidR="00D34C75" w:rsidRPr="00EF22BD">
              <w:rPr>
                <w:sz w:val="22"/>
              </w:rPr>
              <w:t xml:space="preserve"> </w:t>
            </w:r>
            <w:r w:rsidRPr="00EF22BD">
              <w:rPr>
                <w:sz w:val="22"/>
              </w:rPr>
              <w:t>%</w:t>
            </w:r>
          </w:p>
        </w:tc>
        <w:tc>
          <w:tcPr>
            <w:tcW w:w="488" w:type="pct"/>
          </w:tcPr>
          <w:p w14:paraId="3874F4B5" w14:textId="33C74499" w:rsidR="00C75B6F" w:rsidRPr="00EF22BD" w:rsidRDefault="00C75B6F" w:rsidP="00E71527">
            <w:pPr>
              <w:jc w:val="center"/>
              <w:rPr>
                <w:sz w:val="22"/>
              </w:rPr>
            </w:pPr>
            <w:r w:rsidRPr="00EF22BD">
              <w:rPr>
                <w:sz w:val="22"/>
              </w:rPr>
              <w:t>15.6</w:t>
            </w:r>
            <w:r w:rsidR="00D34C75" w:rsidRPr="00EF22BD">
              <w:rPr>
                <w:sz w:val="22"/>
              </w:rPr>
              <w:t xml:space="preserve"> </w:t>
            </w:r>
            <w:r w:rsidRPr="00EF22BD">
              <w:rPr>
                <w:sz w:val="22"/>
              </w:rPr>
              <w:t>%</w:t>
            </w:r>
          </w:p>
        </w:tc>
        <w:tc>
          <w:tcPr>
            <w:tcW w:w="944" w:type="pct"/>
          </w:tcPr>
          <w:p w14:paraId="4E18F299" w14:textId="25DA2705" w:rsidR="00C75B6F" w:rsidRPr="00EF22BD" w:rsidRDefault="00C75B6F" w:rsidP="00E71527">
            <w:pPr>
              <w:jc w:val="center"/>
              <w:rPr>
                <w:sz w:val="22"/>
              </w:rPr>
            </w:pPr>
            <w:r w:rsidRPr="00EF22BD">
              <w:rPr>
                <w:sz w:val="22"/>
              </w:rPr>
              <w:t>18</w:t>
            </w:r>
          </w:p>
        </w:tc>
        <w:tc>
          <w:tcPr>
            <w:tcW w:w="581" w:type="pct"/>
          </w:tcPr>
          <w:p w14:paraId="7DC80C2F" w14:textId="3D17A70F" w:rsidR="00C75B6F" w:rsidRPr="00EF22BD" w:rsidRDefault="00C75B6F" w:rsidP="00E71527">
            <w:pPr>
              <w:jc w:val="center"/>
              <w:rPr>
                <w:sz w:val="22"/>
              </w:rPr>
            </w:pPr>
            <w:r w:rsidRPr="00EF22BD">
              <w:rPr>
                <w:sz w:val="22"/>
              </w:rPr>
              <w:t>1</w:t>
            </w:r>
          </w:p>
        </w:tc>
        <w:tc>
          <w:tcPr>
            <w:tcW w:w="787" w:type="pct"/>
          </w:tcPr>
          <w:p w14:paraId="6415D022" w14:textId="540217BE" w:rsidR="00C75B6F" w:rsidRPr="00EF22BD" w:rsidRDefault="00B81954" w:rsidP="00E71527">
            <w:pPr>
              <w:jc w:val="center"/>
              <w:rPr>
                <w:sz w:val="22"/>
              </w:rPr>
            </w:pPr>
            <w:r w:rsidRPr="00EF22BD">
              <w:rPr>
                <w:sz w:val="22"/>
              </w:rPr>
              <w:t>100</w:t>
            </w:r>
            <w:r w:rsidR="00D34C75" w:rsidRPr="00EF22BD">
              <w:rPr>
                <w:sz w:val="22"/>
              </w:rPr>
              <w:t xml:space="preserve"> </w:t>
            </w:r>
            <w:r w:rsidRPr="00EF22BD">
              <w:rPr>
                <w:sz w:val="22"/>
              </w:rPr>
              <w:t>%</w:t>
            </w:r>
          </w:p>
        </w:tc>
      </w:tr>
      <w:tr w:rsidR="00C75B6F" w:rsidRPr="00EF22BD" w14:paraId="72A1A964" w14:textId="33DE8BB5" w:rsidTr="00CB6F0A">
        <w:tc>
          <w:tcPr>
            <w:tcW w:w="1525" w:type="pct"/>
          </w:tcPr>
          <w:p w14:paraId="1DFE7442" w14:textId="1DD251AF" w:rsidR="00C75B6F" w:rsidRPr="00EF22BD" w:rsidRDefault="00C75B6F" w:rsidP="00B36B1D">
            <w:pPr>
              <w:jc w:val="center"/>
              <w:rPr>
                <w:sz w:val="22"/>
              </w:rPr>
            </w:pPr>
            <w:r w:rsidRPr="00EF22BD">
              <w:rPr>
                <w:sz w:val="22"/>
              </w:rPr>
              <w:t>Oreamuno</w:t>
            </w:r>
          </w:p>
        </w:tc>
        <w:tc>
          <w:tcPr>
            <w:tcW w:w="674" w:type="pct"/>
          </w:tcPr>
          <w:p w14:paraId="45BEC4BE" w14:textId="2CCD1725" w:rsidR="00C75B6F" w:rsidRPr="00EF22BD" w:rsidRDefault="00C75B6F" w:rsidP="00E71527">
            <w:pPr>
              <w:jc w:val="center"/>
              <w:rPr>
                <w:sz w:val="22"/>
              </w:rPr>
            </w:pPr>
            <w:r w:rsidRPr="00EF22BD">
              <w:rPr>
                <w:sz w:val="22"/>
              </w:rPr>
              <w:t>74.2</w:t>
            </w:r>
            <w:r w:rsidR="00D34C75" w:rsidRPr="00EF22BD">
              <w:rPr>
                <w:sz w:val="22"/>
              </w:rPr>
              <w:t xml:space="preserve"> </w:t>
            </w:r>
            <w:r w:rsidRPr="00EF22BD">
              <w:rPr>
                <w:sz w:val="22"/>
              </w:rPr>
              <w:t>%</w:t>
            </w:r>
          </w:p>
        </w:tc>
        <w:tc>
          <w:tcPr>
            <w:tcW w:w="488" w:type="pct"/>
          </w:tcPr>
          <w:p w14:paraId="428E92C7" w14:textId="28595150" w:rsidR="00C75B6F" w:rsidRPr="00EF22BD" w:rsidRDefault="00C75B6F" w:rsidP="00E71527">
            <w:pPr>
              <w:jc w:val="center"/>
              <w:rPr>
                <w:sz w:val="22"/>
              </w:rPr>
            </w:pPr>
            <w:r w:rsidRPr="00EF22BD">
              <w:rPr>
                <w:sz w:val="22"/>
              </w:rPr>
              <w:t>25.8</w:t>
            </w:r>
            <w:r w:rsidR="00D34C75" w:rsidRPr="00EF22BD">
              <w:rPr>
                <w:sz w:val="22"/>
              </w:rPr>
              <w:t xml:space="preserve"> </w:t>
            </w:r>
            <w:r w:rsidRPr="00EF22BD">
              <w:rPr>
                <w:sz w:val="22"/>
              </w:rPr>
              <w:t>%</w:t>
            </w:r>
          </w:p>
        </w:tc>
        <w:tc>
          <w:tcPr>
            <w:tcW w:w="944" w:type="pct"/>
          </w:tcPr>
          <w:p w14:paraId="1098B167" w14:textId="5689E427" w:rsidR="00C75B6F" w:rsidRPr="00EF22BD" w:rsidRDefault="00C75B6F" w:rsidP="00E71527">
            <w:pPr>
              <w:jc w:val="center"/>
              <w:rPr>
                <w:sz w:val="22"/>
              </w:rPr>
            </w:pPr>
            <w:r w:rsidRPr="00EF22BD">
              <w:rPr>
                <w:sz w:val="22"/>
              </w:rPr>
              <w:t>12</w:t>
            </w:r>
          </w:p>
        </w:tc>
        <w:tc>
          <w:tcPr>
            <w:tcW w:w="581" w:type="pct"/>
          </w:tcPr>
          <w:p w14:paraId="53113367" w14:textId="030286C3" w:rsidR="00C75B6F" w:rsidRPr="00EF22BD" w:rsidRDefault="00C75B6F" w:rsidP="00E71527">
            <w:pPr>
              <w:jc w:val="center"/>
              <w:rPr>
                <w:sz w:val="22"/>
              </w:rPr>
            </w:pPr>
            <w:r w:rsidRPr="00EF22BD">
              <w:rPr>
                <w:sz w:val="22"/>
              </w:rPr>
              <w:t>4</w:t>
            </w:r>
          </w:p>
        </w:tc>
        <w:tc>
          <w:tcPr>
            <w:tcW w:w="787" w:type="pct"/>
          </w:tcPr>
          <w:p w14:paraId="7BA2730B" w14:textId="7390CBAD" w:rsidR="00C75B6F" w:rsidRPr="00EF22BD" w:rsidRDefault="00B81954" w:rsidP="00E71527">
            <w:pPr>
              <w:jc w:val="center"/>
              <w:rPr>
                <w:sz w:val="22"/>
              </w:rPr>
            </w:pPr>
            <w:r w:rsidRPr="00EF22BD">
              <w:rPr>
                <w:sz w:val="22"/>
              </w:rPr>
              <w:t>8.67</w:t>
            </w:r>
            <w:r w:rsidR="00D34C75" w:rsidRPr="00EF22BD">
              <w:rPr>
                <w:sz w:val="22"/>
              </w:rPr>
              <w:t xml:space="preserve"> </w:t>
            </w:r>
            <w:r w:rsidRPr="00EF22BD">
              <w:rPr>
                <w:sz w:val="22"/>
              </w:rPr>
              <w:t>%</w:t>
            </w:r>
          </w:p>
        </w:tc>
      </w:tr>
      <w:tr w:rsidR="00C75B6F" w:rsidRPr="00EF22BD" w14:paraId="6F9586BA" w14:textId="22247A76" w:rsidTr="00CB6F0A">
        <w:tc>
          <w:tcPr>
            <w:tcW w:w="1525" w:type="pct"/>
          </w:tcPr>
          <w:p w14:paraId="7A1CBE42" w14:textId="565E7FD6" w:rsidR="00C75B6F" w:rsidRPr="00EF22BD" w:rsidRDefault="00C75B6F" w:rsidP="00B36B1D">
            <w:pPr>
              <w:jc w:val="center"/>
              <w:rPr>
                <w:sz w:val="22"/>
              </w:rPr>
            </w:pPr>
            <w:r w:rsidRPr="00EF22BD">
              <w:rPr>
                <w:sz w:val="22"/>
              </w:rPr>
              <w:t>Turrialba</w:t>
            </w:r>
          </w:p>
        </w:tc>
        <w:tc>
          <w:tcPr>
            <w:tcW w:w="674" w:type="pct"/>
          </w:tcPr>
          <w:p w14:paraId="3BBBDB32" w14:textId="2B6B9F72" w:rsidR="00C75B6F" w:rsidRPr="00EF22BD" w:rsidRDefault="00C75B6F" w:rsidP="00E71527">
            <w:pPr>
              <w:jc w:val="center"/>
              <w:rPr>
                <w:sz w:val="22"/>
              </w:rPr>
            </w:pPr>
            <w:r w:rsidRPr="00EF22BD">
              <w:rPr>
                <w:sz w:val="22"/>
              </w:rPr>
              <w:t>20.5</w:t>
            </w:r>
            <w:r w:rsidR="00D34C75" w:rsidRPr="00EF22BD">
              <w:rPr>
                <w:sz w:val="22"/>
              </w:rPr>
              <w:t xml:space="preserve"> </w:t>
            </w:r>
            <w:r w:rsidRPr="00EF22BD">
              <w:rPr>
                <w:sz w:val="22"/>
              </w:rPr>
              <w:t>%</w:t>
            </w:r>
          </w:p>
        </w:tc>
        <w:tc>
          <w:tcPr>
            <w:tcW w:w="488" w:type="pct"/>
          </w:tcPr>
          <w:p w14:paraId="30D4D253" w14:textId="0D3A30E9" w:rsidR="00C75B6F" w:rsidRPr="00EF22BD" w:rsidRDefault="00C75B6F" w:rsidP="00E71527">
            <w:pPr>
              <w:jc w:val="center"/>
              <w:rPr>
                <w:sz w:val="22"/>
              </w:rPr>
            </w:pPr>
            <w:r w:rsidRPr="00EF22BD">
              <w:rPr>
                <w:sz w:val="22"/>
              </w:rPr>
              <w:t>79.5</w:t>
            </w:r>
            <w:r w:rsidR="00D34C75" w:rsidRPr="00EF22BD">
              <w:rPr>
                <w:sz w:val="22"/>
              </w:rPr>
              <w:t xml:space="preserve"> </w:t>
            </w:r>
            <w:r w:rsidRPr="00EF22BD">
              <w:rPr>
                <w:sz w:val="22"/>
              </w:rPr>
              <w:t>%</w:t>
            </w:r>
          </w:p>
        </w:tc>
        <w:tc>
          <w:tcPr>
            <w:tcW w:w="944" w:type="pct"/>
          </w:tcPr>
          <w:p w14:paraId="725F9D3B" w14:textId="12F88B1C" w:rsidR="00C75B6F" w:rsidRPr="00EF22BD" w:rsidRDefault="00C75B6F" w:rsidP="00E71527">
            <w:pPr>
              <w:jc w:val="center"/>
              <w:rPr>
                <w:sz w:val="22"/>
              </w:rPr>
            </w:pPr>
            <w:r w:rsidRPr="00EF22BD">
              <w:rPr>
                <w:sz w:val="22"/>
              </w:rPr>
              <w:t>9</w:t>
            </w:r>
          </w:p>
        </w:tc>
        <w:tc>
          <w:tcPr>
            <w:tcW w:w="581" w:type="pct"/>
          </w:tcPr>
          <w:p w14:paraId="202A3C57" w14:textId="63FD615A" w:rsidR="00C75B6F" w:rsidRPr="00EF22BD" w:rsidRDefault="00C75B6F" w:rsidP="00E71527">
            <w:pPr>
              <w:jc w:val="center"/>
              <w:rPr>
                <w:sz w:val="22"/>
              </w:rPr>
            </w:pPr>
            <w:r w:rsidRPr="00EF22BD">
              <w:rPr>
                <w:sz w:val="22"/>
              </w:rPr>
              <w:t>0</w:t>
            </w:r>
          </w:p>
        </w:tc>
        <w:tc>
          <w:tcPr>
            <w:tcW w:w="787" w:type="pct"/>
          </w:tcPr>
          <w:p w14:paraId="6C7AD84E" w14:textId="1EBA3EB7" w:rsidR="00C75B6F" w:rsidRPr="00EF22BD" w:rsidRDefault="00B81954" w:rsidP="00E71527">
            <w:pPr>
              <w:jc w:val="center"/>
              <w:rPr>
                <w:sz w:val="22"/>
              </w:rPr>
            </w:pPr>
            <w:r w:rsidRPr="00EF22BD">
              <w:rPr>
                <w:sz w:val="22"/>
              </w:rPr>
              <w:t>44.2</w:t>
            </w:r>
            <w:r w:rsidR="00D34C75" w:rsidRPr="00EF22BD">
              <w:rPr>
                <w:sz w:val="22"/>
              </w:rPr>
              <w:t xml:space="preserve"> </w:t>
            </w:r>
            <w:r w:rsidRPr="00EF22BD">
              <w:rPr>
                <w:sz w:val="22"/>
              </w:rPr>
              <w:t>%</w:t>
            </w:r>
          </w:p>
        </w:tc>
      </w:tr>
      <w:tr w:rsidR="00C75B6F" w:rsidRPr="00EF22BD" w14:paraId="6512A9B9" w14:textId="3FC92791" w:rsidTr="00CB6F0A">
        <w:tc>
          <w:tcPr>
            <w:tcW w:w="1525" w:type="pct"/>
          </w:tcPr>
          <w:p w14:paraId="3EEC5E02" w14:textId="49AC8E80" w:rsidR="00C75B6F" w:rsidRPr="00EF22BD" w:rsidRDefault="00C75B6F" w:rsidP="00B36B1D">
            <w:pPr>
              <w:jc w:val="center"/>
              <w:rPr>
                <w:sz w:val="22"/>
              </w:rPr>
            </w:pPr>
            <w:r w:rsidRPr="00EF22BD">
              <w:rPr>
                <w:sz w:val="22"/>
              </w:rPr>
              <w:t>Jiménez (totalidad del cantón)</w:t>
            </w:r>
          </w:p>
        </w:tc>
        <w:tc>
          <w:tcPr>
            <w:tcW w:w="674" w:type="pct"/>
          </w:tcPr>
          <w:p w14:paraId="0CDF5629" w14:textId="662965FF" w:rsidR="00C75B6F" w:rsidRPr="00EF22BD" w:rsidRDefault="00C75B6F" w:rsidP="00E71527">
            <w:pPr>
              <w:jc w:val="center"/>
              <w:rPr>
                <w:sz w:val="22"/>
              </w:rPr>
            </w:pPr>
            <w:r w:rsidRPr="00EF22BD">
              <w:rPr>
                <w:sz w:val="22"/>
              </w:rPr>
              <w:t>31</w:t>
            </w:r>
            <w:r w:rsidR="00D34C75" w:rsidRPr="00EF22BD">
              <w:rPr>
                <w:sz w:val="22"/>
              </w:rPr>
              <w:t xml:space="preserve"> </w:t>
            </w:r>
            <w:r w:rsidRPr="00EF22BD">
              <w:rPr>
                <w:sz w:val="22"/>
              </w:rPr>
              <w:t>%</w:t>
            </w:r>
          </w:p>
        </w:tc>
        <w:tc>
          <w:tcPr>
            <w:tcW w:w="488" w:type="pct"/>
          </w:tcPr>
          <w:p w14:paraId="6EF917CB" w14:textId="6CFD5B98" w:rsidR="00C75B6F" w:rsidRPr="00EF22BD" w:rsidRDefault="00C75B6F" w:rsidP="00E71527">
            <w:pPr>
              <w:jc w:val="center"/>
              <w:rPr>
                <w:sz w:val="22"/>
              </w:rPr>
            </w:pPr>
            <w:r w:rsidRPr="00EF22BD">
              <w:rPr>
                <w:sz w:val="22"/>
              </w:rPr>
              <w:t>69</w:t>
            </w:r>
            <w:r w:rsidR="00D34C75" w:rsidRPr="00EF22BD">
              <w:rPr>
                <w:sz w:val="22"/>
              </w:rPr>
              <w:t xml:space="preserve"> </w:t>
            </w:r>
            <w:r w:rsidRPr="00EF22BD">
              <w:rPr>
                <w:sz w:val="22"/>
              </w:rPr>
              <w:t>%</w:t>
            </w:r>
          </w:p>
        </w:tc>
        <w:tc>
          <w:tcPr>
            <w:tcW w:w="944" w:type="pct"/>
          </w:tcPr>
          <w:p w14:paraId="379D7784" w14:textId="0A8CA2AC" w:rsidR="00C75B6F" w:rsidRPr="00EF22BD" w:rsidRDefault="00C75B6F" w:rsidP="00E71527">
            <w:pPr>
              <w:jc w:val="center"/>
              <w:rPr>
                <w:sz w:val="22"/>
              </w:rPr>
            </w:pPr>
            <w:r w:rsidRPr="00EF22BD">
              <w:rPr>
                <w:sz w:val="22"/>
              </w:rPr>
              <w:t>0</w:t>
            </w:r>
          </w:p>
        </w:tc>
        <w:tc>
          <w:tcPr>
            <w:tcW w:w="581" w:type="pct"/>
          </w:tcPr>
          <w:p w14:paraId="7A626B7C" w14:textId="50496651" w:rsidR="00C75B6F" w:rsidRPr="00EF22BD" w:rsidRDefault="00C75B6F" w:rsidP="00E71527">
            <w:pPr>
              <w:jc w:val="center"/>
              <w:rPr>
                <w:sz w:val="22"/>
              </w:rPr>
            </w:pPr>
            <w:r w:rsidRPr="00EF22BD">
              <w:rPr>
                <w:sz w:val="22"/>
              </w:rPr>
              <w:t>0</w:t>
            </w:r>
          </w:p>
        </w:tc>
        <w:tc>
          <w:tcPr>
            <w:tcW w:w="787" w:type="pct"/>
          </w:tcPr>
          <w:p w14:paraId="22FFA9A3" w14:textId="6DE93CEE" w:rsidR="00C75B6F" w:rsidRPr="00EF22BD" w:rsidRDefault="00B81954" w:rsidP="00E71527">
            <w:pPr>
              <w:jc w:val="center"/>
              <w:rPr>
                <w:sz w:val="22"/>
              </w:rPr>
            </w:pPr>
            <w:r w:rsidRPr="00EF22BD">
              <w:rPr>
                <w:sz w:val="22"/>
              </w:rPr>
              <w:t>8.0</w:t>
            </w:r>
            <w:r w:rsidR="00D34C75" w:rsidRPr="00EF22BD">
              <w:rPr>
                <w:sz w:val="22"/>
              </w:rPr>
              <w:t xml:space="preserve"> </w:t>
            </w:r>
            <w:r w:rsidRPr="00EF22BD">
              <w:rPr>
                <w:sz w:val="22"/>
              </w:rPr>
              <w:t>%</w:t>
            </w:r>
          </w:p>
        </w:tc>
      </w:tr>
    </w:tbl>
    <w:p w14:paraId="3401AC44" w14:textId="63ADEB93" w:rsidR="00C75B6F" w:rsidRPr="0059079F" w:rsidRDefault="00C93AC7" w:rsidP="00B36B1D">
      <w:pPr>
        <w:spacing w:after="0"/>
        <w:jc w:val="both"/>
        <w:rPr>
          <w:sz w:val="20"/>
          <w:szCs w:val="20"/>
        </w:rPr>
      </w:pPr>
      <w:r w:rsidRPr="0059079F">
        <w:rPr>
          <w:sz w:val="20"/>
          <w:szCs w:val="20"/>
        </w:rPr>
        <w:t xml:space="preserve">Fuente: </w:t>
      </w:r>
      <w:r w:rsidR="00032A03" w:rsidRPr="0059079F">
        <w:rPr>
          <w:color w:val="365F91" w:themeColor="accent1" w:themeShade="BF"/>
          <w:sz w:val="20"/>
          <w:szCs w:val="20"/>
        </w:rPr>
        <w:t>CGR</w:t>
      </w:r>
      <w:r w:rsidRPr="0059079F">
        <w:rPr>
          <w:color w:val="365F91" w:themeColor="accent1" w:themeShade="BF"/>
          <w:sz w:val="20"/>
          <w:szCs w:val="20"/>
        </w:rPr>
        <w:t xml:space="preserve"> </w:t>
      </w:r>
      <w:r w:rsidR="00032A03" w:rsidRPr="0059079F">
        <w:rPr>
          <w:color w:val="365F91" w:themeColor="accent1" w:themeShade="BF"/>
          <w:sz w:val="20"/>
          <w:szCs w:val="20"/>
        </w:rPr>
        <w:t>(</w:t>
      </w:r>
      <w:r w:rsidRPr="0059079F">
        <w:rPr>
          <w:color w:val="365F91" w:themeColor="accent1" w:themeShade="BF"/>
          <w:sz w:val="20"/>
          <w:szCs w:val="20"/>
        </w:rPr>
        <w:t>2016</w:t>
      </w:r>
      <w:r w:rsidR="00032A03" w:rsidRPr="0059079F">
        <w:rPr>
          <w:color w:val="365F91" w:themeColor="accent1" w:themeShade="BF"/>
          <w:sz w:val="20"/>
          <w:szCs w:val="20"/>
        </w:rPr>
        <w:t>)</w:t>
      </w:r>
      <w:r w:rsidR="00CB6F0A" w:rsidRPr="0059079F">
        <w:rPr>
          <w:color w:val="365F91" w:themeColor="accent1" w:themeShade="BF"/>
          <w:sz w:val="20"/>
          <w:szCs w:val="20"/>
        </w:rPr>
        <w:t>.</w:t>
      </w:r>
      <w:r w:rsidR="00DD6966" w:rsidRPr="0059079F">
        <w:rPr>
          <w:color w:val="365F91" w:themeColor="accent1" w:themeShade="BF"/>
          <w:sz w:val="20"/>
          <w:szCs w:val="20"/>
        </w:rPr>
        <w:t xml:space="preserve"> </w:t>
      </w:r>
      <w:r w:rsidR="00C75B6F" w:rsidRPr="0059079F">
        <w:rPr>
          <w:sz w:val="20"/>
          <w:szCs w:val="20"/>
        </w:rPr>
        <w:t>*Nota: Valores promedios reportados con diferente cantidad de muestras en cada cantón.</w:t>
      </w:r>
    </w:p>
    <w:p w14:paraId="22335599" w14:textId="77777777" w:rsidR="00DD6966" w:rsidRPr="00DD6966" w:rsidRDefault="00DD6966" w:rsidP="00E71527">
      <w:pPr>
        <w:spacing w:after="0"/>
        <w:jc w:val="both"/>
        <w:rPr>
          <w:szCs w:val="24"/>
        </w:rPr>
      </w:pPr>
    </w:p>
    <w:p w14:paraId="3D0E14AE" w14:textId="03476F91" w:rsidR="00D5315D" w:rsidRPr="00DD6966" w:rsidRDefault="00056BE5" w:rsidP="00E71527">
      <w:pPr>
        <w:spacing w:after="0"/>
        <w:jc w:val="both"/>
        <w:rPr>
          <w:szCs w:val="24"/>
        </w:rPr>
      </w:pPr>
      <w:r w:rsidRPr="00DD6966">
        <w:rPr>
          <w:szCs w:val="24"/>
        </w:rPr>
        <w:t xml:space="preserve">En el </w:t>
      </w:r>
      <w:r w:rsidRPr="00DD6966">
        <w:rPr>
          <w:b/>
          <w:szCs w:val="24"/>
        </w:rPr>
        <w:t>Apéndice 1</w:t>
      </w:r>
      <w:r w:rsidRPr="00DD6966">
        <w:rPr>
          <w:szCs w:val="24"/>
        </w:rPr>
        <w:t xml:space="preserve">, se presenta una síntesis </w:t>
      </w:r>
      <w:r w:rsidR="00694B47" w:rsidRPr="00DD6966">
        <w:rPr>
          <w:szCs w:val="24"/>
        </w:rPr>
        <w:t>con</w:t>
      </w:r>
      <w:r w:rsidRPr="00DD6966">
        <w:rPr>
          <w:szCs w:val="24"/>
        </w:rPr>
        <w:t xml:space="preserve"> la distribución de los </w:t>
      </w:r>
      <w:r w:rsidR="008D7A6C" w:rsidRPr="00DD6966">
        <w:rPr>
          <w:szCs w:val="24"/>
        </w:rPr>
        <w:t xml:space="preserve">entes </w:t>
      </w:r>
      <w:r w:rsidRPr="00DD6966">
        <w:rPr>
          <w:szCs w:val="24"/>
        </w:rPr>
        <w:t>administradores del servicio de acueductos</w:t>
      </w:r>
      <w:r w:rsidR="00694B47" w:rsidRPr="00DD6966">
        <w:rPr>
          <w:szCs w:val="24"/>
        </w:rPr>
        <w:t xml:space="preserve"> para</w:t>
      </w:r>
      <w:r w:rsidRPr="00DD6966">
        <w:rPr>
          <w:szCs w:val="24"/>
        </w:rPr>
        <w:t xml:space="preserve"> cada cantón</w:t>
      </w:r>
      <w:r w:rsidR="00694B47" w:rsidRPr="00DD6966">
        <w:rPr>
          <w:szCs w:val="24"/>
        </w:rPr>
        <w:t xml:space="preserve">, con el fin de evaluar los resultados obtenidos </w:t>
      </w:r>
      <w:r w:rsidR="006E76B7" w:rsidRPr="00DD6966">
        <w:rPr>
          <w:szCs w:val="24"/>
        </w:rPr>
        <w:t xml:space="preserve">también </w:t>
      </w:r>
      <w:r w:rsidR="00694B47" w:rsidRPr="00DD6966">
        <w:rPr>
          <w:szCs w:val="24"/>
        </w:rPr>
        <w:t>en función del tipo de prestatario del servicio</w:t>
      </w:r>
      <w:r w:rsidRPr="00DD6966">
        <w:rPr>
          <w:szCs w:val="24"/>
        </w:rPr>
        <w:t xml:space="preserve">.  Para esta información se utilizaron informes de </w:t>
      </w:r>
      <w:r w:rsidR="001666D8">
        <w:rPr>
          <w:szCs w:val="24"/>
        </w:rPr>
        <w:t xml:space="preserve">instancias </w:t>
      </w:r>
      <w:r w:rsidRPr="00DD6966">
        <w:rPr>
          <w:szCs w:val="24"/>
        </w:rPr>
        <w:t>nacionales oficiales (</w:t>
      </w:r>
      <w:r w:rsidR="001666D8" w:rsidRPr="00DD6966">
        <w:rPr>
          <w:color w:val="365F91" w:themeColor="accent1" w:themeShade="BF"/>
          <w:szCs w:val="24"/>
        </w:rPr>
        <w:t>AyA, 2013</w:t>
      </w:r>
      <w:r w:rsidR="001666D8">
        <w:rPr>
          <w:color w:val="365F91" w:themeColor="accent1" w:themeShade="BF"/>
          <w:szCs w:val="24"/>
        </w:rPr>
        <w:t xml:space="preserve"> y </w:t>
      </w:r>
      <w:r w:rsidRPr="00DD6966">
        <w:rPr>
          <w:color w:val="365F91" w:themeColor="accent1" w:themeShade="BF"/>
          <w:szCs w:val="24"/>
        </w:rPr>
        <w:t>CGR, 2016</w:t>
      </w:r>
      <w:r w:rsidRPr="00DD6966">
        <w:rPr>
          <w:szCs w:val="24"/>
        </w:rPr>
        <w:t xml:space="preserve">) </w:t>
      </w:r>
      <w:r w:rsidR="00694B47" w:rsidRPr="00DD6966">
        <w:rPr>
          <w:szCs w:val="24"/>
        </w:rPr>
        <w:t>y</w:t>
      </w:r>
      <w:r w:rsidRPr="00DD6966">
        <w:rPr>
          <w:szCs w:val="24"/>
        </w:rPr>
        <w:t xml:space="preserve"> fuentes primarias consultadas directamente en entrevista</w:t>
      </w:r>
      <w:r w:rsidR="001666D8">
        <w:rPr>
          <w:szCs w:val="24"/>
        </w:rPr>
        <w:t>s</w:t>
      </w:r>
      <w:r w:rsidRPr="00DD6966">
        <w:rPr>
          <w:szCs w:val="24"/>
        </w:rPr>
        <w:t xml:space="preserve"> (</w:t>
      </w:r>
      <w:r w:rsidR="008D7A6C" w:rsidRPr="00DD6966">
        <w:rPr>
          <w:szCs w:val="24"/>
        </w:rPr>
        <w:t xml:space="preserve">personal </w:t>
      </w:r>
      <w:r w:rsidRPr="00DD6966">
        <w:rPr>
          <w:szCs w:val="24"/>
        </w:rPr>
        <w:t xml:space="preserve">encargado de los acueductos en cada municipalidad). </w:t>
      </w:r>
    </w:p>
    <w:p w14:paraId="2346DD2C" w14:textId="77777777" w:rsidR="004C5156" w:rsidRPr="00DD6966" w:rsidRDefault="004C5156" w:rsidP="00E71527">
      <w:pPr>
        <w:spacing w:after="0"/>
        <w:jc w:val="both"/>
        <w:rPr>
          <w:szCs w:val="24"/>
        </w:rPr>
      </w:pPr>
    </w:p>
    <w:p w14:paraId="47195C70" w14:textId="6A9B15DA" w:rsidR="00324720" w:rsidRPr="002E1275" w:rsidRDefault="00324720" w:rsidP="00E71527">
      <w:pPr>
        <w:pStyle w:val="Prrafodelista"/>
        <w:numPr>
          <w:ilvl w:val="1"/>
          <w:numId w:val="4"/>
        </w:numPr>
        <w:spacing w:after="160"/>
        <w:ind w:left="426" w:hanging="426"/>
        <w:jc w:val="both"/>
        <w:rPr>
          <w:b/>
          <w:szCs w:val="24"/>
        </w:rPr>
      </w:pPr>
      <w:r w:rsidRPr="002E1275">
        <w:rPr>
          <w:b/>
          <w:szCs w:val="24"/>
        </w:rPr>
        <w:t xml:space="preserve">Características </w:t>
      </w:r>
      <w:r w:rsidR="00B90ED4" w:rsidRPr="002E1275">
        <w:rPr>
          <w:b/>
          <w:szCs w:val="24"/>
        </w:rPr>
        <w:t xml:space="preserve">socioeconómicas </w:t>
      </w:r>
      <w:r w:rsidRPr="002E1275">
        <w:rPr>
          <w:b/>
          <w:szCs w:val="24"/>
        </w:rPr>
        <w:t xml:space="preserve">de los cantones en estudio </w:t>
      </w:r>
    </w:p>
    <w:p w14:paraId="709FA4A4" w14:textId="77777777" w:rsidR="004C5156" w:rsidRPr="00DD6966" w:rsidRDefault="004C5156" w:rsidP="00B36B1D">
      <w:pPr>
        <w:pStyle w:val="Prrafodelista"/>
        <w:spacing w:after="0"/>
        <w:ind w:left="425"/>
        <w:jc w:val="both"/>
        <w:rPr>
          <w:b/>
          <w:szCs w:val="24"/>
        </w:rPr>
      </w:pPr>
    </w:p>
    <w:p w14:paraId="7D8981E1" w14:textId="110F48CF" w:rsidR="00B07567" w:rsidRPr="00DD6966" w:rsidRDefault="00324720" w:rsidP="00E71527">
      <w:pPr>
        <w:spacing w:after="0"/>
        <w:jc w:val="both"/>
        <w:rPr>
          <w:szCs w:val="24"/>
        </w:rPr>
      </w:pPr>
      <w:r w:rsidRPr="00DD6966">
        <w:rPr>
          <w:szCs w:val="24"/>
        </w:rPr>
        <w:t xml:space="preserve">En </w:t>
      </w:r>
      <w:r w:rsidR="00B5095B" w:rsidRPr="00DD6966">
        <w:rPr>
          <w:szCs w:val="24"/>
        </w:rPr>
        <w:t xml:space="preserve">los </w:t>
      </w:r>
      <w:r w:rsidRPr="00DD6966">
        <w:rPr>
          <w:szCs w:val="24"/>
        </w:rPr>
        <w:t xml:space="preserve">cantones </w:t>
      </w:r>
      <w:r w:rsidR="00B5095B" w:rsidRPr="00DD6966">
        <w:rPr>
          <w:szCs w:val="24"/>
        </w:rPr>
        <w:t>en estudio</w:t>
      </w:r>
      <w:r w:rsidR="002E1275">
        <w:rPr>
          <w:szCs w:val="24"/>
        </w:rPr>
        <w:t>,</w:t>
      </w:r>
      <w:r w:rsidR="00B5095B" w:rsidRPr="00DD6966">
        <w:rPr>
          <w:szCs w:val="24"/>
        </w:rPr>
        <w:t xml:space="preserve"> </w:t>
      </w:r>
      <w:r w:rsidRPr="00DD6966">
        <w:rPr>
          <w:szCs w:val="24"/>
        </w:rPr>
        <w:t>la mayor parte se dedica a actividades agrícolas, con centros de población en las cabeceras de los distritos y algunos poblados consolidados. En el siguiente mapa (</w:t>
      </w:r>
      <w:r w:rsidR="00463D9B" w:rsidRPr="00DD6966">
        <w:rPr>
          <w:szCs w:val="24"/>
        </w:rPr>
        <w:fldChar w:fldCharType="begin"/>
      </w:r>
      <w:r w:rsidR="00463D9B" w:rsidRPr="00DD6966">
        <w:rPr>
          <w:b/>
          <w:szCs w:val="24"/>
        </w:rPr>
        <w:instrText xml:space="preserve"> REF _Ref14520383 \h </w:instrText>
      </w:r>
      <w:r w:rsidR="00B338A8" w:rsidRPr="00DD6966">
        <w:rPr>
          <w:b/>
          <w:szCs w:val="24"/>
        </w:rPr>
        <w:instrText xml:space="preserve"> \* MERGEFORMAT </w:instrText>
      </w:r>
      <w:r w:rsidR="00463D9B" w:rsidRPr="00DD6966">
        <w:rPr>
          <w:szCs w:val="24"/>
        </w:rPr>
      </w:r>
      <w:r w:rsidR="00463D9B" w:rsidRPr="00DD6966">
        <w:rPr>
          <w:b/>
          <w:szCs w:val="24"/>
        </w:rPr>
        <w:fldChar w:fldCharType="separate"/>
      </w:r>
      <w:r w:rsidR="009F5136" w:rsidRPr="00DD6966">
        <w:rPr>
          <w:b/>
          <w:bCs/>
          <w:szCs w:val="24"/>
        </w:rPr>
        <w:t xml:space="preserve">Figura </w:t>
      </w:r>
      <w:r w:rsidR="009F5136" w:rsidRPr="00DD6966">
        <w:rPr>
          <w:b/>
          <w:bCs/>
          <w:noProof/>
          <w:szCs w:val="24"/>
        </w:rPr>
        <w:t>1</w:t>
      </w:r>
      <w:r w:rsidR="00463D9B" w:rsidRPr="00DD6966">
        <w:rPr>
          <w:szCs w:val="24"/>
        </w:rPr>
        <w:fldChar w:fldCharType="end"/>
      </w:r>
      <w:r w:rsidRPr="00DD6966">
        <w:rPr>
          <w:szCs w:val="24"/>
        </w:rPr>
        <w:t xml:space="preserve">) se puede apreciar la ubicación de los cantones </w:t>
      </w:r>
      <w:r w:rsidR="0076374A" w:rsidRPr="00DD6966">
        <w:rPr>
          <w:szCs w:val="24"/>
        </w:rPr>
        <w:t>estudiados</w:t>
      </w:r>
      <w:r w:rsidRPr="00DD6966">
        <w:rPr>
          <w:szCs w:val="24"/>
        </w:rPr>
        <w:t>.</w:t>
      </w:r>
      <w:r w:rsidR="00694B47" w:rsidRPr="00DD6966">
        <w:rPr>
          <w:szCs w:val="24"/>
        </w:rPr>
        <w:t xml:space="preserve"> </w:t>
      </w:r>
      <w:r w:rsidR="00B07567" w:rsidRPr="00DD6966">
        <w:rPr>
          <w:szCs w:val="24"/>
        </w:rPr>
        <w:t xml:space="preserve">El </w:t>
      </w:r>
      <w:r w:rsidR="00B07567" w:rsidRPr="00DD6966">
        <w:rPr>
          <w:b/>
          <w:szCs w:val="24"/>
        </w:rPr>
        <w:fldChar w:fldCharType="begin"/>
      </w:r>
      <w:r w:rsidR="00B07567" w:rsidRPr="00DD6966">
        <w:rPr>
          <w:b/>
          <w:szCs w:val="24"/>
        </w:rPr>
        <w:instrText xml:space="preserve"> REF _Ref14520397 \h  \* MERGEFORMAT </w:instrText>
      </w:r>
      <w:r w:rsidR="00B07567" w:rsidRPr="00DD6966">
        <w:rPr>
          <w:b/>
          <w:szCs w:val="24"/>
        </w:rPr>
      </w:r>
      <w:r w:rsidR="00B07567" w:rsidRPr="00DD6966">
        <w:rPr>
          <w:b/>
          <w:szCs w:val="24"/>
        </w:rPr>
        <w:fldChar w:fldCharType="separate"/>
      </w:r>
      <w:r w:rsidR="009F5136" w:rsidRPr="00DD6966">
        <w:rPr>
          <w:b/>
          <w:szCs w:val="24"/>
        </w:rPr>
        <w:t>Cuadro 2</w:t>
      </w:r>
      <w:r w:rsidR="00B07567" w:rsidRPr="00DD6966">
        <w:rPr>
          <w:b/>
          <w:szCs w:val="24"/>
        </w:rPr>
        <w:fldChar w:fldCharType="end"/>
      </w:r>
      <w:r w:rsidR="00B07567" w:rsidRPr="00DD6966">
        <w:rPr>
          <w:szCs w:val="24"/>
        </w:rPr>
        <w:t xml:space="preserve"> muestra algunas de las características sociodemográficas y territoriales de estos cantones.</w:t>
      </w:r>
    </w:p>
    <w:p w14:paraId="32FBFEA5" w14:textId="7F230526" w:rsidR="00324720" w:rsidRPr="00324720" w:rsidRDefault="00324720" w:rsidP="00E71527">
      <w:pPr>
        <w:spacing w:after="0"/>
        <w:jc w:val="both"/>
      </w:pPr>
    </w:p>
    <w:p w14:paraId="5D7323D1" w14:textId="0BE5267C" w:rsidR="00324720" w:rsidRPr="00324720" w:rsidRDefault="00565E25" w:rsidP="00E71527">
      <w:pPr>
        <w:spacing w:after="0"/>
        <w:jc w:val="center"/>
        <w:rPr>
          <w:highlight w:val="yellow"/>
        </w:rPr>
      </w:pPr>
      <w:r w:rsidRPr="00565E25">
        <w:rPr>
          <w:noProof/>
          <w:lang w:val="es-ES" w:eastAsia="es-ES"/>
        </w:rPr>
        <w:drawing>
          <wp:inline distT="0" distB="0" distL="0" distR="0" wp14:anchorId="4043919F" wp14:editId="5B028190">
            <wp:extent cx="5759450" cy="4075761"/>
            <wp:effectExtent l="0" t="0" r="0" b="1270"/>
            <wp:docPr id="8" name="Imagen 8" descr="C:\Users\Nidia Cruz\Downloads\areaestudi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dia Cruz\Downloads\areaestudio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075761"/>
                    </a:xfrm>
                    <a:prstGeom prst="rect">
                      <a:avLst/>
                    </a:prstGeom>
                    <a:noFill/>
                    <a:ln>
                      <a:noFill/>
                    </a:ln>
                  </pic:spPr>
                </pic:pic>
              </a:graphicData>
            </a:graphic>
          </wp:inline>
        </w:drawing>
      </w:r>
    </w:p>
    <w:p w14:paraId="253202B0" w14:textId="05284564" w:rsidR="00324720" w:rsidRPr="00E71527" w:rsidRDefault="00463D9B" w:rsidP="00E71527">
      <w:pPr>
        <w:spacing w:after="0"/>
        <w:rPr>
          <w:iCs/>
          <w:szCs w:val="24"/>
        </w:rPr>
      </w:pPr>
      <w:bookmarkStart w:id="3" w:name="_Ref14520383"/>
      <w:r w:rsidRPr="00E71527">
        <w:rPr>
          <w:b/>
          <w:iCs/>
          <w:szCs w:val="24"/>
        </w:rPr>
        <w:lastRenderedPageBreak/>
        <w:t xml:space="preserve">Figura </w:t>
      </w:r>
      <w:r w:rsidRPr="00E71527">
        <w:rPr>
          <w:b/>
          <w:iCs/>
          <w:szCs w:val="24"/>
        </w:rPr>
        <w:fldChar w:fldCharType="begin"/>
      </w:r>
      <w:r w:rsidRPr="00E71527">
        <w:rPr>
          <w:b/>
          <w:iCs/>
          <w:szCs w:val="24"/>
        </w:rPr>
        <w:instrText xml:space="preserve"> SEQ Figura \* ARABIC </w:instrText>
      </w:r>
      <w:r w:rsidRPr="00E71527">
        <w:rPr>
          <w:b/>
          <w:iCs/>
          <w:szCs w:val="24"/>
        </w:rPr>
        <w:fldChar w:fldCharType="separate"/>
      </w:r>
      <w:r w:rsidR="009F5136" w:rsidRPr="00E71527">
        <w:rPr>
          <w:b/>
          <w:iCs/>
          <w:noProof/>
          <w:szCs w:val="24"/>
        </w:rPr>
        <w:t>1</w:t>
      </w:r>
      <w:r w:rsidRPr="00E71527">
        <w:rPr>
          <w:b/>
          <w:iCs/>
          <w:szCs w:val="24"/>
        </w:rPr>
        <w:fldChar w:fldCharType="end"/>
      </w:r>
      <w:bookmarkEnd w:id="3"/>
      <w:r w:rsidRPr="00E71527">
        <w:rPr>
          <w:iCs/>
          <w:szCs w:val="24"/>
        </w:rPr>
        <w:t xml:space="preserve">. </w:t>
      </w:r>
      <w:r w:rsidR="00324720" w:rsidRPr="00E71527">
        <w:rPr>
          <w:iCs/>
          <w:szCs w:val="24"/>
        </w:rPr>
        <w:t>Mapa de la zona de estudio</w:t>
      </w:r>
      <w:r w:rsidR="0012778A" w:rsidRPr="00E71527">
        <w:rPr>
          <w:iCs/>
          <w:szCs w:val="24"/>
        </w:rPr>
        <w:t>.</w:t>
      </w:r>
    </w:p>
    <w:p w14:paraId="4E89709D" w14:textId="3CCAD44D" w:rsidR="00EF22BD" w:rsidRPr="00DD6966" w:rsidRDefault="00EF22BD" w:rsidP="00E71527">
      <w:pPr>
        <w:spacing w:after="0"/>
        <w:rPr>
          <w:i/>
          <w:iCs/>
          <w:szCs w:val="24"/>
          <w:lang w:val="en-US"/>
        </w:rPr>
      </w:pPr>
      <w:r w:rsidRPr="00DD6966">
        <w:rPr>
          <w:b/>
          <w:i/>
          <w:iCs/>
          <w:szCs w:val="24"/>
          <w:lang w:val="en-US"/>
        </w:rPr>
        <w:t xml:space="preserve">Figure 1. </w:t>
      </w:r>
      <w:r w:rsidRPr="00DD6966">
        <w:rPr>
          <w:i/>
          <w:iCs/>
          <w:szCs w:val="24"/>
          <w:lang w:val="en-US"/>
        </w:rPr>
        <w:t>Study area map</w:t>
      </w:r>
      <w:r w:rsidR="0012778A" w:rsidRPr="00DD6966">
        <w:rPr>
          <w:b/>
          <w:i/>
          <w:iCs/>
          <w:szCs w:val="24"/>
          <w:lang w:val="en-US"/>
        </w:rPr>
        <w:t>.</w:t>
      </w:r>
    </w:p>
    <w:p w14:paraId="0A9DD3C9" w14:textId="26A1BA21" w:rsidR="00324720" w:rsidRPr="004E6281" w:rsidRDefault="00324720" w:rsidP="00E71527">
      <w:pPr>
        <w:spacing w:after="0"/>
        <w:jc w:val="center"/>
        <w:rPr>
          <w:lang w:val="en-US"/>
        </w:rPr>
      </w:pPr>
    </w:p>
    <w:p w14:paraId="4E762A9A" w14:textId="4A24ECE4" w:rsidR="00324720" w:rsidRPr="00E71527" w:rsidRDefault="00463D9B" w:rsidP="00E71527">
      <w:pPr>
        <w:spacing w:after="0"/>
      </w:pPr>
      <w:bookmarkStart w:id="4" w:name="_Ref14520397"/>
      <w:r w:rsidRPr="00E71527">
        <w:rPr>
          <w:b/>
          <w:lang w:val="es-CR"/>
        </w:rPr>
        <w:t xml:space="preserve">Cuadro </w:t>
      </w:r>
      <w:r w:rsidRPr="00E71527">
        <w:rPr>
          <w:b/>
          <w:noProof/>
        </w:rPr>
        <w:fldChar w:fldCharType="begin"/>
      </w:r>
      <w:r w:rsidRPr="00E71527">
        <w:rPr>
          <w:b/>
          <w:noProof/>
          <w:lang w:val="es-CR"/>
        </w:rPr>
        <w:instrText xml:space="preserve"> SEQ Cuadro \* ARABIC </w:instrText>
      </w:r>
      <w:r w:rsidRPr="00E71527">
        <w:rPr>
          <w:b/>
          <w:noProof/>
        </w:rPr>
        <w:fldChar w:fldCharType="separate"/>
      </w:r>
      <w:r w:rsidR="009F5136" w:rsidRPr="00E71527">
        <w:rPr>
          <w:b/>
          <w:noProof/>
          <w:lang w:val="es-CR"/>
        </w:rPr>
        <w:t>2</w:t>
      </w:r>
      <w:r w:rsidRPr="00E71527">
        <w:rPr>
          <w:b/>
          <w:noProof/>
        </w:rPr>
        <w:fldChar w:fldCharType="end"/>
      </w:r>
      <w:bookmarkEnd w:id="4"/>
      <w:r w:rsidRPr="00E71527">
        <w:rPr>
          <w:b/>
          <w:lang w:val="es-CR"/>
        </w:rPr>
        <w:t>.</w:t>
      </w:r>
      <w:r w:rsidRPr="00E71527">
        <w:rPr>
          <w:lang w:val="es-CR"/>
        </w:rPr>
        <w:t xml:space="preserve"> </w:t>
      </w:r>
      <w:r w:rsidR="00324720" w:rsidRPr="00E71527">
        <w:t xml:space="preserve">Características </w:t>
      </w:r>
      <w:r w:rsidR="00EF22BD" w:rsidRPr="00E71527">
        <w:t>geográficas y socioeconómicas de los cantones de estudio</w:t>
      </w:r>
      <w:r w:rsidR="00E71527">
        <w:t>.</w:t>
      </w:r>
    </w:p>
    <w:p w14:paraId="6E184991" w14:textId="2725263B" w:rsidR="00EF22BD" w:rsidRDefault="00EF22BD" w:rsidP="00E71527">
      <w:pPr>
        <w:spacing w:after="0"/>
        <w:jc w:val="both"/>
        <w:rPr>
          <w:i/>
          <w:iCs/>
          <w:lang w:val="en-US"/>
        </w:rPr>
      </w:pPr>
      <w:r w:rsidRPr="00DD6966">
        <w:rPr>
          <w:b/>
          <w:i/>
          <w:iCs/>
          <w:lang w:val="en-US"/>
        </w:rPr>
        <w:t xml:space="preserve">Table 2. </w:t>
      </w:r>
      <w:r w:rsidRPr="00DD6966">
        <w:rPr>
          <w:i/>
          <w:iCs/>
          <w:lang w:val="en-US"/>
        </w:rPr>
        <w:t>Geographic and socioeconomics characteristics of the studied cities</w:t>
      </w:r>
      <w:r w:rsidR="00DD6966">
        <w:rPr>
          <w:i/>
          <w:iCs/>
          <w:lang w:val="en-US"/>
        </w:rPr>
        <w:t>.</w:t>
      </w:r>
    </w:p>
    <w:p w14:paraId="57385CE1" w14:textId="77777777" w:rsidR="00DD6966" w:rsidRPr="00DD6966" w:rsidRDefault="00DD6966" w:rsidP="00E71527">
      <w:pPr>
        <w:spacing w:after="0"/>
        <w:jc w:val="both"/>
        <w:rPr>
          <w:i/>
          <w:iCs/>
          <w:lang w:val="en-US"/>
        </w:rPr>
      </w:pPr>
    </w:p>
    <w:tbl>
      <w:tblPr>
        <w:tblStyle w:val="Tablanormal41"/>
        <w:tblW w:w="5000" w:type="pct"/>
        <w:tblLook w:val="04A0" w:firstRow="1" w:lastRow="0" w:firstColumn="1" w:lastColumn="0" w:noHBand="0" w:noVBand="1"/>
      </w:tblPr>
      <w:tblGrid>
        <w:gridCol w:w="2448"/>
        <w:gridCol w:w="1807"/>
        <w:gridCol w:w="1618"/>
        <w:gridCol w:w="1602"/>
        <w:gridCol w:w="1595"/>
      </w:tblGrid>
      <w:tr w:rsidR="00DD6966" w:rsidRPr="00F00A20" w14:paraId="258E5DB7" w14:textId="77777777" w:rsidTr="00DD6966">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350" w:type="pct"/>
            <w:vMerge w:val="restart"/>
            <w:tcBorders>
              <w:top w:val="single" w:sz="4" w:space="0" w:color="auto"/>
            </w:tcBorders>
            <w:shd w:val="clear" w:color="auto" w:fill="auto"/>
            <w:vAlign w:val="center"/>
          </w:tcPr>
          <w:p w14:paraId="50E9CF2F" w14:textId="5D5013DF" w:rsidR="00DD6966" w:rsidRPr="00F00A20" w:rsidRDefault="00DD6966" w:rsidP="00B36B1D">
            <w:pPr>
              <w:jc w:val="center"/>
              <w:rPr>
                <w:rFonts w:cs="Times New Roman"/>
                <w:sz w:val="22"/>
              </w:rPr>
            </w:pPr>
            <w:r>
              <w:rPr>
                <w:rFonts w:cs="Times New Roman"/>
                <w:sz w:val="22"/>
              </w:rPr>
              <w:t>Características</w:t>
            </w:r>
          </w:p>
        </w:tc>
        <w:tc>
          <w:tcPr>
            <w:tcW w:w="3650" w:type="pct"/>
            <w:gridSpan w:val="4"/>
            <w:tcBorders>
              <w:top w:val="single" w:sz="4" w:space="0" w:color="auto"/>
              <w:bottom w:val="single" w:sz="4" w:space="0" w:color="auto"/>
            </w:tcBorders>
            <w:shd w:val="clear" w:color="auto" w:fill="auto"/>
          </w:tcPr>
          <w:p w14:paraId="161E5ACE" w14:textId="4C8495C5" w:rsidR="00DD6966" w:rsidRPr="00F00A20" w:rsidRDefault="00DD6966" w:rsidP="00E71527">
            <w:pPr>
              <w:jc w:val="center"/>
              <w:cnfStyle w:val="100000000000" w:firstRow="1" w:lastRow="0" w:firstColumn="0" w:lastColumn="0" w:oddVBand="0" w:evenVBand="0" w:oddHBand="0" w:evenHBand="0" w:firstRowFirstColumn="0" w:firstRowLastColumn="0" w:lastRowFirstColumn="0" w:lastRowLastColumn="0"/>
              <w:rPr>
                <w:rFonts w:cs="Times New Roman"/>
                <w:sz w:val="22"/>
              </w:rPr>
            </w:pPr>
            <w:r>
              <w:rPr>
                <w:rFonts w:cs="Times New Roman"/>
                <w:sz w:val="22"/>
              </w:rPr>
              <w:t>Cantón</w:t>
            </w:r>
          </w:p>
        </w:tc>
      </w:tr>
      <w:tr w:rsidR="00DD6966" w:rsidRPr="00F00A20" w14:paraId="309B20BA" w14:textId="77777777" w:rsidTr="00DD6966">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350" w:type="pct"/>
            <w:vMerge/>
            <w:tcBorders>
              <w:bottom w:val="single" w:sz="4" w:space="0" w:color="auto"/>
            </w:tcBorders>
            <w:shd w:val="clear" w:color="auto" w:fill="auto"/>
          </w:tcPr>
          <w:p w14:paraId="264D2F30" w14:textId="15727971" w:rsidR="00DD6966" w:rsidRPr="00F00A20" w:rsidRDefault="00DD6966" w:rsidP="00E71527">
            <w:pPr>
              <w:rPr>
                <w:rFonts w:cs="Times New Roman"/>
                <w:sz w:val="22"/>
              </w:rPr>
            </w:pPr>
          </w:p>
        </w:tc>
        <w:tc>
          <w:tcPr>
            <w:tcW w:w="996" w:type="pct"/>
            <w:tcBorders>
              <w:top w:val="single" w:sz="4" w:space="0" w:color="auto"/>
              <w:bottom w:val="single" w:sz="4" w:space="0" w:color="auto"/>
            </w:tcBorders>
            <w:shd w:val="clear" w:color="auto" w:fill="auto"/>
          </w:tcPr>
          <w:p w14:paraId="7A1804B9" w14:textId="77777777" w:rsidR="00DD6966" w:rsidRPr="00DD6966" w:rsidRDefault="00DD6966" w:rsidP="00E71527">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DD6966">
              <w:rPr>
                <w:rFonts w:cs="Times New Roman"/>
                <w:b/>
                <w:bCs/>
                <w:sz w:val="22"/>
              </w:rPr>
              <w:t>Oreamuno</w:t>
            </w:r>
          </w:p>
        </w:tc>
        <w:tc>
          <w:tcPr>
            <w:tcW w:w="892" w:type="pct"/>
            <w:tcBorders>
              <w:top w:val="single" w:sz="4" w:space="0" w:color="auto"/>
              <w:bottom w:val="single" w:sz="4" w:space="0" w:color="auto"/>
            </w:tcBorders>
            <w:shd w:val="clear" w:color="auto" w:fill="auto"/>
          </w:tcPr>
          <w:p w14:paraId="067A2792" w14:textId="77777777" w:rsidR="00DD6966" w:rsidRPr="00DD6966" w:rsidRDefault="00DD6966" w:rsidP="00E71527">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DD6966">
              <w:rPr>
                <w:rFonts w:cs="Times New Roman"/>
                <w:b/>
                <w:bCs/>
                <w:sz w:val="22"/>
              </w:rPr>
              <w:t>Alvarado</w:t>
            </w:r>
          </w:p>
        </w:tc>
        <w:tc>
          <w:tcPr>
            <w:tcW w:w="883" w:type="pct"/>
            <w:tcBorders>
              <w:top w:val="single" w:sz="4" w:space="0" w:color="auto"/>
              <w:bottom w:val="single" w:sz="4" w:space="0" w:color="auto"/>
            </w:tcBorders>
            <w:shd w:val="clear" w:color="auto" w:fill="auto"/>
          </w:tcPr>
          <w:p w14:paraId="174CB0FB" w14:textId="77777777" w:rsidR="00DD6966" w:rsidRPr="00DD6966" w:rsidRDefault="00DD6966" w:rsidP="00E71527">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DD6966">
              <w:rPr>
                <w:rFonts w:cs="Times New Roman"/>
                <w:b/>
                <w:bCs/>
                <w:sz w:val="22"/>
              </w:rPr>
              <w:t>Jiménez</w:t>
            </w:r>
          </w:p>
        </w:tc>
        <w:tc>
          <w:tcPr>
            <w:tcW w:w="879" w:type="pct"/>
            <w:tcBorders>
              <w:top w:val="single" w:sz="4" w:space="0" w:color="auto"/>
              <w:bottom w:val="single" w:sz="4" w:space="0" w:color="auto"/>
            </w:tcBorders>
            <w:shd w:val="clear" w:color="auto" w:fill="auto"/>
          </w:tcPr>
          <w:p w14:paraId="742E55B6" w14:textId="77777777" w:rsidR="00DD6966" w:rsidRPr="00DD6966" w:rsidRDefault="00DD6966" w:rsidP="00E71527">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DD6966">
              <w:rPr>
                <w:rFonts w:cs="Times New Roman"/>
                <w:b/>
                <w:bCs/>
                <w:sz w:val="22"/>
              </w:rPr>
              <w:t>Turrialba</w:t>
            </w:r>
          </w:p>
        </w:tc>
      </w:tr>
      <w:tr w:rsidR="00324720" w:rsidRPr="00463D9B" w14:paraId="39CAB491" w14:textId="77777777" w:rsidTr="004E3E3B">
        <w:trPr>
          <w:trHeight w:val="148"/>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auto"/>
            </w:tcBorders>
            <w:shd w:val="clear" w:color="auto" w:fill="auto"/>
          </w:tcPr>
          <w:p w14:paraId="4A4351EB" w14:textId="77777777" w:rsidR="00324720" w:rsidRPr="0092214B" w:rsidRDefault="00324720" w:rsidP="00B36B1D">
            <w:pPr>
              <w:rPr>
                <w:rFonts w:cs="Times New Roman"/>
                <w:b w:val="0"/>
                <w:sz w:val="22"/>
              </w:rPr>
            </w:pPr>
            <w:r w:rsidRPr="0092214B">
              <w:rPr>
                <w:rFonts w:cs="Times New Roman"/>
                <w:b w:val="0"/>
                <w:sz w:val="22"/>
              </w:rPr>
              <w:t>Fundación</w:t>
            </w:r>
          </w:p>
        </w:tc>
        <w:tc>
          <w:tcPr>
            <w:tcW w:w="996" w:type="pct"/>
            <w:tcBorders>
              <w:top w:val="single" w:sz="4" w:space="0" w:color="auto"/>
            </w:tcBorders>
            <w:shd w:val="clear" w:color="auto" w:fill="auto"/>
          </w:tcPr>
          <w:p w14:paraId="13AA6FC1" w14:textId="77777777" w:rsidR="00324720" w:rsidRPr="00F00A20" w:rsidRDefault="00324720" w:rsidP="00E71527">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F00A20">
              <w:rPr>
                <w:rFonts w:cs="Times New Roman"/>
                <w:sz w:val="22"/>
              </w:rPr>
              <w:t>1914</w:t>
            </w:r>
          </w:p>
        </w:tc>
        <w:tc>
          <w:tcPr>
            <w:tcW w:w="892" w:type="pct"/>
            <w:tcBorders>
              <w:top w:val="single" w:sz="4" w:space="0" w:color="auto"/>
            </w:tcBorders>
            <w:shd w:val="clear" w:color="auto" w:fill="auto"/>
          </w:tcPr>
          <w:p w14:paraId="0C8DE841" w14:textId="77777777" w:rsidR="00324720" w:rsidRPr="00F00A20" w:rsidRDefault="00324720" w:rsidP="00E71527">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F00A20">
              <w:rPr>
                <w:rFonts w:cs="Times New Roman"/>
                <w:sz w:val="22"/>
              </w:rPr>
              <w:t>1903</w:t>
            </w:r>
          </w:p>
        </w:tc>
        <w:tc>
          <w:tcPr>
            <w:tcW w:w="883" w:type="pct"/>
            <w:tcBorders>
              <w:top w:val="single" w:sz="4" w:space="0" w:color="auto"/>
            </w:tcBorders>
            <w:shd w:val="clear" w:color="auto" w:fill="auto"/>
          </w:tcPr>
          <w:p w14:paraId="3B13AE60" w14:textId="77777777" w:rsidR="00324720" w:rsidRPr="00F00A20" w:rsidRDefault="00324720" w:rsidP="00E71527">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F00A20">
              <w:rPr>
                <w:rFonts w:cs="Times New Roman"/>
                <w:sz w:val="22"/>
              </w:rPr>
              <w:t>1903</w:t>
            </w:r>
          </w:p>
        </w:tc>
        <w:tc>
          <w:tcPr>
            <w:tcW w:w="879" w:type="pct"/>
            <w:tcBorders>
              <w:top w:val="single" w:sz="4" w:space="0" w:color="auto"/>
            </w:tcBorders>
            <w:shd w:val="clear" w:color="auto" w:fill="auto"/>
          </w:tcPr>
          <w:p w14:paraId="7D156B84" w14:textId="5B2F3C2F" w:rsidR="00324720" w:rsidRPr="00463D9B" w:rsidRDefault="0053436F" w:rsidP="00E71527">
            <w:pPr>
              <w:jc w:val="center"/>
              <w:cnfStyle w:val="000000000000" w:firstRow="0" w:lastRow="0" w:firstColumn="0" w:lastColumn="0" w:oddVBand="0" w:evenVBand="0" w:oddHBand="0" w:evenHBand="0" w:firstRowFirstColumn="0" w:firstRowLastColumn="0" w:lastRowFirstColumn="0" w:lastRowLastColumn="0"/>
              <w:rPr>
                <w:rFonts w:cs="Times New Roman"/>
                <w:sz w:val="22"/>
                <w:highlight w:val="yellow"/>
              </w:rPr>
            </w:pPr>
            <w:r w:rsidRPr="00865739">
              <w:rPr>
                <w:rFonts w:cs="Times New Roman"/>
                <w:sz w:val="22"/>
              </w:rPr>
              <w:t>1903</w:t>
            </w:r>
          </w:p>
        </w:tc>
      </w:tr>
      <w:tr w:rsidR="00463D9B" w:rsidRPr="00F00A20" w14:paraId="3ECB2681" w14:textId="77777777" w:rsidTr="004E3E3B">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350" w:type="pct"/>
            <w:shd w:val="clear" w:color="auto" w:fill="auto"/>
          </w:tcPr>
          <w:p w14:paraId="307E0434" w14:textId="3D002CA5" w:rsidR="00463D9B" w:rsidRPr="0092214B" w:rsidRDefault="00463D9B" w:rsidP="00B36B1D">
            <w:pPr>
              <w:rPr>
                <w:rFonts w:cs="Times New Roman"/>
                <w:b w:val="0"/>
                <w:sz w:val="22"/>
              </w:rPr>
            </w:pPr>
            <w:r w:rsidRPr="0092214B">
              <w:rPr>
                <w:rFonts w:cs="Times New Roman"/>
                <w:b w:val="0"/>
                <w:sz w:val="22"/>
              </w:rPr>
              <w:t>Área (</w:t>
            </w:r>
            <w:r w:rsidR="008B15CB">
              <w:rPr>
                <w:rFonts w:cs="Times New Roman"/>
                <w:b w:val="0"/>
                <w:sz w:val="22"/>
              </w:rPr>
              <w:t>k</w:t>
            </w:r>
            <w:r w:rsidRPr="0092214B">
              <w:rPr>
                <w:rFonts w:cs="Times New Roman"/>
                <w:b w:val="0"/>
                <w:sz w:val="22"/>
              </w:rPr>
              <w:t>m</w:t>
            </w:r>
            <w:r w:rsidRPr="008B15CB">
              <w:rPr>
                <w:rFonts w:cs="Times New Roman"/>
                <w:sz w:val="22"/>
                <w:vertAlign w:val="superscript"/>
              </w:rPr>
              <w:t>2</w:t>
            </w:r>
            <w:r w:rsidRPr="0092214B">
              <w:rPr>
                <w:rFonts w:cs="Times New Roman"/>
                <w:b w:val="0"/>
                <w:sz w:val="22"/>
              </w:rPr>
              <w:t>)</w:t>
            </w:r>
          </w:p>
        </w:tc>
        <w:tc>
          <w:tcPr>
            <w:tcW w:w="996" w:type="pct"/>
            <w:shd w:val="clear" w:color="auto" w:fill="auto"/>
          </w:tcPr>
          <w:p w14:paraId="6D741D73" w14:textId="584C2D83" w:rsidR="00463D9B" w:rsidRPr="00F00A20" w:rsidRDefault="00463D9B" w:rsidP="00E71527">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F00A20">
              <w:rPr>
                <w:rFonts w:cs="Times New Roman"/>
                <w:sz w:val="22"/>
              </w:rPr>
              <w:t>202</w:t>
            </w:r>
            <w:r w:rsidR="00BE68AE">
              <w:rPr>
                <w:rFonts w:cs="Times New Roman"/>
                <w:sz w:val="22"/>
              </w:rPr>
              <w:t>.</w:t>
            </w:r>
            <w:r w:rsidRPr="00F00A20">
              <w:rPr>
                <w:rFonts w:cs="Times New Roman"/>
                <w:sz w:val="22"/>
              </w:rPr>
              <w:t>3</w:t>
            </w:r>
          </w:p>
        </w:tc>
        <w:tc>
          <w:tcPr>
            <w:tcW w:w="892" w:type="pct"/>
            <w:shd w:val="clear" w:color="auto" w:fill="auto"/>
          </w:tcPr>
          <w:p w14:paraId="1A9AA776" w14:textId="54045F99" w:rsidR="00463D9B" w:rsidRPr="00F00A20" w:rsidRDefault="00463D9B" w:rsidP="00E71527">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F00A20">
              <w:rPr>
                <w:rFonts w:cs="Times New Roman"/>
                <w:sz w:val="22"/>
              </w:rPr>
              <w:t>81</w:t>
            </w:r>
            <w:r w:rsidR="00BE68AE">
              <w:rPr>
                <w:rFonts w:cs="Times New Roman"/>
                <w:sz w:val="22"/>
              </w:rPr>
              <w:t>.</w:t>
            </w:r>
            <w:r w:rsidR="0076374A">
              <w:rPr>
                <w:rFonts w:cs="Times New Roman"/>
                <w:sz w:val="22"/>
              </w:rPr>
              <w:t>1</w:t>
            </w:r>
          </w:p>
        </w:tc>
        <w:tc>
          <w:tcPr>
            <w:tcW w:w="883" w:type="pct"/>
            <w:shd w:val="clear" w:color="auto" w:fill="auto"/>
          </w:tcPr>
          <w:p w14:paraId="3A1715E3" w14:textId="46D44447" w:rsidR="00463D9B" w:rsidRPr="00F00A20" w:rsidRDefault="00463D9B" w:rsidP="00E71527">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F00A20">
              <w:rPr>
                <w:rFonts w:cs="Times New Roman"/>
                <w:sz w:val="22"/>
              </w:rPr>
              <w:t>285</w:t>
            </w:r>
            <w:r w:rsidR="00BE68AE">
              <w:rPr>
                <w:rFonts w:cs="Times New Roman"/>
                <w:sz w:val="22"/>
              </w:rPr>
              <w:t>.</w:t>
            </w:r>
            <w:r w:rsidRPr="00F00A20">
              <w:rPr>
                <w:rFonts w:cs="Times New Roman"/>
                <w:sz w:val="22"/>
              </w:rPr>
              <w:t>4</w:t>
            </w:r>
          </w:p>
        </w:tc>
        <w:tc>
          <w:tcPr>
            <w:tcW w:w="879" w:type="pct"/>
            <w:shd w:val="clear" w:color="auto" w:fill="auto"/>
          </w:tcPr>
          <w:p w14:paraId="22AF6BE6" w14:textId="2033831E" w:rsidR="00463D9B" w:rsidRPr="00F00A20" w:rsidRDefault="0053436F" w:rsidP="00E71527">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16</w:t>
            </w:r>
            <w:r w:rsidR="00865739">
              <w:rPr>
                <w:rFonts w:cs="Times New Roman"/>
                <w:sz w:val="22"/>
              </w:rPr>
              <w:t>42</w:t>
            </w:r>
            <w:r w:rsidR="00BE68AE">
              <w:rPr>
                <w:rFonts w:cs="Times New Roman"/>
                <w:sz w:val="22"/>
              </w:rPr>
              <w:t>.</w:t>
            </w:r>
            <w:r w:rsidR="00865739">
              <w:rPr>
                <w:rFonts w:cs="Times New Roman"/>
                <w:sz w:val="22"/>
              </w:rPr>
              <w:t>7</w:t>
            </w:r>
          </w:p>
        </w:tc>
      </w:tr>
      <w:tr w:rsidR="00463D9B" w:rsidRPr="00F00A20" w14:paraId="376FA249" w14:textId="77777777" w:rsidTr="004E3E3B">
        <w:trPr>
          <w:trHeight w:val="171"/>
        </w:trPr>
        <w:tc>
          <w:tcPr>
            <w:cnfStyle w:val="001000000000" w:firstRow="0" w:lastRow="0" w:firstColumn="1" w:lastColumn="0" w:oddVBand="0" w:evenVBand="0" w:oddHBand="0" w:evenHBand="0" w:firstRowFirstColumn="0" w:firstRowLastColumn="0" w:lastRowFirstColumn="0" w:lastRowLastColumn="0"/>
            <w:tcW w:w="1350" w:type="pct"/>
            <w:shd w:val="clear" w:color="auto" w:fill="auto"/>
          </w:tcPr>
          <w:p w14:paraId="1290F570" w14:textId="66CD5A7E" w:rsidR="00463D9B" w:rsidRPr="0092214B" w:rsidRDefault="00463D9B" w:rsidP="00B36B1D">
            <w:pPr>
              <w:rPr>
                <w:rFonts w:cs="Times New Roman"/>
                <w:b w:val="0"/>
                <w:sz w:val="22"/>
              </w:rPr>
            </w:pPr>
            <w:r w:rsidRPr="0092214B">
              <w:rPr>
                <w:rFonts w:cs="Times New Roman"/>
                <w:b w:val="0"/>
                <w:sz w:val="22"/>
              </w:rPr>
              <w:t>Población (2013)</w:t>
            </w:r>
          </w:p>
        </w:tc>
        <w:tc>
          <w:tcPr>
            <w:tcW w:w="996" w:type="pct"/>
            <w:shd w:val="clear" w:color="auto" w:fill="auto"/>
          </w:tcPr>
          <w:p w14:paraId="5E24839B" w14:textId="61A5F8B1" w:rsidR="00463D9B" w:rsidRPr="00F00A20" w:rsidRDefault="00463D9B" w:rsidP="00E71527">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F00A20">
              <w:rPr>
                <w:rFonts w:cs="Times New Roman"/>
                <w:sz w:val="22"/>
              </w:rPr>
              <w:t>47</w:t>
            </w:r>
            <w:r w:rsidR="0092214B">
              <w:rPr>
                <w:rFonts w:cs="Times New Roman"/>
                <w:sz w:val="22"/>
              </w:rPr>
              <w:t xml:space="preserve"> </w:t>
            </w:r>
            <w:r w:rsidRPr="00F00A20">
              <w:rPr>
                <w:rFonts w:cs="Times New Roman"/>
                <w:sz w:val="22"/>
              </w:rPr>
              <w:t>081</w:t>
            </w:r>
          </w:p>
        </w:tc>
        <w:tc>
          <w:tcPr>
            <w:tcW w:w="892" w:type="pct"/>
            <w:shd w:val="clear" w:color="auto" w:fill="auto"/>
          </w:tcPr>
          <w:p w14:paraId="39D9BACF" w14:textId="37429271" w:rsidR="00463D9B" w:rsidRPr="00F00A20" w:rsidRDefault="00463D9B" w:rsidP="00E71527">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F00A20">
              <w:rPr>
                <w:rFonts w:cs="Times New Roman"/>
                <w:sz w:val="22"/>
              </w:rPr>
              <w:t>14</w:t>
            </w:r>
            <w:r w:rsidR="0092214B">
              <w:rPr>
                <w:rFonts w:cs="Times New Roman"/>
                <w:sz w:val="22"/>
              </w:rPr>
              <w:t xml:space="preserve"> </w:t>
            </w:r>
            <w:r w:rsidRPr="00F00A20">
              <w:rPr>
                <w:rFonts w:cs="Times New Roman"/>
                <w:sz w:val="22"/>
              </w:rPr>
              <w:t>589</w:t>
            </w:r>
          </w:p>
        </w:tc>
        <w:tc>
          <w:tcPr>
            <w:tcW w:w="883" w:type="pct"/>
            <w:shd w:val="clear" w:color="auto" w:fill="auto"/>
          </w:tcPr>
          <w:p w14:paraId="0EC2BDE0" w14:textId="0FF8C15C" w:rsidR="00463D9B" w:rsidRPr="00F00A20" w:rsidRDefault="00463D9B" w:rsidP="00E71527">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F00A20">
              <w:rPr>
                <w:rFonts w:cs="Times New Roman"/>
                <w:sz w:val="22"/>
              </w:rPr>
              <w:t>15</w:t>
            </w:r>
            <w:r w:rsidR="0092214B">
              <w:rPr>
                <w:rFonts w:cs="Times New Roman"/>
                <w:sz w:val="22"/>
              </w:rPr>
              <w:t xml:space="preserve"> </w:t>
            </w:r>
            <w:r w:rsidRPr="00F00A20">
              <w:rPr>
                <w:rFonts w:cs="Times New Roman"/>
                <w:sz w:val="22"/>
              </w:rPr>
              <w:t>928</w:t>
            </w:r>
          </w:p>
        </w:tc>
        <w:tc>
          <w:tcPr>
            <w:tcW w:w="879" w:type="pct"/>
            <w:shd w:val="clear" w:color="auto" w:fill="auto"/>
          </w:tcPr>
          <w:p w14:paraId="5FFAE6A8" w14:textId="7339EB8A" w:rsidR="00463D9B" w:rsidRPr="00F00A20" w:rsidRDefault="00865739" w:rsidP="00E71527">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69</w:t>
            </w:r>
            <w:r w:rsidR="00BE68AE">
              <w:rPr>
                <w:rFonts w:cs="Times New Roman"/>
                <w:sz w:val="22"/>
              </w:rPr>
              <w:t xml:space="preserve"> </w:t>
            </w:r>
            <w:r>
              <w:rPr>
                <w:rFonts w:cs="Times New Roman"/>
                <w:sz w:val="22"/>
              </w:rPr>
              <w:t>616</w:t>
            </w:r>
          </w:p>
        </w:tc>
      </w:tr>
      <w:tr w:rsidR="00463D9B" w:rsidRPr="00F00A20" w14:paraId="5A0B1DAB" w14:textId="77777777" w:rsidTr="004E3E3B">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350" w:type="pct"/>
            <w:shd w:val="clear" w:color="auto" w:fill="auto"/>
          </w:tcPr>
          <w:p w14:paraId="50B18989" w14:textId="48257144" w:rsidR="00463D9B" w:rsidRPr="0092214B" w:rsidRDefault="00463D9B" w:rsidP="00B36B1D">
            <w:pPr>
              <w:rPr>
                <w:rFonts w:cs="Times New Roman"/>
                <w:b w:val="0"/>
                <w:sz w:val="22"/>
              </w:rPr>
            </w:pPr>
            <w:r w:rsidRPr="0092214B">
              <w:rPr>
                <w:rFonts w:cs="Times New Roman"/>
                <w:b w:val="0"/>
                <w:sz w:val="22"/>
              </w:rPr>
              <w:t>Pob</w:t>
            </w:r>
            <w:r w:rsidR="0092214B" w:rsidRPr="0092214B">
              <w:rPr>
                <w:rFonts w:cs="Times New Roman"/>
                <w:b w:val="0"/>
                <w:sz w:val="22"/>
              </w:rPr>
              <w:t>lación u</w:t>
            </w:r>
            <w:r w:rsidRPr="0092214B">
              <w:rPr>
                <w:rFonts w:cs="Times New Roman"/>
                <w:b w:val="0"/>
                <w:sz w:val="22"/>
              </w:rPr>
              <w:t>rbana</w:t>
            </w:r>
          </w:p>
        </w:tc>
        <w:tc>
          <w:tcPr>
            <w:tcW w:w="996" w:type="pct"/>
            <w:shd w:val="clear" w:color="auto" w:fill="auto"/>
          </w:tcPr>
          <w:p w14:paraId="45F61D64" w14:textId="23F979B4" w:rsidR="00463D9B" w:rsidRPr="00F00A20" w:rsidRDefault="00463D9B" w:rsidP="00E71527">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F00A20">
              <w:rPr>
                <w:rFonts w:cs="Times New Roman"/>
                <w:sz w:val="22"/>
              </w:rPr>
              <w:t>87</w:t>
            </w:r>
            <w:r w:rsidR="00BE68AE">
              <w:rPr>
                <w:rFonts w:cs="Times New Roman"/>
                <w:sz w:val="22"/>
              </w:rPr>
              <w:t>.</w:t>
            </w:r>
            <w:r w:rsidRPr="00F00A20">
              <w:rPr>
                <w:rFonts w:cs="Times New Roman"/>
                <w:sz w:val="22"/>
              </w:rPr>
              <w:t>5</w:t>
            </w:r>
            <w:r w:rsidR="00BE68AE">
              <w:rPr>
                <w:rFonts w:cs="Times New Roman"/>
                <w:sz w:val="22"/>
              </w:rPr>
              <w:t xml:space="preserve"> </w:t>
            </w:r>
            <w:r w:rsidRPr="00F00A20">
              <w:rPr>
                <w:rFonts w:cs="Times New Roman"/>
                <w:sz w:val="22"/>
              </w:rPr>
              <w:t>%</w:t>
            </w:r>
          </w:p>
        </w:tc>
        <w:tc>
          <w:tcPr>
            <w:tcW w:w="892" w:type="pct"/>
            <w:shd w:val="clear" w:color="auto" w:fill="auto"/>
          </w:tcPr>
          <w:p w14:paraId="0DD27041" w14:textId="6CF7727A" w:rsidR="00463D9B" w:rsidRPr="00F00A20" w:rsidRDefault="00463D9B" w:rsidP="00E71527">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F00A20">
              <w:rPr>
                <w:rFonts w:cs="Times New Roman"/>
                <w:sz w:val="22"/>
              </w:rPr>
              <w:t>62</w:t>
            </w:r>
            <w:r w:rsidR="00BE68AE">
              <w:rPr>
                <w:rFonts w:cs="Times New Roman"/>
                <w:sz w:val="22"/>
              </w:rPr>
              <w:t>.</w:t>
            </w:r>
            <w:r w:rsidRPr="00F00A20">
              <w:rPr>
                <w:rFonts w:cs="Times New Roman"/>
                <w:sz w:val="22"/>
              </w:rPr>
              <w:t>6</w:t>
            </w:r>
            <w:r w:rsidR="00BE68AE">
              <w:rPr>
                <w:rFonts w:cs="Times New Roman"/>
                <w:sz w:val="22"/>
              </w:rPr>
              <w:t xml:space="preserve"> </w:t>
            </w:r>
            <w:r w:rsidRPr="00F00A20">
              <w:rPr>
                <w:rFonts w:cs="Times New Roman"/>
                <w:sz w:val="22"/>
              </w:rPr>
              <w:t>%</w:t>
            </w:r>
          </w:p>
        </w:tc>
        <w:tc>
          <w:tcPr>
            <w:tcW w:w="883" w:type="pct"/>
            <w:shd w:val="clear" w:color="auto" w:fill="auto"/>
          </w:tcPr>
          <w:p w14:paraId="5D2928CE" w14:textId="0B643634" w:rsidR="00463D9B" w:rsidRPr="00F00A20" w:rsidRDefault="00463D9B" w:rsidP="00E71527">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F00A20">
              <w:rPr>
                <w:rFonts w:cs="Times New Roman"/>
                <w:sz w:val="22"/>
              </w:rPr>
              <w:t>52</w:t>
            </w:r>
            <w:r w:rsidR="00BE68AE">
              <w:rPr>
                <w:rFonts w:cs="Times New Roman"/>
                <w:sz w:val="22"/>
              </w:rPr>
              <w:t>.</w:t>
            </w:r>
            <w:r w:rsidRPr="00F00A20">
              <w:rPr>
                <w:rFonts w:cs="Times New Roman"/>
                <w:sz w:val="22"/>
              </w:rPr>
              <w:t>4</w:t>
            </w:r>
            <w:r w:rsidR="00BE68AE">
              <w:rPr>
                <w:rFonts w:cs="Times New Roman"/>
                <w:sz w:val="22"/>
              </w:rPr>
              <w:t xml:space="preserve"> </w:t>
            </w:r>
            <w:r w:rsidRPr="00F00A20">
              <w:rPr>
                <w:rFonts w:cs="Times New Roman"/>
                <w:sz w:val="22"/>
              </w:rPr>
              <w:t>%</w:t>
            </w:r>
          </w:p>
        </w:tc>
        <w:tc>
          <w:tcPr>
            <w:tcW w:w="879" w:type="pct"/>
            <w:shd w:val="clear" w:color="auto" w:fill="auto"/>
          </w:tcPr>
          <w:p w14:paraId="0F0F53B6" w14:textId="15B5C6AE" w:rsidR="00463D9B" w:rsidRPr="00F00A20" w:rsidRDefault="00BE68AE" w:rsidP="00E71527">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55.</w:t>
            </w:r>
            <w:r w:rsidR="0053436F">
              <w:rPr>
                <w:rFonts w:cs="Times New Roman"/>
                <w:sz w:val="22"/>
              </w:rPr>
              <w:t>3</w:t>
            </w:r>
            <w:r>
              <w:rPr>
                <w:rFonts w:cs="Times New Roman"/>
                <w:sz w:val="22"/>
              </w:rPr>
              <w:t xml:space="preserve"> </w:t>
            </w:r>
            <w:r w:rsidR="0053436F">
              <w:rPr>
                <w:rFonts w:cs="Times New Roman"/>
                <w:sz w:val="22"/>
              </w:rPr>
              <w:t>%</w:t>
            </w:r>
          </w:p>
        </w:tc>
      </w:tr>
      <w:tr w:rsidR="00463D9B" w:rsidRPr="00F00A20" w14:paraId="56CC1178" w14:textId="77777777" w:rsidTr="004E3E3B">
        <w:trPr>
          <w:trHeight w:val="178"/>
        </w:trPr>
        <w:tc>
          <w:tcPr>
            <w:cnfStyle w:val="001000000000" w:firstRow="0" w:lastRow="0" w:firstColumn="1" w:lastColumn="0" w:oddVBand="0" w:evenVBand="0" w:oddHBand="0" w:evenHBand="0" w:firstRowFirstColumn="0" w:firstRowLastColumn="0" w:lastRowFirstColumn="0" w:lastRowLastColumn="0"/>
            <w:tcW w:w="1350" w:type="pct"/>
            <w:shd w:val="clear" w:color="auto" w:fill="auto"/>
          </w:tcPr>
          <w:p w14:paraId="777E1DEE" w14:textId="3B23A60C" w:rsidR="00463D9B" w:rsidRPr="0092214B" w:rsidRDefault="00463D9B" w:rsidP="00B36B1D">
            <w:pPr>
              <w:rPr>
                <w:rFonts w:cs="Times New Roman"/>
                <w:b w:val="0"/>
                <w:sz w:val="22"/>
              </w:rPr>
            </w:pPr>
            <w:r w:rsidRPr="0092214B">
              <w:rPr>
                <w:rFonts w:cs="Times New Roman"/>
                <w:b w:val="0"/>
                <w:sz w:val="22"/>
              </w:rPr>
              <w:t>Po</w:t>
            </w:r>
            <w:r w:rsidR="0092214B" w:rsidRPr="0092214B">
              <w:rPr>
                <w:rFonts w:cs="Times New Roman"/>
                <w:b w:val="0"/>
                <w:sz w:val="22"/>
              </w:rPr>
              <w:t>blación rural</w:t>
            </w:r>
          </w:p>
        </w:tc>
        <w:tc>
          <w:tcPr>
            <w:tcW w:w="996" w:type="pct"/>
            <w:shd w:val="clear" w:color="auto" w:fill="auto"/>
          </w:tcPr>
          <w:p w14:paraId="3C4F3A7B" w14:textId="07B2BB08" w:rsidR="00463D9B" w:rsidRPr="00F00A20" w:rsidRDefault="00463D9B" w:rsidP="00E71527">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F00A20">
              <w:rPr>
                <w:rFonts w:cs="Times New Roman"/>
                <w:sz w:val="22"/>
              </w:rPr>
              <w:t>12</w:t>
            </w:r>
            <w:r w:rsidR="00BE68AE">
              <w:rPr>
                <w:rFonts w:cs="Times New Roman"/>
                <w:sz w:val="22"/>
              </w:rPr>
              <w:t>.</w:t>
            </w:r>
            <w:r w:rsidRPr="00F00A20">
              <w:rPr>
                <w:rFonts w:cs="Times New Roman"/>
                <w:sz w:val="22"/>
              </w:rPr>
              <w:t>5</w:t>
            </w:r>
            <w:r w:rsidR="00BE68AE">
              <w:rPr>
                <w:rFonts w:cs="Times New Roman"/>
                <w:sz w:val="22"/>
              </w:rPr>
              <w:t xml:space="preserve"> </w:t>
            </w:r>
            <w:r w:rsidRPr="00F00A20">
              <w:rPr>
                <w:rFonts w:cs="Times New Roman"/>
                <w:sz w:val="22"/>
              </w:rPr>
              <w:t>%</w:t>
            </w:r>
          </w:p>
        </w:tc>
        <w:tc>
          <w:tcPr>
            <w:tcW w:w="892" w:type="pct"/>
            <w:shd w:val="clear" w:color="auto" w:fill="auto"/>
          </w:tcPr>
          <w:p w14:paraId="468366D0" w14:textId="6BEF9F57" w:rsidR="00463D9B" w:rsidRPr="00F00A20" w:rsidRDefault="00463D9B" w:rsidP="00E71527">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F00A20">
              <w:rPr>
                <w:rFonts w:cs="Times New Roman"/>
                <w:sz w:val="22"/>
              </w:rPr>
              <w:t>37</w:t>
            </w:r>
            <w:r w:rsidR="00BE68AE">
              <w:rPr>
                <w:rFonts w:cs="Times New Roman"/>
                <w:sz w:val="22"/>
              </w:rPr>
              <w:t>.</w:t>
            </w:r>
            <w:r w:rsidRPr="00F00A20">
              <w:rPr>
                <w:rFonts w:cs="Times New Roman"/>
                <w:sz w:val="22"/>
              </w:rPr>
              <w:t>4</w:t>
            </w:r>
            <w:r w:rsidR="00BE68AE">
              <w:rPr>
                <w:rFonts w:cs="Times New Roman"/>
                <w:sz w:val="22"/>
              </w:rPr>
              <w:t xml:space="preserve"> </w:t>
            </w:r>
            <w:r w:rsidRPr="00F00A20">
              <w:rPr>
                <w:rFonts w:cs="Times New Roman"/>
                <w:sz w:val="22"/>
              </w:rPr>
              <w:t>%</w:t>
            </w:r>
          </w:p>
        </w:tc>
        <w:tc>
          <w:tcPr>
            <w:tcW w:w="883" w:type="pct"/>
            <w:shd w:val="clear" w:color="auto" w:fill="auto"/>
          </w:tcPr>
          <w:p w14:paraId="3A0C0325" w14:textId="33CD13D2" w:rsidR="00463D9B" w:rsidRPr="00F00A20" w:rsidRDefault="00463D9B" w:rsidP="00E71527">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F00A20">
              <w:rPr>
                <w:rFonts w:cs="Times New Roman"/>
                <w:sz w:val="22"/>
              </w:rPr>
              <w:t>47</w:t>
            </w:r>
            <w:r w:rsidR="00BE68AE">
              <w:rPr>
                <w:rFonts w:cs="Times New Roman"/>
                <w:sz w:val="22"/>
              </w:rPr>
              <w:t>.</w:t>
            </w:r>
            <w:r w:rsidRPr="00F00A20">
              <w:rPr>
                <w:rFonts w:cs="Times New Roman"/>
                <w:sz w:val="22"/>
              </w:rPr>
              <w:t>6</w:t>
            </w:r>
            <w:r w:rsidR="00BE68AE">
              <w:rPr>
                <w:rFonts w:cs="Times New Roman"/>
                <w:sz w:val="22"/>
              </w:rPr>
              <w:t xml:space="preserve"> </w:t>
            </w:r>
            <w:r w:rsidRPr="00F00A20">
              <w:rPr>
                <w:rFonts w:cs="Times New Roman"/>
                <w:sz w:val="22"/>
              </w:rPr>
              <w:t>%</w:t>
            </w:r>
          </w:p>
        </w:tc>
        <w:tc>
          <w:tcPr>
            <w:tcW w:w="879" w:type="pct"/>
            <w:shd w:val="clear" w:color="auto" w:fill="auto"/>
          </w:tcPr>
          <w:p w14:paraId="79E16426" w14:textId="492DA7CA" w:rsidR="00463D9B" w:rsidRPr="00F00A20" w:rsidRDefault="00BE68AE" w:rsidP="00E71527">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44.</w:t>
            </w:r>
            <w:r w:rsidR="0053436F">
              <w:rPr>
                <w:rFonts w:cs="Times New Roman"/>
                <w:sz w:val="22"/>
              </w:rPr>
              <w:t>7</w:t>
            </w:r>
            <w:r>
              <w:rPr>
                <w:rFonts w:cs="Times New Roman"/>
                <w:sz w:val="22"/>
              </w:rPr>
              <w:t xml:space="preserve"> </w:t>
            </w:r>
            <w:r w:rsidR="0053436F">
              <w:rPr>
                <w:rFonts w:cs="Times New Roman"/>
                <w:sz w:val="22"/>
              </w:rPr>
              <w:t>%</w:t>
            </w:r>
          </w:p>
        </w:tc>
      </w:tr>
      <w:tr w:rsidR="00463D9B" w:rsidRPr="00F00A20" w14:paraId="07B70533" w14:textId="77777777" w:rsidTr="004E3E3B">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350" w:type="pct"/>
            <w:shd w:val="clear" w:color="auto" w:fill="auto"/>
          </w:tcPr>
          <w:p w14:paraId="6DC7189C" w14:textId="1FBCB058" w:rsidR="00463D9B" w:rsidRPr="0092214B" w:rsidRDefault="00463D9B" w:rsidP="00B36B1D">
            <w:pPr>
              <w:rPr>
                <w:rFonts w:cs="Times New Roman"/>
                <w:b w:val="0"/>
                <w:sz w:val="22"/>
              </w:rPr>
            </w:pPr>
            <w:r w:rsidRPr="0092214B">
              <w:rPr>
                <w:rFonts w:cs="Times New Roman"/>
                <w:b w:val="0"/>
                <w:sz w:val="22"/>
              </w:rPr>
              <w:t>Densidad (</w:t>
            </w:r>
            <w:proofErr w:type="spellStart"/>
            <w:r w:rsidRPr="0092214B">
              <w:rPr>
                <w:rFonts w:cs="Times New Roman"/>
                <w:b w:val="0"/>
                <w:sz w:val="22"/>
              </w:rPr>
              <w:t>hab</w:t>
            </w:r>
            <w:proofErr w:type="spellEnd"/>
            <w:r w:rsidRPr="0092214B">
              <w:rPr>
                <w:rFonts w:cs="Times New Roman"/>
                <w:b w:val="0"/>
                <w:sz w:val="22"/>
              </w:rPr>
              <w:t>/km</w:t>
            </w:r>
            <w:r w:rsidRPr="0092214B">
              <w:rPr>
                <w:rFonts w:cs="Times New Roman"/>
                <w:b w:val="0"/>
                <w:sz w:val="22"/>
                <w:vertAlign w:val="superscript"/>
              </w:rPr>
              <w:t>2</w:t>
            </w:r>
            <w:r w:rsidRPr="0092214B">
              <w:rPr>
                <w:rFonts w:cs="Times New Roman"/>
                <w:b w:val="0"/>
                <w:sz w:val="22"/>
              </w:rPr>
              <w:t>)</w:t>
            </w:r>
          </w:p>
        </w:tc>
        <w:tc>
          <w:tcPr>
            <w:tcW w:w="996" w:type="pct"/>
            <w:shd w:val="clear" w:color="auto" w:fill="auto"/>
          </w:tcPr>
          <w:p w14:paraId="0A0807B8" w14:textId="01EC9695" w:rsidR="00463D9B" w:rsidRPr="00F00A20" w:rsidRDefault="00463D9B" w:rsidP="00E71527">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F00A20">
              <w:rPr>
                <w:rFonts w:cs="Times New Roman"/>
                <w:sz w:val="22"/>
              </w:rPr>
              <w:t>99</w:t>
            </w:r>
            <w:r w:rsidR="00BE68AE">
              <w:rPr>
                <w:rFonts w:cs="Times New Roman"/>
                <w:sz w:val="22"/>
              </w:rPr>
              <w:t>.</w:t>
            </w:r>
            <w:r w:rsidRPr="00F00A20">
              <w:rPr>
                <w:rFonts w:cs="Times New Roman"/>
                <w:sz w:val="22"/>
              </w:rPr>
              <w:t>4</w:t>
            </w:r>
          </w:p>
        </w:tc>
        <w:tc>
          <w:tcPr>
            <w:tcW w:w="892" w:type="pct"/>
            <w:shd w:val="clear" w:color="auto" w:fill="auto"/>
          </w:tcPr>
          <w:p w14:paraId="711CD8CF" w14:textId="6B2E5ECB" w:rsidR="00463D9B" w:rsidRPr="00F00A20" w:rsidRDefault="00463D9B" w:rsidP="00E71527">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F00A20">
              <w:rPr>
                <w:rFonts w:cs="Times New Roman"/>
                <w:sz w:val="22"/>
              </w:rPr>
              <w:t>184</w:t>
            </w:r>
            <w:r w:rsidR="00BE68AE">
              <w:rPr>
                <w:rFonts w:cs="Times New Roman"/>
                <w:sz w:val="22"/>
              </w:rPr>
              <w:t>.</w:t>
            </w:r>
            <w:r w:rsidRPr="00F00A20">
              <w:rPr>
                <w:rFonts w:cs="Times New Roman"/>
                <w:sz w:val="22"/>
              </w:rPr>
              <w:t>2</w:t>
            </w:r>
          </w:p>
        </w:tc>
        <w:tc>
          <w:tcPr>
            <w:tcW w:w="883" w:type="pct"/>
            <w:shd w:val="clear" w:color="auto" w:fill="auto"/>
          </w:tcPr>
          <w:p w14:paraId="45ADCD79" w14:textId="25A88256" w:rsidR="00463D9B" w:rsidRPr="00F00A20" w:rsidRDefault="00463D9B" w:rsidP="00E71527">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F00A20">
              <w:rPr>
                <w:rFonts w:cs="Times New Roman"/>
                <w:sz w:val="22"/>
              </w:rPr>
              <w:t>63</w:t>
            </w:r>
            <w:r w:rsidR="00BE68AE">
              <w:rPr>
                <w:rFonts w:cs="Times New Roman"/>
                <w:sz w:val="22"/>
              </w:rPr>
              <w:t>.</w:t>
            </w:r>
            <w:r w:rsidRPr="00F00A20">
              <w:rPr>
                <w:rFonts w:cs="Times New Roman"/>
                <w:sz w:val="22"/>
              </w:rPr>
              <w:t>5</w:t>
            </w:r>
          </w:p>
        </w:tc>
        <w:tc>
          <w:tcPr>
            <w:tcW w:w="879" w:type="pct"/>
            <w:shd w:val="clear" w:color="auto" w:fill="auto"/>
          </w:tcPr>
          <w:p w14:paraId="37B0764C" w14:textId="6B095F15" w:rsidR="00463D9B" w:rsidRPr="00F00A20" w:rsidRDefault="00865739" w:rsidP="00E71527">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44</w:t>
            </w:r>
            <w:r w:rsidR="0076374A">
              <w:rPr>
                <w:rFonts w:cs="Times New Roman"/>
                <w:sz w:val="22"/>
              </w:rPr>
              <w:t>.0</w:t>
            </w:r>
          </w:p>
        </w:tc>
      </w:tr>
      <w:tr w:rsidR="00463D9B" w:rsidRPr="00F00A20" w14:paraId="7003CAA1" w14:textId="77777777" w:rsidTr="004E3E3B">
        <w:trPr>
          <w:trHeight w:val="557"/>
        </w:trPr>
        <w:tc>
          <w:tcPr>
            <w:cnfStyle w:val="001000000000" w:firstRow="0" w:lastRow="0" w:firstColumn="1" w:lastColumn="0" w:oddVBand="0" w:evenVBand="0" w:oddHBand="0" w:evenHBand="0" w:firstRowFirstColumn="0" w:firstRowLastColumn="0" w:lastRowFirstColumn="0" w:lastRowLastColumn="0"/>
            <w:tcW w:w="1350" w:type="pct"/>
            <w:shd w:val="clear" w:color="auto" w:fill="auto"/>
          </w:tcPr>
          <w:p w14:paraId="134F22DD" w14:textId="77777777" w:rsidR="00463D9B" w:rsidRPr="0092214B" w:rsidRDefault="00463D9B" w:rsidP="00B36B1D">
            <w:pPr>
              <w:rPr>
                <w:rFonts w:cs="Times New Roman"/>
                <w:b w:val="0"/>
                <w:sz w:val="22"/>
              </w:rPr>
            </w:pPr>
            <w:r w:rsidRPr="0092214B">
              <w:rPr>
                <w:rFonts w:cs="Times New Roman"/>
                <w:b w:val="0"/>
                <w:sz w:val="22"/>
              </w:rPr>
              <w:t>Tasa crecimiento poblacional (2000-2011)</w:t>
            </w:r>
          </w:p>
        </w:tc>
        <w:tc>
          <w:tcPr>
            <w:tcW w:w="996" w:type="pct"/>
            <w:shd w:val="clear" w:color="auto" w:fill="auto"/>
          </w:tcPr>
          <w:p w14:paraId="5DF927A3" w14:textId="550C5DBE" w:rsidR="00463D9B" w:rsidRPr="00F00A20" w:rsidRDefault="00463D9B" w:rsidP="00E71527">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F00A20">
              <w:rPr>
                <w:rFonts w:cs="Times New Roman"/>
                <w:sz w:val="22"/>
              </w:rPr>
              <w:t>3</w:t>
            </w:r>
            <w:r w:rsidR="00BE68AE">
              <w:rPr>
                <w:rFonts w:cs="Times New Roman"/>
                <w:sz w:val="22"/>
              </w:rPr>
              <w:t>.</w:t>
            </w:r>
            <w:r w:rsidRPr="00F00A20">
              <w:rPr>
                <w:rFonts w:cs="Times New Roman"/>
                <w:sz w:val="22"/>
              </w:rPr>
              <w:t>7</w:t>
            </w:r>
            <w:r w:rsidR="00BE68AE">
              <w:rPr>
                <w:rFonts w:cs="Times New Roman"/>
                <w:sz w:val="22"/>
              </w:rPr>
              <w:t xml:space="preserve"> </w:t>
            </w:r>
            <w:r w:rsidRPr="00F00A20">
              <w:rPr>
                <w:rFonts w:cs="Times New Roman"/>
                <w:sz w:val="22"/>
              </w:rPr>
              <w:t>%</w:t>
            </w:r>
          </w:p>
        </w:tc>
        <w:tc>
          <w:tcPr>
            <w:tcW w:w="892" w:type="pct"/>
            <w:shd w:val="clear" w:color="auto" w:fill="auto"/>
          </w:tcPr>
          <w:p w14:paraId="3A7290A0" w14:textId="62C0B188" w:rsidR="00463D9B" w:rsidRPr="00F00A20" w:rsidRDefault="00463D9B" w:rsidP="00E71527">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F00A20">
              <w:rPr>
                <w:rFonts w:cs="Times New Roman"/>
                <w:sz w:val="22"/>
              </w:rPr>
              <w:t>16</w:t>
            </w:r>
            <w:r w:rsidR="00BE68AE">
              <w:rPr>
                <w:rFonts w:cs="Times New Roman"/>
                <w:sz w:val="22"/>
              </w:rPr>
              <w:t xml:space="preserve"> </w:t>
            </w:r>
            <w:r w:rsidRPr="00F00A20">
              <w:rPr>
                <w:rFonts w:cs="Times New Roman"/>
                <w:sz w:val="22"/>
              </w:rPr>
              <w:t>%</w:t>
            </w:r>
          </w:p>
        </w:tc>
        <w:tc>
          <w:tcPr>
            <w:tcW w:w="883" w:type="pct"/>
            <w:shd w:val="clear" w:color="auto" w:fill="auto"/>
          </w:tcPr>
          <w:p w14:paraId="0CBE4CAE" w14:textId="2C2C3D84" w:rsidR="00463D9B" w:rsidRPr="00F00A20" w:rsidRDefault="00463D9B" w:rsidP="00E71527">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F00A20">
              <w:rPr>
                <w:rFonts w:cs="Times New Roman"/>
                <w:sz w:val="22"/>
              </w:rPr>
              <w:t>0</w:t>
            </w:r>
            <w:r w:rsidR="00BE68AE">
              <w:rPr>
                <w:rFonts w:cs="Times New Roman"/>
                <w:sz w:val="22"/>
              </w:rPr>
              <w:t>.</w:t>
            </w:r>
            <w:r w:rsidRPr="00F00A20">
              <w:rPr>
                <w:rFonts w:cs="Times New Roman"/>
                <w:sz w:val="22"/>
              </w:rPr>
              <w:t>4</w:t>
            </w:r>
            <w:r w:rsidR="00BE68AE">
              <w:rPr>
                <w:rFonts w:cs="Times New Roman"/>
                <w:sz w:val="22"/>
              </w:rPr>
              <w:t xml:space="preserve"> </w:t>
            </w:r>
            <w:r w:rsidRPr="00F00A20">
              <w:rPr>
                <w:rFonts w:cs="Times New Roman"/>
                <w:sz w:val="22"/>
              </w:rPr>
              <w:t>%</w:t>
            </w:r>
          </w:p>
        </w:tc>
        <w:tc>
          <w:tcPr>
            <w:tcW w:w="879" w:type="pct"/>
            <w:shd w:val="clear" w:color="auto" w:fill="auto"/>
          </w:tcPr>
          <w:p w14:paraId="7B9075CA" w14:textId="45AA3B42" w:rsidR="00463D9B" w:rsidRPr="00F00A20" w:rsidRDefault="00BE68AE" w:rsidP="00E71527">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1.</w:t>
            </w:r>
            <w:r w:rsidR="00865739">
              <w:rPr>
                <w:rFonts w:cs="Times New Roman"/>
                <w:sz w:val="22"/>
              </w:rPr>
              <w:t>61</w:t>
            </w:r>
            <w:r>
              <w:rPr>
                <w:rFonts w:cs="Times New Roman"/>
                <w:sz w:val="22"/>
              </w:rPr>
              <w:t xml:space="preserve"> </w:t>
            </w:r>
            <w:r w:rsidR="00865739">
              <w:rPr>
                <w:rFonts w:cs="Times New Roman"/>
                <w:sz w:val="22"/>
              </w:rPr>
              <w:t>%</w:t>
            </w:r>
          </w:p>
        </w:tc>
      </w:tr>
      <w:tr w:rsidR="00463D9B" w:rsidRPr="00F00A20" w14:paraId="26E0EF83" w14:textId="77777777" w:rsidTr="004E3E3B">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350" w:type="pct"/>
            <w:shd w:val="clear" w:color="auto" w:fill="auto"/>
          </w:tcPr>
          <w:p w14:paraId="5C817341" w14:textId="77777777" w:rsidR="00463D9B" w:rsidRPr="0092214B" w:rsidRDefault="00463D9B" w:rsidP="00B36B1D">
            <w:pPr>
              <w:rPr>
                <w:rFonts w:cs="Times New Roman"/>
                <w:b w:val="0"/>
                <w:sz w:val="22"/>
              </w:rPr>
            </w:pPr>
            <w:r w:rsidRPr="0092214B">
              <w:rPr>
                <w:rFonts w:cs="Times New Roman"/>
                <w:b w:val="0"/>
                <w:sz w:val="22"/>
              </w:rPr>
              <w:t>IDH</w:t>
            </w:r>
          </w:p>
        </w:tc>
        <w:tc>
          <w:tcPr>
            <w:tcW w:w="996" w:type="pct"/>
            <w:shd w:val="clear" w:color="auto" w:fill="auto"/>
          </w:tcPr>
          <w:p w14:paraId="6D2F6CB0" w14:textId="6544E442" w:rsidR="00463D9B" w:rsidRPr="00F00A20" w:rsidRDefault="00463D9B" w:rsidP="00E71527">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F00A20">
              <w:rPr>
                <w:rFonts w:cs="Times New Roman"/>
                <w:sz w:val="22"/>
              </w:rPr>
              <w:t>0</w:t>
            </w:r>
            <w:r w:rsidR="00BE68AE">
              <w:rPr>
                <w:rFonts w:cs="Times New Roman"/>
                <w:sz w:val="22"/>
              </w:rPr>
              <w:t>.</w:t>
            </w:r>
            <w:r w:rsidRPr="00F00A20">
              <w:rPr>
                <w:rFonts w:cs="Times New Roman"/>
                <w:sz w:val="22"/>
              </w:rPr>
              <w:t>826</w:t>
            </w:r>
          </w:p>
        </w:tc>
        <w:tc>
          <w:tcPr>
            <w:tcW w:w="892" w:type="pct"/>
            <w:shd w:val="clear" w:color="auto" w:fill="auto"/>
          </w:tcPr>
          <w:p w14:paraId="4F69813D" w14:textId="43BF7E12" w:rsidR="00463D9B" w:rsidRPr="00F00A20" w:rsidRDefault="00463D9B" w:rsidP="00E71527">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F00A20">
              <w:rPr>
                <w:rFonts w:cs="Times New Roman"/>
                <w:sz w:val="22"/>
              </w:rPr>
              <w:t>0</w:t>
            </w:r>
            <w:r w:rsidR="00BE68AE">
              <w:rPr>
                <w:rFonts w:cs="Times New Roman"/>
                <w:sz w:val="22"/>
              </w:rPr>
              <w:t>.</w:t>
            </w:r>
            <w:r w:rsidRPr="00F00A20">
              <w:rPr>
                <w:rFonts w:cs="Times New Roman"/>
                <w:sz w:val="22"/>
              </w:rPr>
              <w:t>788</w:t>
            </w:r>
          </w:p>
        </w:tc>
        <w:tc>
          <w:tcPr>
            <w:tcW w:w="883" w:type="pct"/>
            <w:shd w:val="clear" w:color="auto" w:fill="auto"/>
          </w:tcPr>
          <w:p w14:paraId="1D8FF12E" w14:textId="5AE106FA" w:rsidR="00463D9B" w:rsidRPr="00F00A20" w:rsidRDefault="00463D9B" w:rsidP="00E71527">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F00A20">
              <w:rPr>
                <w:rFonts w:cs="Times New Roman"/>
                <w:sz w:val="22"/>
              </w:rPr>
              <w:t>0</w:t>
            </w:r>
            <w:r w:rsidR="00BE68AE">
              <w:rPr>
                <w:rFonts w:cs="Times New Roman"/>
                <w:sz w:val="22"/>
              </w:rPr>
              <w:t>.</w:t>
            </w:r>
            <w:r w:rsidRPr="00F00A20">
              <w:rPr>
                <w:rFonts w:cs="Times New Roman"/>
                <w:sz w:val="22"/>
              </w:rPr>
              <w:t>717</w:t>
            </w:r>
          </w:p>
        </w:tc>
        <w:tc>
          <w:tcPr>
            <w:tcW w:w="879" w:type="pct"/>
            <w:shd w:val="clear" w:color="auto" w:fill="auto"/>
          </w:tcPr>
          <w:p w14:paraId="36243A64" w14:textId="3999E9BE" w:rsidR="00463D9B" w:rsidRPr="00F00A20" w:rsidRDefault="00865739" w:rsidP="00E71527">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0</w:t>
            </w:r>
            <w:r w:rsidR="00BE68AE">
              <w:rPr>
                <w:rFonts w:cs="Times New Roman"/>
                <w:sz w:val="22"/>
              </w:rPr>
              <w:t>.</w:t>
            </w:r>
            <w:r>
              <w:rPr>
                <w:rFonts w:cs="Times New Roman"/>
                <w:sz w:val="22"/>
              </w:rPr>
              <w:t>761</w:t>
            </w:r>
          </w:p>
        </w:tc>
      </w:tr>
      <w:tr w:rsidR="00463D9B" w:rsidRPr="00F00A20" w14:paraId="14CF1A4A" w14:textId="77777777" w:rsidTr="004E3E3B">
        <w:trPr>
          <w:trHeight w:val="433"/>
        </w:trPr>
        <w:tc>
          <w:tcPr>
            <w:cnfStyle w:val="001000000000" w:firstRow="0" w:lastRow="0" w:firstColumn="1" w:lastColumn="0" w:oddVBand="0" w:evenVBand="0" w:oddHBand="0" w:evenHBand="0" w:firstRowFirstColumn="0" w:firstRowLastColumn="0" w:lastRowFirstColumn="0" w:lastRowLastColumn="0"/>
            <w:tcW w:w="1350" w:type="pct"/>
            <w:shd w:val="clear" w:color="auto" w:fill="auto"/>
          </w:tcPr>
          <w:p w14:paraId="1E513E9F" w14:textId="2CFCAE8B" w:rsidR="00463D9B" w:rsidRPr="0092214B" w:rsidRDefault="00463D9B" w:rsidP="00B36B1D">
            <w:pPr>
              <w:rPr>
                <w:rFonts w:cs="Times New Roman"/>
                <w:b w:val="0"/>
                <w:sz w:val="22"/>
              </w:rPr>
            </w:pPr>
            <w:r w:rsidRPr="0092214B">
              <w:rPr>
                <w:rFonts w:cs="Times New Roman"/>
                <w:b w:val="0"/>
                <w:sz w:val="22"/>
              </w:rPr>
              <w:t>Tasa analfabetismo</w:t>
            </w:r>
            <w:r w:rsidR="008B15CB">
              <w:rPr>
                <w:rFonts w:cs="Times New Roman"/>
                <w:b w:val="0"/>
                <w:sz w:val="22"/>
              </w:rPr>
              <w:t xml:space="preserve"> </w:t>
            </w:r>
          </w:p>
        </w:tc>
        <w:tc>
          <w:tcPr>
            <w:tcW w:w="996" w:type="pct"/>
            <w:shd w:val="clear" w:color="auto" w:fill="auto"/>
          </w:tcPr>
          <w:p w14:paraId="2DDC1EEC" w14:textId="66837AFE" w:rsidR="00463D9B" w:rsidRPr="00F00A20" w:rsidRDefault="00463D9B" w:rsidP="00E71527">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F00A20">
              <w:rPr>
                <w:rFonts w:cs="Times New Roman"/>
                <w:sz w:val="22"/>
              </w:rPr>
              <w:t>2</w:t>
            </w:r>
            <w:r w:rsidR="00BE68AE">
              <w:rPr>
                <w:rFonts w:cs="Times New Roman"/>
                <w:sz w:val="22"/>
              </w:rPr>
              <w:t>.</w:t>
            </w:r>
            <w:r w:rsidRPr="00F00A20">
              <w:rPr>
                <w:rFonts w:cs="Times New Roman"/>
                <w:sz w:val="22"/>
              </w:rPr>
              <w:t>3</w:t>
            </w:r>
            <w:r w:rsidR="00BE68AE">
              <w:rPr>
                <w:rFonts w:cs="Times New Roman"/>
                <w:sz w:val="22"/>
              </w:rPr>
              <w:t xml:space="preserve"> </w:t>
            </w:r>
            <w:r w:rsidRPr="00F00A20">
              <w:rPr>
                <w:rFonts w:cs="Times New Roman"/>
                <w:sz w:val="22"/>
              </w:rPr>
              <w:t>%</w:t>
            </w:r>
          </w:p>
        </w:tc>
        <w:tc>
          <w:tcPr>
            <w:tcW w:w="892" w:type="pct"/>
            <w:shd w:val="clear" w:color="auto" w:fill="auto"/>
          </w:tcPr>
          <w:p w14:paraId="709B104F" w14:textId="392D4A11" w:rsidR="00463D9B" w:rsidRPr="00F00A20" w:rsidRDefault="00463D9B" w:rsidP="00E71527">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F00A20">
              <w:rPr>
                <w:rFonts w:cs="Times New Roman"/>
                <w:sz w:val="22"/>
              </w:rPr>
              <w:t>2</w:t>
            </w:r>
            <w:r w:rsidR="00BE68AE">
              <w:rPr>
                <w:rFonts w:cs="Times New Roman"/>
                <w:sz w:val="22"/>
              </w:rPr>
              <w:t>.</w:t>
            </w:r>
            <w:r w:rsidRPr="00F00A20">
              <w:rPr>
                <w:rFonts w:cs="Times New Roman"/>
                <w:sz w:val="22"/>
              </w:rPr>
              <w:t>8</w:t>
            </w:r>
            <w:r w:rsidR="00BE68AE">
              <w:rPr>
                <w:rFonts w:cs="Times New Roman"/>
                <w:sz w:val="22"/>
              </w:rPr>
              <w:t xml:space="preserve"> </w:t>
            </w:r>
            <w:r w:rsidRPr="00F00A20">
              <w:rPr>
                <w:rFonts w:cs="Times New Roman"/>
                <w:sz w:val="22"/>
              </w:rPr>
              <w:t>%</w:t>
            </w:r>
          </w:p>
        </w:tc>
        <w:tc>
          <w:tcPr>
            <w:tcW w:w="883" w:type="pct"/>
            <w:shd w:val="clear" w:color="auto" w:fill="auto"/>
          </w:tcPr>
          <w:p w14:paraId="757215B7" w14:textId="220A2920" w:rsidR="00463D9B" w:rsidRPr="00F00A20" w:rsidRDefault="00BE68AE" w:rsidP="00E71527">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3.</w:t>
            </w:r>
            <w:r w:rsidR="00463D9B" w:rsidRPr="00F00A20">
              <w:rPr>
                <w:rFonts w:cs="Times New Roman"/>
                <w:sz w:val="22"/>
              </w:rPr>
              <w:t>5</w:t>
            </w:r>
            <w:r>
              <w:rPr>
                <w:rFonts w:cs="Times New Roman"/>
                <w:sz w:val="22"/>
              </w:rPr>
              <w:t xml:space="preserve"> </w:t>
            </w:r>
            <w:r w:rsidR="00463D9B" w:rsidRPr="00F00A20">
              <w:rPr>
                <w:rFonts w:cs="Times New Roman"/>
                <w:sz w:val="22"/>
              </w:rPr>
              <w:t>%</w:t>
            </w:r>
          </w:p>
        </w:tc>
        <w:tc>
          <w:tcPr>
            <w:tcW w:w="879" w:type="pct"/>
            <w:shd w:val="clear" w:color="auto" w:fill="auto"/>
          </w:tcPr>
          <w:p w14:paraId="34B81374" w14:textId="5C9CE3E3" w:rsidR="00463D9B" w:rsidRPr="00F00A20" w:rsidRDefault="00865739" w:rsidP="00E71527">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4</w:t>
            </w:r>
            <w:r w:rsidR="008B15CB">
              <w:rPr>
                <w:rFonts w:cs="Times New Roman"/>
                <w:sz w:val="22"/>
              </w:rPr>
              <w:t xml:space="preserve">.0 </w:t>
            </w:r>
            <w:r>
              <w:rPr>
                <w:rFonts w:cs="Times New Roman"/>
                <w:sz w:val="22"/>
              </w:rPr>
              <w:t>%</w:t>
            </w:r>
          </w:p>
        </w:tc>
      </w:tr>
      <w:tr w:rsidR="00C52247" w:rsidRPr="00C52247" w14:paraId="73959A2E" w14:textId="77777777" w:rsidTr="004E3E3B">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350" w:type="pct"/>
            <w:shd w:val="clear" w:color="auto" w:fill="auto"/>
          </w:tcPr>
          <w:p w14:paraId="795508A0" w14:textId="508F6F4F" w:rsidR="00C52247" w:rsidRPr="00C52247" w:rsidRDefault="00C52247" w:rsidP="00B36B1D">
            <w:pPr>
              <w:rPr>
                <w:rFonts w:cs="Times New Roman"/>
                <w:b w:val="0"/>
                <w:sz w:val="22"/>
                <w:lang w:val="pt-BR"/>
              </w:rPr>
            </w:pPr>
            <w:proofErr w:type="spellStart"/>
            <w:r w:rsidRPr="00C52247">
              <w:rPr>
                <w:rFonts w:cs="Times New Roman"/>
                <w:b w:val="0"/>
                <w:sz w:val="22"/>
                <w:lang w:val="pt-BR"/>
              </w:rPr>
              <w:t>Tasa</w:t>
            </w:r>
            <w:proofErr w:type="spellEnd"/>
            <w:r w:rsidRPr="00C52247">
              <w:rPr>
                <w:rFonts w:cs="Times New Roman"/>
                <w:b w:val="0"/>
                <w:sz w:val="22"/>
                <w:lang w:val="pt-BR"/>
              </w:rPr>
              <w:t xml:space="preserve"> bruta de cobertura e</w:t>
            </w:r>
            <w:r>
              <w:rPr>
                <w:rFonts w:cs="Times New Roman"/>
                <w:b w:val="0"/>
                <w:sz w:val="22"/>
                <w:lang w:val="pt-BR"/>
              </w:rPr>
              <w:t xml:space="preserve">ducativa a </w:t>
            </w:r>
            <w:proofErr w:type="spellStart"/>
            <w:r>
              <w:rPr>
                <w:rFonts w:cs="Times New Roman"/>
                <w:b w:val="0"/>
                <w:sz w:val="22"/>
                <w:lang w:val="pt-BR"/>
              </w:rPr>
              <w:t>nivel</w:t>
            </w:r>
            <w:proofErr w:type="spellEnd"/>
            <w:r>
              <w:rPr>
                <w:rFonts w:cs="Times New Roman"/>
                <w:b w:val="0"/>
                <w:sz w:val="22"/>
                <w:lang w:val="pt-BR"/>
              </w:rPr>
              <w:t xml:space="preserve"> de secundaria</w:t>
            </w:r>
            <w:r w:rsidR="00450D72">
              <w:rPr>
                <w:rFonts w:cs="Times New Roman"/>
                <w:b w:val="0"/>
                <w:sz w:val="22"/>
                <w:lang w:val="pt-BR"/>
              </w:rPr>
              <w:t xml:space="preserve"> (2001-2014)</w:t>
            </w:r>
            <w:r w:rsidR="002D3CFC">
              <w:rPr>
                <w:rFonts w:cs="Times New Roman"/>
                <w:b w:val="0"/>
                <w:sz w:val="22"/>
                <w:lang w:val="pt-BR"/>
              </w:rPr>
              <w:t xml:space="preserve"> </w:t>
            </w:r>
            <w:r w:rsidRPr="00C52247">
              <w:rPr>
                <w:rFonts w:cs="Times New Roman"/>
                <w:b w:val="0"/>
                <w:sz w:val="22"/>
                <w:vertAlign w:val="superscript"/>
                <w:lang w:val="pt-BR"/>
              </w:rPr>
              <w:t>a</w:t>
            </w:r>
          </w:p>
        </w:tc>
        <w:tc>
          <w:tcPr>
            <w:tcW w:w="996" w:type="pct"/>
            <w:shd w:val="clear" w:color="auto" w:fill="auto"/>
          </w:tcPr>
          <w:p w14:paraId="4E38D032" w14:textId="24C97CBB" w:rsidR="00C52247" w:rsidRPr="00C52247" w:rsidRDefault="00C52247" w:rsidP="00E71527">
            <w:pPr>
              <w:jc w:val="center"/>
              <w:cnfStyle w:val="000000100000" w:firstRow="0" w:lastRow="0" w:firstColumn="0" w:lastColumn="0" w:oddVBand="0" w:evenVBand="0" w:oddHBand="1" w:evenHBand="0" w:firstRowFirstColumn="0" w:firstRowLastColumn="0" w:lastRowFirstColumn="0" w:lastRowLastColumn="0"/>
              <w:rPr>
                <w:rFonts w:cs="Times New Roman"/>
                <w:sz w:val="22"/>
                <w:lang w:val="pt-BR"/>
              </w:rPr>
            </w:pPr>
            <w:r>
              <w:rPr>
                <w:rFonts w:cs="Times New Roman"/>
                <w:sz w:val="22"/>
                <w:lang w:val="pt-BR"/>
              </w:rPr>
              <w:t>96.7 %</w:t>
            </w:r>
          </w:p>
        </w:tc>
        <w:tc>
          <w:tcPr>
            <w:tcW w:w="892" w:type="pct"/>
            <w:shd w:val="clear" w:color="auto" w:fill="auto"/>
          </w:tcPr>
          <w:p w14:paraId="7497E18E" w14:textId="3ECCE32E" w:rsidR="00C52247" w:rsidRPr="00C52247" w:rsidRDefault="00C52247" w:rsidP="00E71527">
            <w:pPr>
              <w:jc w:val="center"/>
              <w:cnfStyle w:val="000000100000" w:firstRow="0" w:lastRow="0" w:firstColumn="0" w:lastColumn="0" w:oddVBand="0" w:evenVBand="0" w:oddHBand="1" w:evenHBand="0" w:firstRowFirstColumn="0" w:firstRowLastColumn="0" w:lastRowFirstColumn="0" w:lastRowLastColumn="0"/>
              <w:rPr>
                <w:rFonts w:cs="Times New Roman"/>
                <w:sz w:val="22"/>
                <w:lang w:val="pt-BR"/>
              </w:rPr>
            </w:pPr>
            <w:r>
              <w:rPr>
                <w:rFonts w:cs="Times New Roman"/>
                <w:sz w:val="22"/>
                <w:lang w:val="pt-BR"/>
              </w:rPr>
              <w:t>105.6%</w:t>
            </w:r>
          </w:p>
        </w:tc>
        <w:tc>
          <w:tcPr>
            <w:tcW w:w="883" w:type="pct"/>
            <w:shd w:val="clear" w:color="auto" w:fill="auto"/>
          </w:tcPr>
          <w:p w14:paraId="01B50B29" w14:textId="1E04F5EB" w:rsidR="00C52247" w:rsidRPr="00C52247" w:rsidRDefault="00C52247" w:rsidP="00E71527">
            <w:pPr>
              <w:jc w:val="center"/>
              <w:cnfStyle w:val="000000100000" w:firstRow="0" w:lastRow="0" w:firstColumn="0" w:lastColumn="0" w:oddVBand="0" w:evenVBand="0" w:oddHBand="1" w:evenHBand="0" w:firstRowFirstColumn="0" w:firstRowLastColumn="0" w:lastRowFirstColumn="0" w:lastRowLastColumn="0"/>
              <w:rPr>
                <w:rFonts w:cs="Times New Roman"/>
                <w:sz w:val="22"/>
                <w:lang w:val="pt-BR"/>
              </w:rPr>
            </w:pPr>
            <w:r>
              <w:rPr>
                <w:rFonts w:cs="Times New Roman"/>
                <w:sz w:val="22"/>
                <w:lang w:val="pt-BR"/>
              </w:rPr>
              <w:t>87.3%</w:t>
            </w:r>
          </w:p>
        </w:tc>
        <w:tc>
          <w:tcPr>
            <w:tcW w:w="879" w:type="pct"/>
            <w:shd w:val="clear" w:color="auto" w:fill="auto"/>
          </w:tcPr>
          <w:p w14:paraId="1979E011" w14:textId="5E3C3B0C" w:rsidR="00C52247" w:rsidRPr="00C52247" w:rsidRDefault="00C52247" w:rsidP="00E71527">
            <w:pPr>
              <w:jc w:val="center"/>
              <w:cnfStyle w:val="000000100000" w:firstRow="0" w:lastRow="0" w:firstColumn="0" w:lastColumn="0" w:oddVBand="0" w:evenVBand="0" w:oddHBand="1" w:evenHBand="0" w:firstRowFirstColumn="0" w:firstRowLastColumn="0" w:lastRowFirstColumn="0" w:lastRowLastColumn="0"/>
              <w:rPr>
                <w:rFonts w:cs="Times New Roman"/>
                <w:sz w:val="22"/>
                <w:lang w:val="pt-BR"/>
              </w:rPr>
            </w:pPr>
            <w:r>
              <w:rPr>
                <w:rFonts w:cs="Times New Roman"/>
                <w:sz w:val="22"/>
                <w:lang w:val="pt-BR"/>
              </w:rPr>
              <w:t>93.7%</w:t>
            </w:r>
          </w:p>
        </w:tc>
      </w:tr>
      <w:tr w:rsidR="00C52247" w:rsidRPr="00C52247" w14:paraId="71E9D7CC" w14:textId="77777777" w:rsidTr="004E3E3B">
        <w:trPr>
          <w:trHeight w:val="433"/>
        </w:trPr>
        <w:tc>
          <w:tcPr>
            <w:cnfStyle w:val="001000000000" w:firstRow="0" w:lastRow="0" w:firstColumn="1" w:lastColumn="0" w:oddVBand="0" w:evenVBand="0" w:oddHBand="0" w:evenHBand="0" w:firstRowFirstColumn="0" w:firstRowLastColumn="0" w:lastRowFirstColumn="0" w:lastRowLastColumn="0"/>
            <w:tcW w:w="1350" w:type="pct"/>
            <w:tcBorders>
              <w:bottom w:val="single" w:sz="4" w:space="0" w:color="auto"/>
            </w:tcBorders>
            <w:shd w:val="clear" w:color="auto" w:fill="auto"/>
          </w:tcPr>
          <w:p w14:paraId="67951A4F" w14:textId="487AA6BD" w:rsidR="00C52247" w:rsidRPr="00450D72" w:rsidRDefault="00450D72" w:rsidP="00B36B1D">
            <w:pPr>
              <w:rPr>
                <w:rFonts w:cs="Times New Roman"/>
                <w:b w:val="0"/>
                <w:sz w:val="22"/>
              </w:rPr>
            </w:pPr>
            <w:r w:rsidRPr="00450D72">
              <w:rPr>
                <w:rFonts w:cs="Times New Roman"/>
                <w:b w:val="0"/>
                <w:sz w:val="22"/>
              </w:rPr>
              <w:t>Índice de desarrollo social cantonal 2017</w:t>
            </w:r>
          </w:p>
        </w:tc>
        <w:tc>
          <w:tcPr>
            <w:tcW w:w="996" w:type="pct"/>
            <w:tcBorders>
              <w:bottom w:val="single" w:sz="4" w:space="0" w:color="auto"/>
            </w:tcBorders>
            <w:shd w:val="clear" w:color="auto" w:fill="auto"/>
          </w:tcPr>
          <w:p w14:paraId="5E1F2B01" w14:textId="5E19CD10" w:rsidR="00C52247" w:rsidRPr="00450D72" w:rsidRDefault="00450D72" w:rsidP="00E71527">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lang w:val="pt-BR"/>
              </w:rPr>
              <w:t>54.71</w:t>
            </w:r>
          </w:p>
        </w:tc>
        <w:tc>
          <w:tcPr>
            <w:tcW w:w="892" w:type="pct"/>
            <w:tcBorders>
              <w:bottom w:val="single" w:sz="4" w:space="0" w:color="auto"/>
            </w:tcBorders>
            <w:shd w:val="clear" w:color="auto" w:fill="auto"/>
          </w:tcPr>
          <w:p w14:paraId="6CC1AB30" w14:textId="2A44924A" w:rsidR="00C52247" w:rsidRDefault="00450D72" w:rsidP="00E71527">
            <w:pPr>
              <w:jc w:val="center"/>
              <w:cnfStyle w:val="000000000000" w:firstRow="0" w:lastRow="0" w:firstColumn="0" w:lastColumn="0" w:oddVBand="0" w:evenVBand="0" w:oddHBand="0" w:evenHBand="0" w:firstRowFirstColumn="0" w:firstRowLastColumn="0" w:lastRowFirstColumn="0" w:lastRowLastColumn="0"/>
              <w:rPr>
                <w:rFonts w:cs="Times New Roman"/>
                <w:sz w:val="22"/>
                <w:lang w:val="pt-BR"/>
              </w:rPr>
            </w:pPr>
            <w:r>
              <w:rPr>
                <w:rFonts w:cs="Times New Roman"/>
                <w:sz w:val="22"/>
                <w:lang w:val="pt-BR"/>
              </w:rPr>
              <w:t>68.57</w:t>
            </w:r>
          </w:p>
        </w:tc>
        <w:tc>
          <w:tcPr>
            <w:tcW w:w="883" w:type="pct"/>
            <w:tcBorders>
              <w:bottom w:val="single" w:sz="4" w:space="0" w:color="auto"/>
            </w:tcBorders>
            <w:shd w:val="clear" w:color="auto" w:fill="auto"/>
          </w:tcPr>
          <w:p w14:paraId="5CD14ADE" w14:textId="324E6CC6" w:rsidR="00C52247" w:rsidRDefault="00450D72" w:rsidP="00E71527">
            <w:pPr>
              <w:jc w:val="center"/>
              <w:cnfStyle w:val="000000000000" w:firstRow="0" w:lastRow="0" w:firstColumn="0" w:lastColumn="0" w:oddVBand="0" w:evenVBand="0" w:oddHBand="0" w:evenHBand="0" w:firstRowFirstColumn="0" w:firstRowLastColumn="0" w:lastRowFirstColumn="0" w:lastRowLastColumn="0"/>
              <w:rPr>
                <w:rFonts w:cs="Times New Roman"/>
                <w:sz w:val="22"/>
                <w:lang w:val="pt-BR"/>
              </w:rPr>
            </w:pPr>
            <w:r>
              <w:rPr>
                <w:rFonts w:cs="Times New Roman"/>
                <w:sz w:val="22"/>
                <w:lang w:val="pt-BR"/>
              </w:rPr>
              <w:t>54.47</w:t>
            </w:r>
          </w:p>
        </w:tc>
        <w:tc>
          <w:tcPr>
            <w:tcW w:w="879" w:type="pct"/>
            <w:tcBorders>
              <w:bottom w:val="single" w:sz="4" w:space="0" w:color="auto"/>
            </w:tcBorders>
            <w:shd w:val="clear" w:color="auto" w:fill="auto"/>
          </w:tcPr>
          <w:p w14:paraId="64321F5B" w14:textId="1853A6CF" w:rsidR="00C52247" w:rsidRDefault="00450D72" w:rsidP="00E71527">
            <w:pPr>
              <w:jc w:val="center"/>
              <w:cnfStyle w:val="000000000000" w:firstRow="0" w:lastRow="0" w:firstColumn="0" w:lastColumn="0" w:oddVBand="0" w:evenVBand="0" w:oddHBand="0" w:evenHBand="0" w:firstRowFirstColumn="0" w:firstRowLastColumn="0" w:lastRowFirstColumn="0" w:lastRowLastColumn="0"/>
              <w:rPr>
                <w:rFonts w:cs="Times New Roman"/>
                <w:sz w:val="22"/>
                <w:lang w:val="pt-BR"/>
              </w:rPr>
            </w:pPr>
            <w:r>
              <w:rPr>
                <w:rFonts w:cs="Times New Roman"/>
                <w:sz w:val="22"/>
                <w:lang w:val="pt-BR"/>
              </w:rPr>
              <w:t>34.81</w:t>
            </w:r>
          </w:p>
        </w:tc>
      </w:tr>
    </w:tbl>
    <w:p w14:paraId="683057DB" w14:textId="10C8B877" w:rsidR="00324720" w:rsidRPr="0059079F" w:rsidRDefault="00450D72" w:rsidP="00B36B1D">
      <w:pPr>
        <w:spacing w:after="0"/>
        <w:jc w:val="both"/>
        <w:rPr>
          <w:sz w:val="20"/>
          <w:szCs w:val="20"/>
        </w:rPr>
      </w:pPr>
      <w:r w:rsidRPr="0059079F">
        <w:rPr>
          <w:sz w:val="20"/>
          <w:szCs w:val="20"/>
          <w:vertAlign w:val="superscript"/>
        </w:rPr>
        <w:t>a</w:t>
      </w:r>
      <w:r w:rsidRPr="0059079F">
        <w:rPr>
          <w:sz w:val="20"/>
          <w:szCs w:val="20"/>
        </w:rPr>
        <w:t xml:space="preserve"> Se refiere a la cobertura bruta de un determinado nivel educativo con respecto a la población teórica que debería asistir a ese nivel educativo.</w:t>
      </w:r>
      <w:r w:rsidR="00DD6966" w:rsidRPr="0059079F">
        <w:rPr>
          <w:sz w:val="20"/>
          <w:szCs w:val="20"/>
        </w:rPr>
        <w:t xml:space="preserve"> </w:t>
      </w:r>
      <w:r w:rsidR="00324720" w:rsidRPr="0059079F">
        <w:rPr>
          <w:b/>
          <w:sz w:val="20"/>
          <w:szCs w:val="20"/>
        </w:rPr>
        <w:t>Fuentes:</w:t>
      </w:r>
      <w:r w:rsidR="00324720" w:rsidRPr="0059079F">
        <w:rPr>
          <w:sz w:val="20"/>
          <w:szCs w:val="20"/>
        </w:rPr>
        <w:t xml:space="preserve"> IDH:</w:t>
      </w:r>
      <w:r w:rsidR="00791B91" w:rsidRPr="0059079F">
        <w:rPr>
          <w:sz w:val="20"/>
          <w:szCs w:val="20"/>
        </w:rPr>
        <w:t xml:space="preserve"> </w:t>
      </w:r>
      <w:r w:rsidR="00791B91" w:rsidRPr="0059079F">
        <w:rPr>
          <w:color w:val="365F91" w:themeColor="accent1" w:themeShade="BF"/>
          <w:sz w:val="20"/>
          <w:szCs w:val="20"/>
        </w:rPr>
        <w:fldChar w:fldCharType="begin" w:fldLock="1"/>
      </w:r>
      <w:r w:rsidR="0006471D" w:rsidRPr="0059079F">
        <w:rPr>
          <w:color w:val="365F91" w:themeColor="accent1" w:themeShade="BF"/>
          <w:sz w:val="20"/>
          <w:szCs w:val="20"/>
        </w:rPr>
        <w:instrText>ADDIN CSL_CITATION {"citationItems":[{"id":"ITEM-1","itemData":{"URL":"http://desarrollohumano.or.cr/mapa-cantonal/index.php/ranking-idh","accessed":{"date-parts":[["2019","10","27"]]},"author":[{"dropping-particle":"","family":"UCR","given":"","non-dropping-particle":"","parse-names":false,"suffix":""},{"dropping-particle":"","family":"PNUD","given":"","non-dropping-particle":"","parse-names":false,"suffix":""}],"id":"ITEM-1","issued":{"date-parts":[["2016"]]},"title":"Atlas de Desarrollo Humano cantonal de Costa Rica","type":"webpage"},"uris":["http://www.mendeley.com/documents/?uuid=ff4040c2-8e0b-4fcb-95a7-dcbe14934d54"]}],"mendeley":{"formattedCitation":"(UCR &amp; PNUD, 2016)","manualFormatting":"UCR y PNUD (2016)","plainTextFormattedCitation":"(UCR &amp; PNUD, 2016)","previouslyFormattedCitation":"(UCR &amp; PNUD, 2016)"},"properties":{"noteIndex":0},"schema":"https://github.com/citation-style-language/schema/raw/master/csl-citation.json"}</w:instrText>
      </w:r>
      <w:r w:rsidR="00791B91" w:rsidRPr="0059079F">
        <w:rPr>
          <w:color w:val="365F91" w:themeColor="accent1" w:themeShade="BF"/>
          <w:sz w:val="20"/>
          <w:szCs w:val="20"/>
        </w:rPr>
        <w:fldChar w:fldCharType="separate"/>
      </w:r>
      <w:r w:rsidR="00791B91" w:rsidRPr="0059079F">
        <w:rPr>
          <w:noProof/>
          <w:color w:val="365F91" w:themeColor="accent1" w:themeShade="BF"/>
          <w:sz w:val="20"/>
          <w:szCs w:val="20"/>
        </w:rPr>
        <w:t xml:space="preserve">UCR </w:t>
      </w:r>
      <w:r w:rsidR="0006471D" w:rsidRPr="0059079F">
        <w:rPr>
          <w:noProof/>
          <w:color w:val="365F91" w:themeColor="accent1" w:themeShade="BF"/>
          <w:sz w:val="20"/>
          <w:szCs w:val="20"/>
        </w:rPr>
        <w:t>y</w:t>
      </w:r>
      <w:r w:rsidR="00791B91" w:rsidRPr="0059079F">
        <w:rPr>
          <w:noProof/>
          <w:color w:val="365F91" w:themeColor="accent1" w:themeShade="BF"/>
          <w:sz w:val="20"/>
          <w:szCs w:val="20"/>
        </w:rPr>
        <w:t xml:space="preserve"> PNUD </w:t>
      </w:r>
      <w:r w:rsidR="0006471D" w:rsidRPr="0059079F">
        <w:rPr>
          <w:noProof/>
          <w:color w:val="365F91" w:themeColor="accent1" w:themeShade="BF"/>
          <w:sz w:val="20"/>
          <w:szCs w:val="20"/>
        </w:rPr>
        <w:t>(</w:t>
      </w:r>
      <w:r w:rsidR="00791B91" w:rsidRPr="0059079F">
        <w:rPr>
          <w:noProof/>
          <w:color w:val="365F91" w:themeColor="accent1" w:themeShade="BF"/>
          <w:sz w:val="20"/>
          <w:szCs w:val="20"/>
        </w:rPr>
        <w:t>2016)</w:t>
      </w:r>
      <w:r w:rsidR="00791B91" w:rsidRPr="0059079F">
        <w:rPr>
          <w:color w:val="365F91" w:themeColor="accent1" w:themeShade="BF"/>
          <w:sz w:val="20"/>
          <w:szCs w:val="20"/>
        </w:rPr>
        <w:fldChar w:fldCharType="end"/>
      </w:r>
      <w:r w:rsidR="00324720" w:rsidRPr="0059079F">
        <w:rPr>
          <w:sz w:val="20"/>
          <w:szCs w:val="20"/>
        </w:rPr>
        <w:t xml:space="preserve">; </w:t>
      </w:r>
      <w:r w:rsidR="002E1275" w:rsidRPr="0059079F">
        <w:rPr>
          <w:sz w:val="20"/>
          <w:szCs w:val="20"/>
        </w:rPr>
        <w:t>datos poblacionales</w:t>
      </w:r>
      <w:r w:rsidR="00791B91" w:rsidRPr="0059079F">
        <w:rPr>
          <w:sz w:val="20"/>
          <w:szCs w:val="20"/>
        </w:rPr>
        <w:t>:</w:t>
      </w:r>
      <w:r w:rsidR="00324720" w:rsidRPr="0059079F">
        <w:rPr>
          <w:sz w:val="20"/>
          <w:szCs w:val="20"/>
        </w:rPr>
        <w:t xml:space="preserve"> </w:t>
      </w:r>
      <w:r w:rsidR="00324720" w:rsidRPr="0059079F">
        <w:rPr>
          <w:color w:val="365F91" w:themeColor="accent1" w:themeShade="BF"/>
          <w:sz w:val="20"/>
          <w:szCs w:val="20"/>
        </w:rPr>
        <w:t>I</w:t>
      </w:r>
      <w:r w:rsidR="0053436F" w:rsidRPr="0059079F">
        <w:rPr>
          <w:color w:val="365F91" w:themeColor="accent1" w:themeShade="BF"/>
          <w:sz w:val="20"/>
          <w:szCs w:val="20"/>
        </w:rPr>
        <w:t>NEC (2013)</w:t>
      </w:r>
      <w:r w:rsidR="0053436F" w:rsidRPr="0059079F">
        <w:rPr>
          <w:sz w:val="20"/>
          <w:szCs w:val="20"/>
        </w:rPr>
        <w:t xml:space="preserve">; </w:t>
      </w:r>
      <w:r w:rsidR="0053436F" w:rsidRPr="0059079F">
        <w:rPr>
          <w:color w:val="365F91" w:themeColor="accent1" w:themeShade="BF"/>
          <w:sz w:val="20"/>
          <w:szCs w:val="20"/>
        </w:rPr>
        <w:t>TCU-UCR (2016) (a),</w:t>
      </w:r>
      <w:r w:rsidR="00324720" w:rsidRPr="0059079F">
        <w:rPr>
          <w:color w:val="365F91" w:themeColor="accent1" w:themeShade="BF"/>
          <w:sz w:val="20"/>
          <w:szCs w:val="20"/>
        </w:rPr>
        <w:t xml:space="preserve"> (b)</w:t>
      </w:r>
      <w:r w:rsidR="0053436F" w:rsidRPr="0059079F">
        <w:rPr>
          <w:color w:val="365F91" w:themeColor="accent1" w:themeShade="BF"/>
          <w:sz w:val="20"/>
          <w:szCs w:val="20"/>
        </w:rPr>
        <w:t xml:space="preserve"> y (c)</w:t>
      </w:r>
      <w:r w:rsidR="00324720" w:rsidRPr="0059079F">
        <w:rPr>
          <w:sz w:val="20"/>
          <w:szCs w:val="20"/>
        </w:rPr>
        <w:t>; TCU_UCR (2017)</w:t>
      </w:r>
      <w:r w:rsidR="00C52247" w:rsidRPr="0059079F">
        <w:rPr>
          <w:sz w:val="20"/>
          <w:szCs w:val="20"/>
        </w:rPr>
        <w:t xml:space="preserve">; tasa bruta de cobertura educativa: </w:t>
      </w:r>
      <w:r w:rsidR="00C52247" w:rsidRPr="0059079F">
        <w:rPr>
          <w:color w:val="365F91" w:themeColor="accent1" w:themeShade="BF"/>
          <w:sz w:val="20"/>
          <w:szCs w:val="20"/>
        </w:rPr>
        <w:fldChar w:fldCharType="begin" w:fldLock="1"/>
      </w:r>
      <w:r w:rsidR="00C52247" w:rsidRPr="0059079F">
        <w:rPr>
          <w:color w:val="365F91" w:themeColor="accent1" w:themeShade="BF"/>
          <w:sz w:val="20"/>
          <w:szCs w:val="20"/>
        </w:rPr>
        <w:instrText>ADDIN CSL_CITATION {"citationItems":[{"id":"ITEM-1","itemData":{"author":[{"dropping-particle":"","family":"MEP","given":"","non-dropping-particle":"","parse-names":false,"suffix":""}],"id":"ITEM-1","issued":{"date-parts":[["2014"]]},"publisher-place":"San José, Costa Rica","title":"Estimaciones Cantonales de las Tasas Brutas de Escolaridad en el Sistema Educativo Costarricense 2001-2014","type":"report"},"uris":["http://www.mendeley.com/documents/?uuid=90037a22-5bd4-4ece-85bf-8bad0834e768"]}],"mendeley":{"formattedCitation":"(MEP, 2014)","manualFormatting":"MEP (2014)","plainTextFormattedCitation":"(MEP, 2014)","previouslyFormattedCitation":"(MEP, 2014)"},"properties":{"noteIndex":0},"schema":"https://github.com/citation-style-language/schema/raw/master/csl-citation.json"}</w:instrText>
      </w:r>
      <w:r w:rsidR="00C52247" w:rsidRPr="0059079F">
        <w:rPr>
          <w:color w:val="365F91" w:themeColor="accent1" w:themeShade="BF"/>
          <w:sz w:val="20"/>
          <w:szCs w:val="20"/>
        </w:rPr>
        <w:fldChar w:fldCharType="separate"/>
      </w:r>
      <w:r w:rsidR="00C52247" w:rsidRPr="0059079F">
        <w:rPr>
          <w:noProof/>
          <w:color w:val="365F91" w:themeColor="accent1" w:themeShade="BF"/>
          <w:sz w:val="20"/>
          <w:szCs w:val="20"/>
        </w:rPr>
        <w:t>MEP (2014)</w:t>
      </w:r>
      <w:r w:rsidR="00C52247" w:rsidRPr="0059079F">
        <w:rPr>
          <w:color w:val="365F91" w:themeColor="accent1" w:themeShade="BF"/>
          <w:sz w:val="20"/>
          <w:szCs w:val="20"/>
        </w:rPr>
        <w:fldChar w:fldCharType="end"/>
      </w:r>
      <w:r w:rsidR="00C52247" w:rsidRPr="0059079F">
        <w:rPr>
          <w:sz w:val="20"/>
          <w:szCs w:val="20"/>
        </w:rPr>
        <w:t xml:space="preserve">; </w:t>
      </w:r>
      <w:r w:rsidRPr="0059079F">
        <w:rPr>
          <w:sz w:val="20"/>
          <w:szCs w:val="20"/>
        </w:rPr>
        <w:t xml:space="preserve">Índice de desarrollo social cantonal: </w:t>
      </w:r>
      <w:r w:rsidRPr="0059079F">
        <w:rPr>
          <w:sz w:val="20"/>
          <w:szCs w:val="20"/>
        </w:rPr>
        <w:fldChar w:fldCharType="begin" w:fldLock="1"/>
      </w:r>
      <w:r w:rsidR="00B02CA1" w:rsidRPr="0059079F">
        <w:rPr>
          <w:sz w:val="20"/>
          <w:szCs w:val="20"/>
        </w:rPr>
        <w:instrText>ADDIN CSL_CITATION {"citationItems":[{"id":"ITEM-1","itemData":{"author":[{"dropping-particle":"","family":"MIDEPLAN","given":"","non-dropping-particle":"","parse-names":false,"suffix":""}],"id":"ITEM-1","issued":{"date-parts":[["2018"]]},"number-of-pages":"126 p.","publisher-place":"San José, Costa Rica","title":"Índice de desarrollo social 2017","type":"report"},"uris":["http://www.mendeley.com/documents/?uuid=a150a669-2873-493c-8ab9-a8a3fc823624"]}],"mendeley":{"formattedCitation":"(MIDEPLAN, 2018)","plainTextFormattedCitation":"(MIDEPLAN, 2018)","previouslyFormattedCitation":"(MIDEPLAN, 2018)"},"properties":{"noteIndex":0},"schema":"https://github.com/citation-style-language/schema/raw/master/csl-citation.json"}</w:instrText>
      </w:r>
      <w:r w:rsidRPr="0059079F">
        <w:rPr>
          <w:sz w:val="20"/>
          <w:szCs w:val="20"/>
        </w:rPr>
        <w:fldChar w:fldCharType="separate"/>
      </w:r>
      <w:r w:rsidRPr="0059079F">
        <w:rPr>
          <w:noProof/>
          <w:sz w:val="20"/>
          <w:szCs w:val="20"/>
        </w:rPr>
        <w:t>(</w:t>
      </w:r>
      <w:r w:rsidRPr="0059079F">
        <w:rPr>
          <w:noProof/>
          <w:color w:val="365F91" w:themeColor="accent1" w:themeShade="BF"/>
          <w:sz w:val="20"/>
          <w:szCs w:val="20"/>
        </w:rPr>
        <w:t>MIDEPLAN, 2018</w:t>
      </w:r>
      <w:r w:rsidRPr="0059079F">
        <w:rPr>
          <w:noProof/>
          <w:sz w:val="20"/>
          <w:szCs w:val="20"/>
        </w:rPr>
        <w:t>)</w:t>
      </w:r>
      <w:r w:rsidRPr="0059079F">
        <w:rPr>
          <w:sz w:val="20"/>
          <w:szCs w:val="20"/>
        </w:rPr>
        <w:fldChar w:fldCharType="end"/>
      </w:r>
      <w:r w:rsidR="004E3E3B" w:rsidRPr="0059079F">
        <w:rPr>
          <w:sz w:val="20"/>
          <w:szCs w:val="20"/>
        </w:rPr>
        <w:t xml:space="preserve">. </w:t>
      </w:r>
    </w:p>
    <w:p w14:paraId="366FA91B" w14:textId="77777777" w:rsidR="00C52247" w:rsidRPr="00324720" w:rsidRDefault="00C52247" w:rsidP="00E71527">
      <w:pPr>
        <w:spacing w:after="0"/>
      </w:pPr>
    </w:p>
    <w:p w14:paraId="21A757A2" w14:textId="044583B3" w:rsidR="00324720" w:rsidRPr="00DD6966" w:rsidRDefault="00324720" w:rsidP="00E71527">
      <w:pPr>
        <w:spacing w:after="0"/>
        <w:jc w:val="both"/>
        <w:rPr>
          <w:szCs w:val="24"/>
        </w:rPr>
      </w:pPr>
      <w:r w:rsidRPr="00DD6966">
        <w:rPr>
          <w:szCs w:val="24"/>
        </w:rPr>
        <w:t xml:space="preserve">Como se desprende </w:t>
      </w:r>
      <w:r w:rsidR="00463D9B" w:rsidRPr="00DD6966">
        <w:rPr>
          <w:szCs w:val="24"/>
        </w:rPr>
        <w:t xml:space="preserve">del </w:t>
      </w:r>
      <w:r w:rsidR="00463D9B" w:rsidRPr="00DD6966">
        <w:rPr>
          <w:b/>
          <w:szCs w:val="24"/>
        </w:rPr>
        <w:fldChar w:fldCharType="begin"/>
      </w:r>
      <w:r w:rsidR="00463D9B" w:rsidRPr="00DD6966">
        <w:rPr>
          <w:b/>
          <w:szCs w:val="24"/>
        </w:rPr>
        <w:instrText xml:space="preserve"> REF _Ref14520397 \h </w:instrText>
      </w:r>
      <w:r w:rsidR="00B338A8" w:rsidRPr="00DD6966">
        <w:rPr>
          <w:b/>
          <w:szCs w:val="24"/>
        </w:rPr>
        <w:instrText xml:space="preserve"> \* MERGEFORMAT </w:instrText>
      </w:r>
      <w:r w:rsidR="00463D9B" w:rsidRPr="00DD6966">
        <w:rPr>
          <w:b/>
          <w:szCs w:val="24"/>
        </w:rPr>
      </w:r>
      <w:r w:rsidR="00463D9B" w:rsidRPr="00DD6966">
        <w:rPr>
          <w:b/>
          <w:szCs w:val="24"/>
        </w:rPr>
        <w:fldChar w:fldCharType="separate"/>
      </w:r>
      <w:r w:rsidR="009F5136" w:rsidRPr="00DD6966">
        <w:rPr>
          <w:b/>
          <w:szCs w:val="24"/>
        </w:rPr>
        <w:t>Cuadro 2</w:t>
      </w:r>
      <w:r w:rsidR="00463D9B" w:rsidRPr="00DD6966">
        <w:rPr>
          <w:b/>
          <w:szCs w:val="24"/>
        </w:rPr>
        <w:fldChar w:fldCharType="end"/>
      </w:r>
      <w:r w:rsidRPr="00DD6966">
        <w:rPr>
          <w:szCs w:val="24"/>
        </w:rPr>
        <w:t>, los cantones tienen gran cantidad de territorio rural, en especial Jiménez y Turrialba</w:t>
      </w:r>
      <w:r w:rsidR="00B5095B" w:rsidRPr="00DD6966">
        <w:rPr>
          <w:szCs w:val="24"/>
        </w:rPr>
        <w:t>,</w:t>
      </w:r>
      <w:r w:rsidRPr="00DD6966">
        <w:rPr>
          <w:szCs w:val="24"/>
        </w:rPr>
        <w:t xml:space="preserve"> y </w:t>
      </w:r>
      <w:r w:rsidR="0076374A" w:rsidRPr="00DD6966">
        <w:rPr>
          <w:szCs w:val="24"/>
        </w:rPr>
        <w:t>una densidad poblacional baja</w:t>
      </w:r>
      <w:r w:rsidRPr="00DD6966">
        <w:rPr>
          <w:szCs w:val="24"/>
        </w:rPr>
        <w:t xml:space="preserve">. Este patrón dificulta la dotación de servicios, pues </w:t>
      </w:r>
      <w:r w:rsidR="00902302" w:rsidRPr="00DD6966">
        <w:rPr>
          <w:szCs w:val="24"/>
        </w:rPr>
        <w:t xml:space="preserve">se </w:t>
      </w:r>
      <w:r w:rsidRPr="00DD6966">
        <w:rPr>
          <w:szCs w:val="24"/>
        </w:rPr>
        <w:t xml:space="preserve">requiere </w:t>
      </w:r>
      <w:r w:rsidR="002E1275">
        <w:rPr>
          <w:szCs w:val="24"/>
        </w:rPr>
        <w:t>abarca</w:t>
      </w:r>
      <w:r w:rsidRPr="00DD6966">
        <w:rPr>
          <w:szCs w:val="24"/>
        </w:rPr>
        <w:t>r grandes áreas</w:t>
      </w:r>
      <w:r w:rsidR="0076374A" w:rsidRPr="00DD6966">
        <w:rPr>
          <w:szCs w:val="24"/>
        </w:rPr>
        <w:t xml:space="preserve"> a un costo elevado</w:t>
      </w:r>
      <w:r w:rsidRPr="00DD6966">
        <w:rPr>
          <w:szCs w:val="24"/>
        </w:rPr>
        <w:t xml:space="preserve">. De los cuatro cantones estudiados </w:t>
      </w:r>
      <w:r w:rsidR="00B5095B" w:rsidRPr="00DD6966">
        <w:rPr>
          <w:szCs w:val="24"/>
        </w:rPr>
        <w:t>e</w:t>
      </w:r>
      <w:r w:rsidRPr="00DD6966">
        <w:rPr>
          <w:szCs w:val="24"/>
        </w:rPr>
        <w:t>l más urban</w:t>
      </w:r>
      <w:r w:rsidR="008B15CB" w:rsidRPr="00DD6966">
        <w:rPr>
          <w:szCs w:val="24"/>
        </w:rPr>
        <w:t>izado</w:t>
      </w:r>
      <w:r w:rsidRPr="00DD6966">
        <w:rPr>
          <w:szCs w:val="24"/>
        </w:rPr>
        <w:t xml:space="preserve"> es Oreamuno, cuyo centro, San Rafael, </w:t>
      </w:r>
      <w:r w:rsidR="008B15CB" w:rsidRPr="00DD6966">
        <w:rPr>
          <w:szCs w:val="24"/>
        </w:rPr>
        <w:t xml:space="preserve">se </w:t>
      </w:r>
      <w:r w:rsidR="004E6281" w:rsidRPr="00DD6966">
        <w:rPr>
          <w:szCs w:val="24"/>
        </w:rPr>
        <w:t>considera parte de</w:t>
      </w:r>
      <w:r w:rsidRPr="00DD6966">
        <w:rPr>
          <w:szCs w:val="24"/>
        </w:rPr>
        <w:t xml:space="preserve"> la ciudad de Cartago</w:t>
      </w:r>
      <w:r w:rsidR="0076374A" w:rsidRPr="00DD6966">
        <w:rPr>
          <w:szCs w:val="24"/>
        </w:rPr>
        <w:t>. S</w:t>
      </w:r>
      <w:r w:rsidRPr="00DD6966">
        <w:rPr>
          <w:szCs w:val="24"/>
        </w:rPr>
        <w:t xml:space="preserve">in embargo, como se discute en la sección de resultados, es uno de los cantones con peores </w:t>
      </w:r>
      <w:r w:rsidR="008D7A6C" w:rsidRPr="00DD6966">
        <w:rPr>
          <w:szCs w:val="24"/>
        </w:rPr>
        <w:t>calificaciones</w:t>
      </w:r>
      <w:r w:rsidRPr="00DD6966">
        <w:rPr>
          <w:szCs w:val="24"/>
        </w:rPr>
        <w:t xml:space="preserve"> en cuanto a calidad del servicio. El cantón de Alvarado es el más denso de </w:t>
      </w:r>
      <w:r w:rsidR="0076374A" w:rsidRPr="00DD6966">
        <w:rPr>
          <w:szCs w:val="24"/>
        </w:rPr>
        <w:t xml:space="preserve">los </w:t>
      </w:r>
      <w:r w:rsidRPr="00DD6966">
        <w:rPr>
          <w:szCs w:val="24"/>
        </w:rPr>
        <w:t>estudiados, y también el que menor territorio tiene que cubrir</w:t>
      </w:r>
      <w:r w:rsidR="002E1275">
        <w:rPr>
          <w:szCs w:val="24"/>
        </w:rPr>
        <w:t>;</w:t>
      </w:r>
      <w:r w:rsidRPr="00DD6966">
        <w:rPr>
          <w:szCs w:val="24"/>
        </w:rPr>
        <w:t xml:space="preserve"> esto</w:t>
      </w:r>
      <w:r w:rsidR="002E1275">
        <w:rPr>
          <w:szCs w:val="24"/>
        </w:rPr>
        <w:t>,</w:t>
      </w:r>
      <w:r w:rsidRPr="00DD6966">
        <w:rPr>
          <w:szCs w:val="24"/>
        </w:rPr>
        <w:t xml:space="preserve"> aunado a que el distrito de Cervantes </w:t>
      </w:r>
      <w:r w:rsidR="00B5095B" w:rsidRPr="00DD6966">
        <w:rPr>
          <w:szCs w:val="24"/>
        </w:rPr>
        <w:t>administrativamente funciona como un Concejo de Distrito</w:t>
      </w:r>
      <w:r w:rsidR="004361D2" w:rsidRPr="00DD6966">
        <w:rPr>
          <w:szCs w:val="24"/>
        </w:rPr>
        <w:t>. Adicionalmente, este</w:t>
      </w:r>
      <w:r w:rsidRPr="00DD6966">
        <w:rPr>
          <w:szCs w:val="24"/>
        </w:rPr>
        <w:t xml:space="preserve"> cantón es el que mayor c</w:t>
      </w:r>
      <w:r w:rsidR="004E6281" w:rsidRPr="00DD6966">
        <w:rPr>
          <w:szCs w:val="24"/>
        </w:rPr>
        <w:t>recimiento poblacional presenta</w:t>
      </w:r>
      <w:r w:rsidRPr="00DD6966">
        <w:rPr>
          <w:szCs w:val="24"/>
        </w:rPr>
        <w:t>.</w:t>
      </w:r>
      <w:r w:rsidR="00B5095B" w:rsidRPr="00DD6966">
        <w:rPr>
          <w:szCs w:val="24"/>
        </w:rPr>
        <w:t xml:space="preserve"> </w:t>
      </w:r>
      <w:r w:rsidR="004E6281" w:rsidRPr="00DD6966">
        <w:rPr>
          <w:szCs w:val="24"/>
        </w:rPr>
        <w:t>E</w:t>
      </w:r>
      <w:r w:rsidR="00B5095B" w:rsidRPr="00DD6966">
        <w:rPr>
          <w:szCs w:val="24"/>
        </w:rPr>
        <w:t>l cantón de Jiménez también tiene en su territorio un Conc</w:t>
      </w:r>
      <w:r w:rsidR="004E6281" w:rsidRPr="00DD6966">
        <w:rPr>
          <w:szCs w:val="24"/>
        </w:rPr>
        <w:t xml:space="preserve">ejo de Distrito para </w:t>
      </w:r>
      <w:proofErr w:type="spellStart"/>
      <w:r w:rsidR="004E6281" w:rsidRPr="00DD6966">
        <w:rPr>
          <w:szCs w:val="24"/>
        </w:rPr>
        <w:t>Tucurrique</w:t>
      </w:r>
      <w:proofErr w:type="spellEnd"/>
      <w:r w:rsidR="00B5095B" w:rsidRPr="00DD6966">
        <w:rPr>
          <w:szCs w:val="24"/>
        </w:rPr>
        <w:t>.</w:t>
      </w:r>
    </w:p>
    <w:p w14:paraId="3C11FE88" w14:textId="77777777" w:rsidR="00237661" w:rsidRPr="00DD6966" w:rsidRDefault="00237661" w:rsidP="00E71527">
      <w:pPr>
        <w:spacing w:after="0"/>
        <w:jc w:val="both"/>
        <w:rPr>
          <w:szCs w:val="24"/>
        </w:rPr>
      </w:pPr>
    </w:p>
    <w:p w14:paraId="2534C568" w14:textId="4E7F96E0" w:rsidR="00653CBB" w:rsidRPr="00DD6966" w:rsidRDefault="00653CBB" w:rsidP="00E71527">
      <w:pPr>
        <w:pStyle w:val="Prrafodelista"/>
        <w:numPr>
          <w:ilvl w:val="0"/>
          <w:numId w:val="4"/>
        </w:numPr>
        <w:spacing w:after="0"/>
        <w:ind w:left="426" w:hanging="426"/>
        <w:jc w:val="both"/>
        <w:rPr>
          <w:b/>
          <w:szCs w:val="24"/>
        </w:rPr>
      </w:pPr>
      <w:r w:rsidRPr="00DD6966">
        <w:rPr>
          <w:b/>
          <w:szCs w:val="24"/>
        </w:rPr>
        <w:t>Metodología</w:t>
      </w:r>
      <w:r w:rsidR="0023458B" w:rsidRPr="00DD6966">
        <w:rPr>
          <w:b/>
          <w:szCs w:val="24"/>
        </w:rPr>
        <w:t xml:space="preserve"> </w:t>
      </w:r>
    </w:p>
    <w:p w14:paraId="4C201628" w14:textId="77777777" w:rsidR="004C5156" w:rsidRPr="00DD6966" w:rsidRDefault="004C5156" w:rsidP="00E71527">
      <w:pPr>
        <w:pStyle w:val="Prrafodelista"/>
        <w:spacing w:after="0"/>
        <w:ind w:left="426"/>
        <w:jc w:val="both"/>
        <w:rPr>
          <w:b/>
          <w:szCs w:val="24"/>
        </w:rPr>
      </w:pPr>
    </w:p>
    <w:p w14:paraId="3A50768C" w14:textId="3B9E419F" w:rsidR="00AC0D06" w:rsidRPr="00DD6966" w:rsidRDefault="00282464" w:rsidP="00E71527">
      <w:pPr>
        <w:spacing w:after="0"/>
        <w:jc w:val="both"/>
        <w:rPr>
          <w:szCs w:val="24"/>
        </w:rPr>
      </w:pPr>
      <w:r w:rsidRPr="00DD6966">
        <w:rPr>
          <w:szCs w:val="24"/>
        </w:rPr>
        <w:t>C</w:t>
      </w:r>
      <w:r w:rsidR="00A77280" w:rsidRPr="00DD6966">
        <w:rPr>
          <w:szCs w:val="24"/>
        </w:rPr>
        <w:t xml:space="preserve">on este estudio se pretende </w:t>
      </w:r>
      <w:r w:rsidR="00AC0D06" w:rsidRPr="00DD6966">
        <w:rPr>
          <w:szCs w:val="24"/>
        </w:rPr>
        <w:t>proponer una metodología con posibilidades de ser replicada en otros sistemas de distribución de agua potable en Costa Rica y otros países de América Latina. Se trata de un enfoque centrado en la percepción de</w:t>
      </w:r>
      <w:r w:rsidRPr="00DD6966">
        <w:rPr>
          <w:szCs w:val="24"/>
        </w:rPr>
        <w:t xml:space="preserve"> </w:t>
      </w:r>
      <w:r w:rsidR="00AC0D06" w:rsidRPr="00DD6966">
        <w:rPr>
          <w:szCs w:val="24"/>
        </w:rPr>
        <w:t>l</w:t>
      </w:r>
      <w:r w:rsidRPr="00DD6966">
        <w:rPr>
          <w:szCs w:val="24"/>
        </w:rPr>
        <w:t>a persona</w:t>
      </w:r>
      <w:r w:rsidR="00AC0D06" w:rsidRPr="00DD6966">
        <w:rPr>
          <w:szCs w:val="24"/>
        </w:rPr>
        <w:t xml:space="preserve"> usuari</w:t>
      </w:r>
      <w:r w:rsidRPr="00DD6966">
        <w:rPr>
          <w:szCs w:val="24"/>
        </w:rPr>
        <w:t>a</w:t>
      </w:r>
      <w:r w:rsidR="00D7155E" w:rsidRPr="00DD6966">
        <w:rPr>
          <w:szCs w:val="24"/>
        </w:rPr>
        <w:t>,</w:t>
      </w:r>
      <w:r w:rsidR="00AC0D06" w:rsidRPr="00DD6966">
        <w:rPr>
          <w:szCs w:val="24"/>
        </w:rPr>
        <w:t xml:space="preserve"> que podría complementar los indicadores de calidad del servicio de agua potable tradicionales que se basan</w:t>
      </w:r>
      <w:r w:rsidR="002E1275">
        <w:rPr>
          <w:szCs w:val="24"/>
        </w:rPr>
        <w:t>,</w:t>
      </w:r>
      <w:r w:rsidR="00AC0D06" w:rsidRPr="00DD6966">
        <w:rPr>
          <w:szCs w:val="24"/>
        </w:rPr>
        <w:t xml:space="preserve"> principalmente</w:t>
      </w:r>
      <w:r w:rsidR="002E1275">
        <w:rPr>
          <w:szCs w:val="24"/>
        </w:rPr>
        <w:t>,</w:t>
      </w:r>
      <w:r w:rsidR="00AC0D06" w:rsidRPr="00DD6966">
        <w:rPr>
          <w:szCs w:val="24"/>
        </w:rPr>
        <w:t xml:space="preserve"> en criterios de infraestructura, calidad y cantidad del agua, gestión </w:t>
      </w:r>
      <w:r w:rsidR="004E6281" w:rsidRPr="00DD6966">
        <w:rPr>
          <w:szCs w:val="24"/>
        </w:rPr>
        <w:t>e indicadores financieros</w:t>
      </w:r>
      <w:r w:rsidR="00AC0D06" w:rsidRPr="00DD6966">
        <w:rPr>
          <w:szCs w:val="24"/>
        </w:rPr>
        <w:t>.</w:t>
      </w:r>
    </w:p>
    <w:p w14:paraId="3AFFB180" w14:textId="77777777" w:rsidR="00237661" w:rsidRPr="00DD6966" w:rsidRDefault="00237661" w:rsidP="00E71527">
      <w:pPr>
        <w:spacing w:after="0"/>
        <w:jc w:val="both"/>
        <w:rPr>
          <w:szCs w:val="24"/>
        </w:rPr>
      </w:pPr>
    </w:p>
    <w:p w14:paraId="40145FCC" w14:textId="79DA2837" w:rsidR="00BD0BD7" w:rsidRPr="00DD6966" w:rsidRDefault="47840DA5" w:rsidP="00E71527">
      <w:pPr>
        <w:spacing w:after="0"/>
        <w:jc w:val="both"/>
        <w:rPr>
          <w:szCs w:val="24"/>
        </w:rPr>
      </w:pPr>
      <w:r w:rsidRPr="00DD6966">
        <w:rPr>
          <w:szCs w:val="24"/>
        </w:rPr>
        <w:t>La investigación se reali</w:t>
      </w:r>
      <w:r w:rsidR="004361D2" w:rsidRPr="00DD6966">
        <w:rPr>
          <w:szCs w:val="24"/>
        </w:rPr>
        <w:t>zó durante los años 2016 a 2018</w:t>
      </w:r>
      <w:r w:rsidRPr="00DD6966">
        <w:rPr>
          <w:szCs w:val="24"/>
        </w:rPr>
        <w:t xml:space="preserve">. Primeramente, </w:t>
      </w:r>
      <w:r w:rsidR="004E6281" w:rsidRPr="00DD6966">
        <w:rPr>
          <w:szCs w:val="24"/>
        </w:rPr>
        <w:t>en el proyecto global se</w:t>
      </w:r>
      <w:r w:rsidR="004361D2" w:rsidRPr="00DD6966">
        <w:rPr>
          <w:szCs w:val="24"/>
        </w:rPr>
        <w:t xml:space="preserve"> </w:t>
      </w:r>
      <w:r w:rsidRPr="00DD6966">
        <w:rPr>
          <w:szCs w:val="24"/>
        </w:rPr>
        <w:t xml:space="preserve">estudiaron los antecedentes y contexto en el que se brindaban los servicios ambientales en el área de estudio, para lo cual se consideraron residuos sólidos, agua potable, protección de </w:t>
      </w:r>
      <w:r w:rsidRPr="00DD6966">
        <w:rPr>
          <w:szCs w:val="24"/>
        </w:rPr>
        <w:lastRenderedPageBreak/>
        <w:t>nacientes y sistemas de tratamiento de aguas</w:t>
      </w:r>
      <w:r w:rsidR="0076374A" w:rsidRPr="00DD6966">
        <w:rPr>
          <w:szCs w:val="24"/>
        </w:rPr>
        <w:t xml:space="preserve"> residuales</w:t>
      </w:r>
      <w:r w:rsidRPr="00DD6966">
        <w:rPr>
          <w:szCs w:val="24"/>
        </w:rPr>
        <w:t xml:space="preserve">. Se establecieron los contactos en cada municipalidad para contar con contrapartes y se estudiaron los aspectos físicos y demográficos de cada cantón. Posteriormente, con colaboración de </w:t>
      </w:r>
      <w:r w:rsidR="008D7A6C" w:rsidRPr="00DD6966">
        <w:rPr>
          <w:szCs w:val="24"/>
        </w:rPr>
        <w:t>población estudiantil</w:t>
      </w:r>
      <w:r w:rsidRPr="00DD6966">
        <w:rPr>
          <w:szCs w:val="24"/>
        </w:rPr>
        <w:t>, se realiz</w:t>
      </w:r>
      <w:r w:rsidR="0076374A" w:rsidRPr="00DD6966">
        <w:rPr>
          <w:szCs w:val="24"/>
        </w:rPr>
        <w:t>ó</w:t>
      </w:r>
      <w:r w:rsidRPr="00DD6966">
        <w:rPr>
          <w:szCs w:val="24"/>
        </w:rPr>
        <w:t xml:space="preserve"> un diagnóstico de necesidades ambientales de cada uno de los cantones, con los cuales se contextualiza la inve</w:t>
      </w:r>
      <w:r w:rsidR="00BE68AE" w:rsidRPr="00DD6966">
        <w:rPr>
          <w:szCs w:val="24"/>
        </w:rPr>
        <w:t>stigación (</w:t>
      </w:r>
      <w:r w:rsidR="00BE68AE" w:rsidRPr="00DD6966">
        <w:rPr>
          <w:color w:val="365F91" w:themeColor="accent1" w:themeShade="BF"/>
          <w:szCs w:val="24"/>
        </w:rPr>
        <w:t>TCU-UCR</w:t>
      </w:r>
      <w:r w:rsidR="0076374A" w:rsidRPr="00DD6966">
        <w:rPr>
          <w:color w:val="365F91" w:themeColor="accent1" w:themeShade="BF"/>
          <w:szCs w:val="24"/>
        </w:rPr>
        <w:t xml:space="preserve">, </w:t>
      </w:r>
      <w:r w:rsidR="00BE68AE" w:rsidRPr="00DD6966">
        <w:rPr>
          <w:color w:val="365F91" w:themeColor="accent1" w:themeShade="BF"/>
          <w:szCs w:val="24"/>
        </w:rPr>
        <w:t>2016</w:t>
      </w:r>
      <w:r w:rsidR="0076374A" w:rsidRPr="00DD6966">
        <w:rPr>
          <w:color w:val="365F91" w:themeColor="accent1" w:themeShade="BF"/>
          <w:szCs w:val="24"/>
        </w:rPr>
        <w:t>a</w:t>
      </w:r>
      <w:r w:rsidR="00BE68AE" w:rsidRPr="00DD6966">
        <w:rPr>
          <w:color w:val="365F91" w:themeColor="accent1" w:themeShade="BF"/>
          <w:szCs w:val="24"/>
        </w:rPr>
        <w:t>,</w:t>
      </w:r>
      <w:r w:rsidRPr="00DD6966">
        <w:rPr>
          <w:color w:val="365F91" w:themeColor="accent1" w:themeShade="BF"/>
          <w:szCs w:val="24"/>
        </w:rPr>
        <w:t xml:space="preserve"> </w:t>
      </w:r>
      <w:r w:rsidR="002E1275">
        <w:rPr>
          <w:color w:val="365F91" w:themeColor="accent1" w:themeShade="BF"/>
          <w:szCs w:val="24"/>
        </w:rPr>
        <w:t>2016</w:t>
      </w:r>
      <w:r w:rsidRPr="00DD6966">
        <w:rPr>
          <w:color w:val="365F91" w:themeColor="accent1" w:themeShade="BF"/>
          <w:szCs w:val="24"/>
        </w:rPr>
        <w:t>b</w:t>
      </w:r>
      <w:r w:rsidR="00BE68AE" w:rsidRPr="00DD6966">
        <w:rPr>
          <w:color w:val="365F91" w:themeColor="accent1" w:themeShade="BF"/>
          <w:szCs w:val="24"/>
        </w:rPr>
        <w:t xml:space="preserve"> y </w:t>
      </w:r>
      <w:r w:rsidR="002E1275">
        <w:rPr>
          <w:color w:val="365F91" w:themeColor="accent1" w:themeShade="BF"/>
          <w:szCs w:val="24"/>
        </w:rPr>
        <w:t>2016</w:t>
      </w:r>
      <w:r w:rsidR="00BE68AE" w:rsidRPr="00DD6966">
        <w:rPr>
          <w:color w:val="365F91" w:themeColor="accent1" w:themeShade="BF"/>
          <w:szCs w:val="24"/>
        </w:rPr>
        <w:t>c; TCU-</w:t>
      </w:r>
      <w:r w:rsidRPr="00DD6966">
        <w:rPr>
          <w:color w:val="365F91" w:themeColor="accent1" w:themeShade="BF"/>
          <w:szCs w:val="24"/>
        </w:rPr>
        <w:t>UCR</w:t>
      </w:r>
      <w:r w:rsidR="0076374A" w:rsidRPr="00DD6966">
        <w:rPr>
          <w:color w:val="365F91" w:themeColor="accent1" w:themeShade="BF"/>
          <w:szCs w:val="24"/>
        </w:rPr>
        <w:t xml:space="preserve">, </w:t>
      </w:r>
      <w:r w:rsidRPr="00DD6966">
        <w:rPr>
          <w:color w:val="365F91" w:themeColor="accent1" w:themeShade="BF"/>
          <w:szCs w:val="24"/>
        </w:rPr>
        <w:t>2017</w:t>
      </w:r>
      <w:r w:rsidRPr="00DD6966">
        <w:rPr>
          <w:szCs w:val="24"/>
        </w:rPr>
        <w:t xml:space="preserve">). </w:t>
      </w:r>
      <w:r w:rsidR="00902302" w:rsidRPr="00DD6966">
        <w:rPr>
          <w:szCs w:val="24"/>
        </w:rPr>
        <w:t>Luego</w:t>
      </w:r>
      <w:r w:rsidRPr="00DD6966">
        <w:rPr>
          <w:szCs w:val="24"/>
        </w:rPr>
        <w:t xml:space="preserve"> se realizó una puesta en común de los diferentes desafíos encontrados para cada municipio, por medio d</w:t>
      </w:r>
      <w:r w:rsidR="008D7A6C" w:rsidRPr="00DD6966">
        <w:rPr>
          <w:szCs w:val="24"/>
        </w:rPr>
        <w:t>e reuniones presenciales con personal municipal</w:t>
      </w:r>
      <w:r w:rsidRPr="00DD6966">
        <w:rPr>
          <w:szCs w:val="24"/>
        </w:rPr>
        <w:t xml:space="preserve"> encargado de la temática en cada </w:t>
      </w:r>
      <w:r w:rsidR="002E1275">
        <w:rPr>
          <w:szCs w:val="24"/>
        </w:rPr>
        <w:t>lugar</w:t>
      </w:r>
      <w:r w:rsidRPr="00DD6966">
        <w:rPr>
          <w:szCs w:val="24"/>
        </w:rPr>
        <w:t xml:space="preserve">.  </w:t>
      </w:r>
      <w:r w:rsidR="0076374A" w:rsidRPr="00DD6966">
        <w:rPr>
          <w:szCs w:val="24"/>
        </w:rPr>
        <w:t xml:space="preserve">En </w:t>
      </w:r>
      <w:r w:rsidR="004E6281" w:rsidRPr="00DD6966">
        <w:rPr>
          <w:szCs w:val="24"/>
        </w:rPr>
        <w:t>este artículo</w:t>
      </w:r>
      <w:r w:rsidR="0076374A" w:rsidRPr="00DD6966">
        <w:rPr>
          <w:szCs w:val="24"/>
        </w:rPr>
        <w:t xml:space="preserve"> se presentan </w:t>
      </w:r>
      <w:r w:rsidR="00902302" w:rsidRPr="00DD6966">
        <w:rPr>
          <w:szCs w:val="24"/>
        </w:rPr>
        <w:t xml:space="preserve">únicamente </w:t>
      </w:r>
      <w:r w:rsidR="0076374A" w:rsidRPr="00DD6966">
        <w:rPr>
          <w:szCs w:val="24"/>
        </w:rPr>
        <w:t>los resultados relacionados con el servicio de acueductos.</w:t>
      </w:r>
    </w:p>
    <w:p w14:paraId="1289B1E8" w14:textId="77777777" w:rsidR="00237661" w:rsidRPr="00DD6966" w:rsidRDefault="00237661" w:rsidP="00E71527">
      <w:pPr>
        <w:spacing w:after="0"/>
        <w:jc w:val="both"/>
        <w:rPr>
          <w:szCs w:val="24"/>
        </w:rPr>
      </w:pPr>
    </w:p>
    <w:p w14:paraId="14CC19A5" w14:textId="4145BD0B" w:rsidR="00A77280" w:rsidRPr="00DD6966" w:rsidRDefault="0076374A" w:rsidP="00E71527">
      <w:pPr>
        <w:spacing w:after="0"/>
        <w:jc w:val="both"/>
        <w:rPr>
          <w:szCs w:val="24"/>
        </w:rPr>
      </w:pPr>
      <w:r w:rsidRPr="00DD6966">
        <w:rPr>
          <w:szCs w:val="24"/>
        </w:rPr>
        <w:t>P</w:t>
      </w:r>
      <w:r w:rsidR="47840DA5" w:rsidRPr="00DD6966">
        <w:rPr>
          <w:szCs w:val="24"/>
        </w:rPr>
        <w:t xml:space="preserve">ara definir la metodología </w:t>
      </w:r>
      <w:r w:rsidRPr="00DD6966">
        <w:rPr>
          <w:szCs w:val="24"/>
        </w:rPr>
        <w:t>de estudio</w:t>
      </w:r>
      <w:r w:rsidR="47840DA5" w:rsidRPr="00DD6966">
        <w:rPr>
          <w:szCs w:val="24"/>
        </w:rPr>
        <w:t xml:space="preserve"> de los acueductos </w:t>
      </w:r>
      <w:r w:rsidR="008D7A6C" w:rsidRPr="00DD6966">
        <w:rPr>
          <w:szCs w:val="24"/>
        </w:rPr>
        <w:t>analizados</w:t>
      </w:r>
      <w:r w:rsidR="47840DA5" w:rsidRPr="00DD6966">
        <w:rPr>
          <w:szCs w:val="24"/>
        </w:rPr>
        <w:t xml:space="preserve"> se realiz</w:t>
      </w:r>
      <w:r w:rsidR="002E1275">
        <w:rPr>
          <w:szCs w:val="24"/>
        </w:rPr>
        <w:t>aron</w:t>
      </w:r>
      <w:r w:rsidR="47840DA5" w:rsidRPr="00DD6966">
        <w:rPr>
          <w:szCs w:val="24"/>
        </w:rPr>
        <w:t xml:space="preserve"> una serie de reuniones con </w:t>
      </w:r>
      <w:r w:rsidR="008D7A6C" w:rsidRPr="00DD6966">
        <w:rPr>
          <w:szCs w:val="24"/>
        </w:rPr>
        <w:t>el personal</w:t>
      </w:r>
      <w:r w:rsidR="47840DA5" w:rsidRPr="00DD6966">
        <w:rPr>
          <w:szCs w:val="24"/>
        </w:rPr>
        <w:t xml:space="preserve"> de la administración del acueducto de cada municipio, y se </w:t>
      </w:r>
      <w:r w:rsidR="009807A7" w:rsidRPr="00DD6966">
        <w:rPr>
          <w:szCs w:val="24"/>
        </w:rPr>
        <w:t>identificaron</w:t>
      </w:r>
      <w:r w:rsidR="002E1275">
        <w:rPr>
          <w:szCs w:val="24"/>
        </w:rPr>
        <w:t>,</w:t>
      </w:r>
      <w:r w:rsidR="009807A7" w:rsidRPr="00DD6966">
        <w:rPr>
          <w:szCs w:val="24"/>
        </w:rPr>
        <w:t xml:space="preserve"> a grandes </w:t>
      </w:r>
      <w:r w:rsidR="00B775F2" w:rsidRPr="00DD6966">
        <w:rPr>
          <w:szCs w:val="24"/>
        </w:rPr>
        <w:t>rasgos</w:t>
      </w:r>
      <w:r w:rsidR="009807A7" w:rsidRPr="00DD6966">
        <w:rPr>
          <w:szCs w:val="24"/>
        </w:rPr>
        <w:t xml:space="preserve"> y según la información disponible en cada municipalidad</w:t>
      </w:r>
      <w:r w:rsidR="002E1275">
        <w:rPr>
          <w:szCs w:val="24"/>
        </w:rPr>
        <w:t>,</w:t>
      </w:r>
      <w:r w:rsidR="47840DA5" w:rsidRPr="00DD6966">
        <w:rPr>
          <w:szCs w:val="24"/>
        </w:rPr>
        <w:t xml:space="preserve"> las áreas de cobertura municipal versus las administradas por ASADA</w:t>
      </w:r>
      <w:r w:rsidR="008D7A6C" w:rsidRPr="00DD6966">
        <w:rPr>
          <w:szCs w:val="24"/>
        </w:rPr>
        <w:t xml:space="preserve">, ya que es una constante que en todo el territorio analizado no se </w:t>
      </w:r>
      <w:r w:rsidR="001E71B5" w:rsidRPr="00DD6966">
        <w:rPr>
          <w:szCs w:val="24"/>
        </w:rPr>
        <w:t>cuenta, a la fecha,</w:t>
      </w:r>
      <w:r w:rsidR="008D7A6C" w:rsidRPr="00DD6966">
        <w:rPr>
          <w:szCs w:val="24"/>
        </w:rPr>
        <w:t xml:space="preserve"> con mapas </w:t>
      </w:r>
      <w:r w:rsidR="001E71B5" w:rsidRPr="00DD6966">
        <w:rPr>
          <w:szCs w:val="24"/>
        </w:rPr>
        <w:t>completos</w:t>
      </w:r>
      <w:r w:rsidR="008D7A6C" w:rsidRPr="00DD6966">
        <w:rPr>
          <w:szCs w:val="24"/>
        </w:rPr>
        <w:t xml:space="preserve"> de la red del servicio y de los límites de cada administrador. Est</w:t>
      </w:r>
      <w:r w:rsidR="001E71B5" w:rsidRPr="00DD6966">
        <w:rPr>
          <w:szCs w:val="24"/>
        </w:rPr>
        <w:t>e factor</w:t>
      </w:r>
      <w:r w:rsidR="008D7A6C" w:rsidRPr="00DD6966">
        <w:rPr>
          <w:szCs w:val="24"/>
        </w:rPr>
        <w:t xml:space="preserve"> fue considerado de peso a la hora de seleccionar la división política administrativa como unidad de análisis, y no específicamente la jurisdicción de cada administrador</w:t>
      </w:r>
      <w:r w:rsidR="47840DA5" w:rsidRPr="00DD6966">
        <w:rPr>
          <w:szCs w:val="24"/>
        </w:rPr>
        <w:t xml:space="preserve">. </w:t>
      </w:r>
      <w:r w:rsidR="00D7155E" w:rsidRPr="00DD6966">
        <w:rPr>
          <w:szCs w:val="24"/>
        </w:rPr>
        <w:t>Además</w:t>
      </w:r>
      <w:r w:rsidR="004E6281" w:rsidRPr="00DD6966">
        <w:rPr>
          <w:szCs w:val="24"/>
        </w:rPr>
        <w:t>,</w:t>
      </w:r>
      <w:r w:rsidR="00D7155E" w:rsidRPr="00DD6966">
        <w:rPr>
          <w:szCs w:val="24"/>
        </w:rPr>
        <w:t xml:space="preserve"> se consideró que otros estudios de acueductos del país también utilizan los cantones como unidad de aná</w:t>
      </w:r>
      <w:r w:rsidR="004E6281" w:rsidRPr="00DD6966">
        <w:rPr>
          <w:szCs w:val="24"/>
        </w:rPr>
        <w:t>lisis (</w:t>
      </w:r>
      <w:r w:rsidR="004E6281" w:rsidRPr="0059079F">
        <w:rPr>
          <w:color w:val="365F91" w:themeColor="accent1" w:themeShade="BF"/>
          <w:szCs w:val="24"/>
        </w:rPr>
        <w:t>CRG, 2016</w:t>
      </w:r>
      <w:r w:rsidR="00253215" w:rsidRPr="0059079F">
        <w:rPr>
          <w:color w:val="365F91" w:themeColor="accent1" w:themeShade="BF"/>
          <w:szCs w:val="24"/>
        </w:rPr>
        <w:t>;</w:t>
      </w:r>
      <w:r w:rsidR="00D73353" w:rsidRPr="0059079F">
        <w:rPr>
          <w:color w:val="365F91" w:themeColor="accent1" w:themeShade="BF"/>
          <w:szCs w:val="24"/>
        </w:rPr>
        <w:t xml:space="preserve"> </w:t>
      </w:r>
      <w:r w:rsidR="00253215" w:rsidRPr="0059079F">
        <w:rPr>
          <w:color w:val="365F91" w:themeColor="accent1" w:themeShade="BF"/>
          <w:szCs w:val="24"/>
        </w:rPr>
        <w:t>Mora, s.</w:t>
      </w:r>
      <w:r w:rsidR="002E1275">
        <w:rPr>
          <w:color w:val="365F91" w:themeColor="accent1" w:themeShade="BF"/>
          <w:szCs w:val="24"/>
        </w:rPr>
        <w:t xml:space="preserve"> </w:t>
      </w:r>
      <w:r w:rsidR="00253215" w:rsidRPr="0059079F">
        <w:rPr>
          <w:color w:val="365F91" w:themeColor="accent1" w:themeShade="BF"/>
          <w:szCs w:val="24"/>
        </w:rPr>
        <w:t xml:space="preserve">f.; </w:t>
      </w:r>
      <w:r w:rsidR="00D73353" w:rsidRPr="0059079F">
        <w:rPr>
          <w:color w:val="365F91" w:themeColor="accent1" w:themeShade="BF"/>
          <w:szCs w:val="24"/>
        </w:rPr>
        <w:t>Soto</w:t>
      </w:r>
      <w:r w:rsidR="00DD6966" w:rsidRPr="0059079F">
        <w:rPr>
          <w:color w:val="365F91" w:themeColor="accent1" w:themeShade="BF"/>
          <w:szCs w:val="24"/>
        </w:rPr>
        <w:t>-Córdoba</w:t>
      </w:r>
      <w:r w:rsidR="00D73353" w:rsidRPr="0059079F">
        <w:rPr>
          <w:color w:val="365F91" w:themeColor="accent1" w:themeShade="BF"/>
          <w:szCs w:val="24"/>
        </w:rPr>
        <w:t xml:space="preserve"> </w:t>
      </w:r>
      <w:r w:rsidR="00D73353" w:rsidRPr="0059079F">
        <w:rPr>
          <w:i/>
          <w:color w:val="365F91" w:themeColor="accent1" w:themeShade="BF"/>
          <w:szCs w:val="24"/>
        </w:rPr>
        <w:t>et al</w:t>
      </w:r>
      <w:r w:rsidR="00D73353" w:rsidRPr="0059079F">
        <w:rPr>
          <w:color w:val="365F91" w:themeColor="accent1" w:themeShade="BF"/>
          <w:szCs w:val="24"/>
        </w:rPr>
        <w:t>.</w:t>
      </w:r>
      <w:r w:rsidR="00237661" w:rsidRPr="0059079F">
        <w:rPr>
          <w:color w:val="365F91" w:themeColor="accent1" w:themeShade="BF"/>
          <w:szCs w:val="24"/>
        </w:rPr>
        <w:t>,</w:t>
      </w:r>
      <w:r w:rsidR="00D73353" w:rsidRPr="0059079F">
        <w:rPr>
          <w:color w:val="365F91" w:themeColor="accent1" w:themeShade="BF"/>
          <w:szCs w:val="24"/>
        </w:rPr>
        <w:t xml:space="preserve"> 2016</w:t>
      </w:r>
      <w:r w:rsidR="004E6281" w:rsidRPr="00DD6966">
        <w:rPr>
          <w:szCs w:val="24"/>
        </w:rPr>
        <w:t>)</w:t>
      </w:r>
      <w:r w:rsidR="001E71B5" w:rsidRPr="00DD6966">
        <w:rPr>
          <w:szCs w:val="24"/>
        </w:rPr>
        <w:t>.</w:t>
      </w:r>
      <w:r w:rsidR="00717B9F" w:rsidRPr="00DD6966">
        <w:rPr>
          <w:szCs w:val="24"/>
        </w:rPr>
        <w:t xml:space="preserve"> A partir de </w:t>
      </w:r>
      <w:r w:rsidR="004E6281" w:rsidRPr="00DD6966">
        <w:rPr>
          <w:szCs w:val="24"/>
        </w:rPr>
        <w:t>l</w:t>
      </w:r>
      <w:r w:rsidR="00717B9F" w:rsidRPr="00DD6966">
        <w:rPr>
          <w:szCs w:val="24"/>
        </w:rPr>
        <w:t xml:space="preserve">a información </w:t>
      </w:r>
      <w:r w:rsidR="004E6281" w:rsidRPr="00DD6966">
        <w:rPr>
          <w:szCs w:val="24"/>
        </w:rPr>
        <w:t xml:space="preserve">del </w:t>
      </w:r>
      <w:r w:rsidR="004E6281" w:rsidRPr="00DD6966">
        <w:rPr>
          <w:b/>
          <w:szCs w:val="24"/>
        </w:rPr>
        <w:t>Apéndice 1</w:t>
      </w:r>
      <w:r w:rsidR="004E6281" w:rsidRPr="00DD6966">
        <w:rPr>
          <w:szCs w:val="24"/>
        </w:rPr>
        <w:t xml:space="preserve"> </w:t>
      </w:r>
      <w:r w:rsidR="00717B9F" w:rsidRPr="00DD6966">
        <w:rPr>
          <w:szCs w:val="24"/>
        </w:rPr>
        <w:t>es pos</w:t>
      </w:r>
      <w:r w:rsidR="00D7155E" w:rsidRPr="00DD6966">
        <w:rPr>
          <w:szCs w:val="24"/>
        </w:rPr>
        <w:t>ible asociar la percepción de la</w:t>
      </w:r>
      <w:r w:rsidR="00717B9F" w:rsidRPr="00DD6966">
        <w:rPr>
          <w:szCs w:val="24"/>
        </w:rPr>
        <w:t xml:space="preserve">s </w:t>
      </w:r>
      <w:r w:rsidR="00D7155E" w:rsidRPr="00DD6966">
        <w:rPr>
          <w:szCs w:val="24"/>
        </w:rPr>
        <w:t>personas usuaria</w:t>
      </w:r>
      <w:r w:rsidR="00717B9F" w:rsidRPr="00DD6966">
        <w:rPr>
          <w:szCs w:val="24"/>
        </w:rPr>
        <w:t xml:space="preserve">s </w:t>
      </w:r>
      <w:r w:rsidR="00D7155E" w:rsidRPr="00DD6966">
        <w:rPr>
          <w:szCs w:val="24"/>
        </w:rPr>
        <w:t>y</w:t>
      </w:r>
      <w:r w:rsidR="00717B9F" w:rsidRPr="00DD6966">
        <w:rPr>
          <w:szCs w:val="24"/>
        </w:rPr>
        <w:t xml:space="preserve"> el tipo de administrador.</w:t>
      </w:r>
      <w:r w:rsidR="00D7155E" w:rsidRPr="00DD6966">
        <w:rPr>
          <w:szCs w:val="24"/>
        </w:rPr>
        <w:t xml:space="preserve"> </w:t>
      </w:r>
    </w:p>
    <w:p w14:paraId="09BE789E" w14:textId="77777777" w:rsidR="00237661" w:rsidRPr="00DD6966" w:rsidRDefault="00237661" w:rsidP="00E71527">
      <w:pPr>
        <w:spacing w:after="0"/>
        <w:jc w:val="both"/>
        <w:rPr>
          <w:szCs w:val="24"/>
        </w:rPr>
      </w:pPr>
    </w:p>
    <w:p w14:paraId="24B32C34" w14:textId="17AB92D8" w:rsidR="00BD0BD7" w:rsidRPr="00DD6966" w:rsidRDefault="47840DA5" w:rsidP="00E71527">
      <w:pPr>
        <w:spacing w:after="0"/>
        <w:jc w:val="both"/>
        <w:rPr>
          <w:szCs w:val="24"/>
        </w:rPr>
      </w:pPr>
      <w:r w:rsidRPr="00DD6966">
        <w:rPr>
          <w:szCs w:val="24"/>
        </w:rPr>
        <w:t>Seguidamente</w:t>
      </w:r>
      <w:r w:rsidR="0076374A" w:rsidRPr="00DD6966">
        <w:rPr>
          <w:szCs w:val="24"/>
        </w:rPr>
        <w:t>,</w:t>
      </w:r>
      <w:r w:rsidRPr="00DD6966">
        <w:rPr>
          <w:szCs w:val="24"/>
        </w:rPr>
        <w:t xml:space="preserve"> se elaboraron instrumentos de consulta (tipo encuesta cerrada) que se aplicaron personalmente en las diferentes comunidades mediante visitas casa por casa.  Para ello se realizaron varias giras de campo a cada cantón, </w:t>
      </w:r>
      <w:r w:rsidR="002E1275">
        <w:rPr>
          <w:szCs w:val="24"/>
        </w:rPr>
        <w:t xml:space="preserve">se </w:t>
      </w:r>
      <w:r w:rsidRPr="00DD6966">
        <w:rPr>
          <w:szCs w:val="24"/>
        </w:rPr>
        <w:t>planifica</w:t>
      </w:r>
      <w:r w:rsidR="002E1275">
        <w:rPr>
          <w:szCs w:val="24"/>
        </w:rPr>
        <w:t>ron</w:t>
      </w:r>
      <w:r w:rsidRPr="00DD6966">
        <w:rPr>
          <w:szCs w:val="24"/>
        </w:rPr>
        <w:t xml:space="preserve"> los recorridos de forma que se cubriera la totalidad de los poblados concentrados de cada distrito, con la meta de alcanzar una muestra significativa por distrito</w:t>
      </w:r>
      <w:r w:rsidR="00A77280" w:rsidRPr="00DD6966">
        <w:rPr>
          <w:szCs w:val="24"/>
        </w:rPr>
        <w:t xml:space="preserve"> (Ver </w:t>
      </w:r>
      <w:r w:rsidR="00A77280" w:rsidRPr="00DD6966">
        <w:rPr>
          <w:b/>
          <w:szCs w:val="24"/>
        </w:rPr>
        <w:t>Apéndice 2</w:t>
      </w:r>
      <w:r w:rsidR="00A77280" w:rsidRPr="00DD6966">
        <w:rPr>
          <w:szCs w:val="24"/>
        </w:rPr>
        <w:t>)</w:t>
      </w:r>
      <w:r w:rsidRPr="00DD6966">
        <w:rPr>
          <w:szCs w:val="24"/>
        </w:rPr>
        <w:t xml:space="preserve">. </w:t>
      </w:r>
      <w:r w:rsidR="00A77280" w:rsidRPr="00DD6966">
        <w:rPr>
          <w:szCs w:val="24"/>
        </w:rPr>
        <w:t>Las muestras también fueron tomadas por distrito</w:t>
      </w:r>
      <w:r w:rsidR="002E1275">
        <w:rPr>
          <w:szCs w:val="24"/>
        </w:rPr>
        <w:t>,</w:t>
      </w:r>
      <w:r w:rsidR="00A77280" w:rsidRPr="00DD6966">
        <w:rPr>
          <w:szCs w:val="24"/>
        </w:rPr>
        <w:t xml:space="preserve"> debido a que los entes administradores no tienen datos concretos de cantidad de personas servidas, en algunos casos solo conocen el número de </w:t>
      </w:r>
      <w:r w:rsidR="002E1275">
        <w:rPr>
          <w:szCs w:val="24"/>
        </w:rPr>
        <w:t xml:space="preserve">sujetos </w:t>
      </w:r>
      <w:r w:rsidR="00A77280" w:rsidRPr="00DD6966">
        <w:rPr>
          <w:szCs w:val="24"/>
        </w:rPr>
        <w:t>abonados.</w:t>
      </w:r>
      <w:r w:rsidRPr="00DD6966">
        <w:rPr>
          <w:szCs w:val="24"/>
        </w:rPr>
        <w:t xml:space="preserve"> </w:t>
      </w:r>
      <w:r w:rsidR="00A77280" w:rsidRPr="00DD6966">
        <w:rPr>
          <w:szCs w:val="24"/>
        </w:rPr>
        <w:t>Por ende, p</w:t>
      </w:r>
      <w:r w:rsidRPr="00DD6966">
        <w:rPr>
          <w:szCs w:val="24"/>
        </w:rPr>
        <w:t xml:space="preserve">ara la selección de la muestra se definió una representación </w:t>
      </w:r>
      <w:r w:rsidR="0076374A" w:rsidRPr="00DD6966">
        <w:rPr>
          <w:szCs w:val="24"/>
        </w:rPr>
        <w:t xml:space="preserve">poblacionalmente </w:t>
      </w:r>
      <w:r w:rsidRPr="00DD6966">
        <w:rPr>
          <w:szCs w:val="24"/>
        </w:rPr>
        <w:t xml:space="preserve">proporcional </w:t>
      </w:r>
      <w:r w:rsidR="004E6281" w:rsidRPr="00DD6966">
        <w:rPr>
          <w:szCs w:val="24"/>
        </w:rPr>
        <w:t>de los diferentes distritos, para</w:t>
      </w:r>
      <w:r w:rsidRPr="00DD6966">
        <w:rPr>
          <w:szCs w:val="24"/>
        </w:rPr>
        <w:t xml:space="preserve"> lo que se tomó</w:t>
      </w:r>
      <w:r w:rsidR="0012171B">
        <w:rPr>
          <w:szCs w:val="24"/>
        </w:rPr>
        <w:t>,</w:t>
      </w:r>
      <w:r w:rsidRPr="00DD6966">
        <w:rPr>
          <w:szCs w:val="24"/>
        </w:rPr>
        <w:t xml:space="preserve"> como punto de partida</w:t>
      </w:r>
      <w:r w:rsidR="0012171B">
        <w:rPr>
          <w:szCs w:val="24"/>
        </w:rPr>
        <w:t>, los datos d</w:t>
      </w:r>
      <w:r w:rsidRPr="00DD6966">
        <w:rPr>
          <w:szCs w:val="24"/>
        </w:rPr>
        <w:t>el último censo del Instituto Nacional de Estadí</w:t>
      </w:r>
      <w:r w:rsidR="00465069" w:rsidRPr="00DD6966">
        <w:rPr>
          <w:szCs w:val="24"/>
        </w:rPr>
        <w:t>sticas y Censos (</w:t>
      </w:r>
      <w:r w:rsidR="00465069" w:rsidRPr="00E71527">
        <w:rPr>
          <w:color w:val="365F91" w:themeColor="accent1" w:themeShade="BF"/>
          <w:szCs w:val="24"/>
        </w:rPr>
        <w:t>INEC</w:t>
      </w:r>
      <w:r w:rsidR="00E71527" w:rsidRPr="00E71527">
        <w:rPr>
          <w:color w:val="365F91" w:themeColor="accent1" w:themeShade="BF"/>
          <w:szCs w:val="24"/>
        </w:rPr>
        <w:t xml:space="preserve">, </w:t>
      </w:r>
      <w:r w:rsidR="00465069" w:rsidRPr="00E71527">
        <w:rPr>
          <w:color w:val="365F91" w:themeColor="accent1" w:themeShade="BF"/>
          <w:szCs w:val="24"/>
        </w:rPr>
        <w:t>2011</w:t>
      </w:r>
      <w:r w:rsidR="0012171B">
        <w:rPr>
          <w:szCs w:val="24"/>
        </w:rPr>
        <w:t>)</w:t>
      </w:r>
      <w:r w:rsidR="00EF602E" w:rsidRPr="00DD6966">
        <w:rPr>
          <w:szCs w:val="24"/>
        </w:rPr>
        <w:t xml:space="preserve"> </w:t>
      </w:r>
      <w:r w:rsidR="00465069" w:rsidRPr="00DD6966">
        <w:rPr>
          <w:szCs w:val="24"/>
        </w:rPr>
        <w:t xml:space="preserve">y </w:t>
      </w:r>
      <w:r w:rsidRPr="00DD6966">
        <w:rPr>
          <w:szCs w:val="24"/>
        </w:rPr>
        <w:t>se determinó el tamaño de la muestra que resulta representativa de cada distrito, con un 95</w:t>
      </w:r>
      <w:r w:rsidR="00733F04" w:rsidRPr="00DD6966">
        <w:rPr>
          <w:szCs w:val="24"/>
        </w:rPr>
        <w:t xml:space="preserve"> </w:t>
      </w:r>
      <w:r w:rsidRPr="00DD6966">
        <w:rPr>
          <w:szCs w:val="24"/>
        </w:rPr>
        <w:t xml:space="preserve">% de confianza. Con base </w:t>
      </w:r>
      <w:r w:rsidR="00A77280" w:rsidRPr="00DD6966">
        <w:rPr>
          <w:szCs w:val="24"/>
        </w:rPr>
        <w:t>en ello</w:t>
      </w:r>
      <w:r w:rsidR="00702919" w:rsidRPr="00DD6966">
        <w:rPr>
          <w:szCs w:val="24"/>
        </w:rPr>
        <w:t>,</w:t>
      </w:r>
      <w:r w:rsidRPr="00DD6966">
        <w:rPr>
          <w:szCs w:val="24"/>
        </w:rPr>
        <w:t xml:space="preserve"> y con mapas de ubicación de los principales poblados de cada cantón, se elaboraron mapas de rec</w:t>
      </w:r>
      <w:r w:rsidR="00702919" w:rsidRPr="00DD6966">
        <w:rPr>
          <w:szCs w:val="24"/>
        </w:rPr>
        <w:t>o</w:t>
      </w:r>
      <w:r w:rsidRPr="00DD6966">
        <w:rPr>
          <w:szCs w:val="24"/>
        </w:rPr>
        <w:t>rridos para las giras de campo</w:t>
      </w:r>
      <w:r w:rsidR="00902302" w:rsidRPr="00DD6966">
        <w:rPr>
          <w:szCs w:val="24"/>
        </w:rPr>
        <w:t xml:space="preserve"> realizadas en</w:t>
      </w:r>
      <w:r w:rsidRPr="00DD6966">
        <w:rPr>
          <w:szCs w:val="24"/>
        </w:rPr>
        <w:t xml:space="preserve"> diferentes días en horario diurno (entre 7 a.m. y </w:t>
      </w:r>
      <w:r w:rsidR="00BE68AE" w:rsidRPr="00DD6966">
        <w:rPr>
          <w:szCs w:val="24"/>
        </w:rPr>
        <w:t>6</w:t>
      </w:r>
      <w:r w:rsidRPr="00DD6966">
        <w:rPr>
          <w:szCs w:val="24"/>
        </w:rPr>
        <w:t xml:space="preserve"> p.m.). Como parte del diseño de muestra utilizado en el estudio, se determinó la necesidad de eliminar </w:t>
      </w:r>
      <w:r w:rsidR="00BE68AE" w:rsidRPr="00DD6966">
        <w:rPr>
          <w:szCs w:val="24"/>
        </w:rPr>
        <w:t xml:space="preserve">el </w:t>
      </w:r>
      <w:r w:rsidRPr="00DD6966">
        <w:rPr>
          <w:szCs w:val="24"/>
        </w:rPr>
        <w:t xml:space="preserve">distrito </w:t>
      </w:r>
      <w:r w:rsidR="00702919" w:rsidRPr="00DD6966">
        <w:rPr>
          <w:szCs w:val="24"/>
        </w:rPr>
        <w:t>de</w:t>
      </w:r>
      <w:r w:rsidR="00BE68AE" w:rsidRPr="00DD6966">
        <w:rPr>
          <w:szCs w:val="24"/>
        </w:rPr>
        <w:t xml:space="preserve"> Chirripó </w:t>
      </w:r>
      <w:r w:rsidRPr="00DD6966">
        <w:rPr>
          <w:szCs w:val="24"/>
        </w:rPr>
        <w:t>del cantón de Turrialba</w:t>
      </w:r>
      <w:r w:rsidR="0012171B">
        <w:rPr>
          <w:szCs w:val="24"/>
        </w:rPr>
        <w:t>,</w:t>
      </w:r>
      <w:r w:rsidRPr="00DD6966">
        <w:rPr>
          <w:szCs w:val="24"/>
        </w:rPr>
        <w:t xml:space="preserve"> debido a las dificultades de acceso y a que</w:t>
      </w:r>
      <w:r w:rsidR="0012171B">
        <w:rPr>
          <w:szCs w:val="24"/>
        </w:rPr>
        <w:t>,</w:t>
      </w:r>
      <w:r w:rsidRPr="00DD6966">
        <w:rPr>
          <w:szCs w:val="24"/>
        </w:rPr>
        <w:t xml:space="preserve"> en su mayoría</w:t>
      </w:r>
      <w:r w:rsidR="0012171B">
        <w:rPr>
          <w:szCs w:val="24"/>
        </w:rPr>
        <w:t>,</w:t>
      </w:r>
      <w:r w:rsidRPr="00DD6966">
        <w:rPr>
          <w:szCs w:val="24"/>
        </w:rPr>
        <w:t xml:space="preserve"> la población </w:t>
      </w:r>
      <w:r w:rsidR="00702919" w:rsidRPr="00DD6966">
        <w:rPr>
          <w:szCs w:val="24"/>
        </w:rPr>
        <w:t>de esa zona</w:t>
      </w:r>
      <w:r w:rsidRPr="00DD6966">
        <w:rPr>
          <w:szCs w:val="24"/>
        </w:rPr>
        <w:t xml:space="preserve"> cuenta con servicio</w:t>
      </w:r>
      <w:r w:rsidR="00BE68AE" w:rsidRPr="00DD6966">
        <w:rPr>
          <w:szCs w:val="24"/>
        </w:rPr>
        <w:t>s propios (pozos unifamiliares)</w:t>
      </w:r>
      <w:r w:rsidRPr="00DD6966">
        <w:rPr>
          <w:szCs w:val="24"/>
        </w:rPr>
        <w:t xml:space="preserve">. </w:t>
      </w:r>
    </w:p>
    <w:p w14:paraId="05FEDFE4" w14:textId="77777777" w:rsidR="004C5156" w:rsidRPr="00DD6966" w:rsidRDefault="004C5156" w:rsidP="00E71527">
      <w:pPr>
        <w:spacing w:after="0"/>
        <w:jc w:val="both"/>
        <w:rPr>
          <w:szCs w:val="24"/>
        </w:rPr>
      </w:pPr>
    </w:p>
    <w:p w14:paraId="72411EA4" w14:textId="66E75935" w:rsidR="009E3951" w:rsidRPr="00DD6966" w:rsidRDefault="00BD0BD7" w:rsidP="00E71527">
      <w:pPr>
        <w:spacing w:after="0"/>
        <w:jc w:val="both"/>
        <w:rPr>
          <w:szCs w:val="24"/>
        </w:rPr>
      </w:pPr>
      <w:r w:rsidRPr="00DD6966">
        <w:rPr>
          <w:szCs w:val="24"/>
        </w:rPr>
        <w:t xml:space="preserve">Para la tabulación de los cuestionarios se utilizó la plataforma gratuita </w:t>
      </w:r>
      <w:proofErr w:type="spellStart"/>
      <w:r w:rsidRPr="00DD6966">
        <w:rPr>
          <w:i/>
          <w:szCs w:val="24"/>
        </w:rPr>
        <w:t>typeforms</w:t>
      </w:r>
      <w:proofErr w:type="spellEnd"/>
      <w:r w:rsidRPr="00DD6966">
        <w:rPr>
          <w:szCs w:val="24"/>
        </w:rPr>
        <w:t xml:space="preserve"> y para el procesamiento se u</w:t>
      </w:r>
      <w:r w:rsidR="0012171B">
        <w:rPr>
          <w:szCs w:val="24"/>
        </w:rPr>
        <w:t>s</w:t>
      </w:r>
      <w:r w:rsidR="009E2687" w:rsidRPr="00DD6966">
        <w:rPr>
          <w:szCs w:val="24"/>
        </w:rPr>
        <w:t xml:space="preserve">ó la base de datos en Excel; adicionalmente se utilizó el programa </w:t>
      </w:r>
      <w:proofErr w:type="spellStart"/>
      <w:r w:rsidR="009E2687" w:rsidRPr="00DD6966">
        <w:rPr>
          <w:i/>
          <w:iCs/>
          <w:szCs w:val="24"/>
        </w:rPr>
        <w:t>Statistica</w:t>
      </w:r>
      <w:proofErr w:type="spellEnd"/>
      <w:r w:rsidR="009E2687" w:rsidRPr="00DD6966">
        <w:rPr>
          <w:i/>
          <w:iCs/>
          <w:szCs w:val="24"/>
        </w:rPr>
        <w:t xml:space="preserve"> 10</w:t>
      </w:r>
      <w:r w:rsidR="009E2687" w:rsidRPr="00DD6966">
        <w:rPr>
          <w:szCs w:val="24"/>
        </w:rPr>
        <w:t xml:space="preserve"> para evaluar la independencia</w:t>
      </w:r>
      <w:r w:rsidRPr="00DD6966">
        <w:rPr>
          <w:szCs w:val="24"/>
        </w:rPr>
        <w:t xml:space="preserve"> </w:t>
      </w:r>
      <w:r w:rsidR="00902302" w:rsidRPr="00DD6966">
        <w:rPr>
          <w:szCs w:val="24"/>
        </w:rPr>
        <w:t>entre</w:t>
      </w:r>
      <w:r w:rsidR="009E2687" w:rsidRPr="00DD6966">
        <w:rPr>
          <w:szCs w:val="24"/>
        </w:rPr>
        <w:t xml:space="preserve"> las variables</w:t>
      </w:r>
      <w:r w:rsidR="00A57A72" w:rsidRPr="00DD6966">
        <w:rPr>
          <w:szCs w:val="24"/>
        </w:rPr>
        <w:t xml:space="preserve"> por medio de pruebas de hipótesis</w:t>
      </w:r>
      <w:r w:rsidR="009E2687" w:rsidRPr="00DD6966">
        <w:rPr>
          <w:szCs w:val="24"/>
        </w:rPr>
        <w:t>.</w:t>
      </w:r>
      <w:r w:rsidR="00DA63D9" w:rsidRPr="00DD6966">
        <w:rPr>
          <w:szCs w:val="24"/>
        </w:rPr>
        <w:t xml:space="preserve"> </w:t>
      </w:r>
      <w:r w:rsidR="009E3951" w:rsidRPr="00DD6966">
        <w:rPr>
          <w:szCs w:val="24"/>
        </w:rPr>
        <w:t>La muestra final lograda fue de 2</w:t>
      </w:r>
      <w:r w:rsidR="00B338A8" w:rsidRPr="00DD6966">
        <w:rPr>
          <w:szCs w:val="24"/>
        </w:rPr>
        <w:t xml:space="preserve"> </w:t>
      </w:r>
      <w:r w:rsidR="009E3951" w:rsidRPr="00DD6966">
        <w:rPr>
          <w:szCs w:val="24"/>
        </w:rPr>
        <w:t>292 encuestas e</w:t>
      </w:r>
      <w:r w:rsidR="00BE68AE" w:rsidRPr="00DD6966">
        <w:rPr>
          <w:szCs w:val="24"/>
        </w:rPr>
        <w:t xml:space="preserve">fectivas, lo cual representa </w:t>
      </w:r>
      <w:r w:rsidR="00702919" w:rsidRPr="00DD6966">
        <w:rPr>
          <w:szCs w:val="24"/>
        </w:rPr>
        <w:t xml:space="preserve">un </w:t>
      </w:r>
      <w:r w:rsidR="00BE68AE" w:rsidRPr="00DD6966">
        <w:rPr>
          <w:szCs w:val="24"/>
        </w:rPr>
        <w:t>39.</w:t>
      </w:r>
      <w:r w:rsidR="009E3951" w:rsidRPr="00DD6966">
        <w:rPr>
          <w:szCs w:val="24"/>
        </w:rPr>
        <w:t>5</w:t>
      </w:r>
      <w:r w:rsidR="00BE68AE" w:rsidRPr="00DD6966">
        <w:rPr>
          <w:szCs w:val="24"/>
        </w:rPr>
        <w:t xml:space="preserve"> </w:t>
      </w:r>
      <w:r w:rsidR="009E3951" w:rsidRPr="00DD6966">
        <w:rPr>
          <w:szCs w:val="24"/>
        </w:rPr>
        <w:t xml:space="preserve">% </w:t>
      </w:r>
      <w:r w:rsidR="00702919" w:rsidRPr="00DD6966">
        <w:rPr>
          <w:szCs w:val="24"/>
        </w:rPr>
        <w:t>adicional a la</w:t>
      </w:r>
      <w:r w:rsidR="009E3951" w:rsidRPr="00DD6966">
        <w:rPr>
          <w:szCs w:val="24"/>
        </w:rPr>
        <w:t xml:space="preserve"> cantidad </w:t>
      </w:r>
      <w:r w:rsidR="00702919" w:rsidRPr="00DD6966">
        <w:rPr>
          <w:szCs w:val="24"/>
        </w:rPr>
        <w:t>que era requerida según el diseño de muestr</w:t>
      </w:r>
      <w:r w:rsidR="002B1074" w:rsidRPr="00DD6966">
        <w:rPr>
          <w:szCs w:val="24"/>
        </w:rPr>
        <w:t>eo</w:t>
      </w:r>
      <w:r w:rsidR="009E3951" w:rsidRPr="00DD6966">
        <w:rPr>
          <w:szCs w:val="24"/>
        </w:rPr>
        <w:t xml:space="preserve">.  </w:t>
      </w:r>
      <w:r w:rsidR="000B751D" w:rsidRPr="00DD6966">
        <w:rPr>
          <w:szCs w:val="24"/>
        </w:rPr>
        <w:t>E</w:t>
      </w:r>
      <w:r w:rsidR="00F60B69" w:rsidRPr="00DD6966">
        <w:rPr>
          <w:szCs w:val="24"/>
        </w:rPr>
        <w:t xml:space="preserve">n el </w:t>
      </w:r>
      <w:r w:rsidR="00F60B69" w:rsidRPr="00DD6966">
        <w:rPr>
          <w:b/>
          <w:bCs/>
          <w:szCs w:val="24"/>
        </w:rPr>
        <w:t xml:space="preserve">Apéndice </w:t>
      </w:r>
      <w:r w:rsidR="00C46AE5" w:rsidRPr="00DD6966">
        <w:rPr>
          <w:b/>
          <w:bCs/>
          <w:szCs w:val="24"/>
        </w:rPr>
        <w:t>2</w:t>
      </w:r>
      <w:r w:rsidR="000B751D" w:rsidRPr="00DD6966">
        <w:rPr>
          <w:szCs w:val="24"/>
        </w:rPr>
        <w:t xml:space="preserve"> </w:t>
      </w:r>
      <w:r w:rsidR="00F60B69" w:rsidRPr="00DD6966">
        <w:rPr>
          <w:szCs w:val="24"/>
        </w:rPr>
        <w:t xml:space="preserve">de este documento, </w:t>
      </w:r>
      <w:r w:rsidR="0012171B">
        <w:rPr>
          <w:szCs w:val="24"/>
        </w:rPr>
        <w:t>se visibiliza</w:t>
      </w:r>
      <w:r w:rsidR="009E3951" w:rsidRPr="00DD6966">
        <w:rPr>
          <w:szCs w:val="24"/>
        </w:rPr>
        <w:t xml:space="preserve"> la distribución real de la muestra obtenida</w:t>
      </w:r>
      <w:r w:rsidR="00463D9B" w:rsidRPr="00DD6966">
        <w:rPr>
          <w:szCs w:val="24"/>
        </w:rPr>
        <w:t>.</w:t>
      </w:r>
    </w:p>
    <w:p w14:paraId="1DDFDBC3" w14:textId="77777777" w:rsidR="004C5156" w:rsidRPr="00DD6966" w:rsidRDefault="004C5156" w:rsidP="00E71527">
      <w:pPr>
        <w:spacing w:after="0"/>
        <w:jc w:val="both"/>
        <w:rPr>
          <w:szCs w:val="24"/>
        </w:rPr>
      </w:pPr>
    </w:p>
    <w:p w14:paraId="495EE41D" w14:textId="705355B5" w:rsidR="008D6534" w:rsidRPr="00DD6966" w:rsidRDefault="00653CBB" w:rsidP="00E71527">
      <w:pPr>
        <w:pStyle w:val="Prrafodelista"/>
        <w:numPr>
          <w:ilvl w:val="0"/>
          <w:numId w:val="4"/>
        </w:numPr>
        <w:spacing w:after="0"/>
        <w:ind w:left="426" w:hanging="426"/>
        <w:jc w:val="both"/>
        <w:rPr>
          <w:b/>
          <w:szCs w:val="24"/>
        </w:rPr>
      </w:pPr>
      <w:r w:rsidRPr="00DD6966">
        <w:rPr>
          <w:b/>
          <w:szCs w:val="24"/>
        </w:rPr>
        <w:t>Resultados</w:t>
      </w:r>
    </w:p>
    <w:p w14:paraId="2FFE8894" w14:textId="77777777" w:rsidR="004C5156" w:rsidRPr="00DD6966" w:rsidRDefault="004C5156" w:rsidP="00E71527">
      <w:pPr>
        <w:pStyle w:val="Prrafodelista"/>
        <w:spacing w:after="0"/>
        <w:ind w:left="426"/>
        <w:jc w:val="both"/>
        <w:rPr>
          <w:b/>
          <w:szCs w:val="24"/>
        </w:rPr>
      </w:pPr>
    </w:p>
    <w:p w14:paraId="6009C689" w14:textId="44FD3D72" w:rsidR="00DA63D9" w:rsidRPr="00DD6966" w:rsidRDefault="00496C22" w:rsidP="00E71527">
      <w:pPr>
        <w:spacing w:after="0"/>
        <w:jc w:val="both"/>
        <w:rPr>
          <w:szCs w:val="24"/>
        </w:rPr>
      </w:pPr>
      <w:r w:rsidRPr="00DD6966">
        <w:rPr>
          <w:szCs w:val="24"/>
        </w:rPr>
        <w:lastRenderedPageBreak/>
        <w:t xml:space="preserve">El </w:t>
      </w:r>
      <w:r w:rsidR="00C46AE5" w:rsidRPr="00DD6966">
        <w:rPr>
          <w:b/>
          <w:szCs w:val="24"/>
        </w:rPr>
        <w:t>Apéndice 3</w:t>
      </w:r>
      <w:r w:rsidR="00083C5F" w:rsidRPr="00DD6966">
        <w:rPr>
          <w:szCs w:val="24"/>
        </w:rPr>
        <w:t xml:space="preserve"> </w:t>
      </w:r>
      <w:r w:rsidR="00E53907" w:rsidRPr="00DD6966">
        <w:rPr>
          <w:szCs w:val="24"/>
        </w:rPr>
        <w:t>presenta</w:t>
      </w:r>
      <w:r w:rsidR="00083C5F" w:rsidRPr="00DD6966">
        <w:rPr>
          <w:szCs w:val="24"/>
        </w:rPr>
        <w:t xml:space="preserve"> una síntesis de los</w:t>
      </w:r>
      <w:r w:rsidR="00BE68AE" w:rsidRPr="00DD6966">
        <w:rPr>
          <w:szCs w:val="24"/>
        </w:rPr>
        <w:t xml:space="preserve"> principales</w:t>
      </w:r>
      <w:r w:rsidR="00083C5F" w:rsidRPr="00DD6966">
        <w:rPr>
          <w:szCs w:val="24"/>
        </w:rPr>
        <w:t xml:space="preserve"> resultados obtenidos a partir de las encuestas</w:t>
      </w:r>
      <w:r w:rsidR="00E53907" w:rsidRPr="00DD6966">
        <w:rPr>
          <w:szCs w:val="24"/>
        </w:rPr>
        <w:t xml:space="preserve"> realizadas</w:t>
      </w:r>
      <w:r w:rsidR="00465069" w:rsidRPr="00DD6966">
        <w:rPr>
          <w:szCs w:val="24"/>
        </w:rPr>
        <w:t xml:space="preserve"> a nivel de distrito</w:t>
      </w:r>
      <w:r w:rsidR="00E53907" w:rsidRPr="00DD6966">
        <w:rPr>
          <w:szCs w:val="24"/>
        </w:rPr>
        <w:t>. La información se desglosa para cada uno de los distritos evaluados y el análisis se reali</w:t>
      </w:r>
      <w:r w:rsidRPr="00DD6966">
        <w:rPr>
          <w:szCs w:val="24"/>
        </w:rPr>
        <w:t>zó</w:t>
      </w:r>
      <w:r w:rsidR="00E53907" w:rsidRPr="00DD6966">
        <w:rPr>
          <w:szCs w:val="24"/>
        </w:rPr>
        <w:t xml:space="preserve"> </w:t>
      </w:r>
      <w:r w:rsidR="0051101A" w:rsidRPr="00DD6966">
        <w:rPr>
          <w:szCs w:val="24"/>
        </w:rPr>
        <w:t xml:space="preserve">agrupándolos </w:t>
      </w:r>
      <w:r w:rsidR="00E53907" w:rsidRPr="00DD6966">
        <w:rPr>
          <w:szCs w:val="24"/>
        </w:rPr>
        <w:t>por cantón.</w:t>
      </w:r>
    </w:p>
    <w:p w14:paraId="52CA6D35" w14:textId="77777777" w:rsidR="004C5156" w:rsidRPr="00DD6966" w:rsidRDefault="004C5156" w:rsidP="00E71527">
      <w:pPr>
        <w:spacing w:after="0"/>
        <w:jc w:val="both"/>
        <w:rPr>
          <w:szCs w:val="24"/>
        </w:rPr>
      </w:pPr>
    </w:p>
    <w:p w14:paraId="2732209C" w14:textId="36C9F0C6" w:rsidR="00DA63D9" w:rsidRPr="00DD6966" w:rsidRDefault="00DA63D9" w:rsidP="00E71527">
      <w:pPr>
        <w:spacing w:after="0"/>
        <w:jc w:val="both"/>
        <w:rPr>
          <w:szCs w:val="24"/>
        </w:rPr>
      </w:pPr>
      <w:r w:rsidRPr="00DD6966">
        <w:rPr>
          <w:szCs w:val="24"/>
        </w:rPr>
        <w:t xml:space="preserve">Adicionalmente, se </w:t>
      </w:r>
      <w:r w:rsidR="004D6108" w:rsidRPr="00DD6966">
        <w:rPr>
          <w:szCs w:val="24"/>
        </w:rPr>
        <w:t>evaluó</w:t>
      </w:r>
      <w:r w:rsidRPr="00DD6966">
        <w:rPr>
          <w:szCs w:val="24"/>
        </w:rPr>
        <w:t xml:space="preserve"> la independencia estadística entre algunas de las variables por medio del test de Chi-cuadrado (</w:t>
      </w:r>
      <w:r w:rsidRPr="00DD6966">
        <w:rPr>
          <w:rFonts w:cs="Times New Roman"/>
          <w:szCs w:val="24"/>
        </w:rPr>
        <w:t>χ</w:t>
      </w:r>
      <w:r w:rsidRPr="00DD6966">
        <w:rPr>
          <w:szCs w:val="24"/>
          <w:vertAlign w:val="superscript"/>
        </w:rPr>
        <w:t>2</w:t>
      </w:r>
      <w:r w:rsidRPr="00DD6966">
        <w:rPr>
          <w:szCs w:val="24"/>
        </w:rPr>
        <w:t>) de contingencia con un nivel de significancia (</w:t>
      </w:r>
      <w:r w:rsidRPr="00DD6966">
        <w:rPr>
          <w:rFonts w:cs="Times New Roman"/>
          <w:szCs w:val="24"/>
        </w:rPr>
        <w:t>α</w:t>
      </w:r>
      <w:r w:rsidRPr="00DD6966">
        <w:rPr>
          <w:szCs w:val="24"/>
        </w:rPr>
        <w:t>) de 5 %. Los resultados obtenidos para cada un</w:t>
      </w:r>
      <w:r w:rsidR="009022D5" w:rsidRPr="00DD6966">
        <w:rPr>
          <w:szCs w:val="24"/>
        </w:rPr>
        <w:t>a</w:t>
      </w:r>
      <w:r w:rsidRPr="00DD6966">
        <w:rPr>
          <w:szCs w:val="24"/>
        </w:rPr>
        <w:t xml:space="preserve"> de </w:t>
      </w:r>
      <w:r w:rsidR="009022D5" w:rsidRPr="00DD6966">
        <w:rPr>
          <w:szCs w:val="24"/>
        </w:rPr>
        <w:t>las pruebas de hipótesis aplicadas</w:t>
      </w:r>
      <w:r w:rsidRPr="00DD6966">
        <w:rPr>
          <w:szCs w:val="24"/>
        </w:rPr>
        <w:t xml:space="preserve"> se muestran en el </w:t>
      </w:r>
      <w:r w:rsidR="00C46AE5" w:rsidRPr="00DD6966">
        <w:rPr>
          <w:b/>
          <w:szCs w:val="24"/>
        </w:rPr>
        <w:t>Apéndice 4</w:t>
      </w:r>
      <w:r w:rsidR="009022D5" w:rsidRPr="00DD6966">
        <w:rPr>
          <w:b/>
          <w:szCs w:val="24"/>
        </w:rPr>
        <w:t>.</w:t>
      </w:r>
      <w:r w:rsidR="00F60B69" w:rsidRPr="00DD6966">
        <w:rPr>
          <w:szCs w:val="24"/>
        </w:rPr>
        <w:t xml:space="preserve"> </w:t>
      </w:r>
      <w:r w:rsidR="00BC05B0" w:rsidRPr="00DD6966">
        <w:rPr>
          <w:szCs w:val="24"/>
        </w:rPr>
        <w:t xml:space="preserve">El análisis de los resultados se presenta en </w:t>
      </w:r>
      <w:r w:rsidR="0043135A" w:rsidRPr="00DD6966">
        <w:rPr>
          <w:szCs w:val="24"/>
        </w:rPr>
        <w:t xml:space="preserve">las </w:t>
      </w:r>
      <w:r w:rsidR="00496C22" w:rsidRPr="00DD6966">
        <w:rPr>
          <w:szCs w:val="24"/>
        </w:rPr>
        <w:t xml:space="preserve">siguientes </w:t>
      </w:r>
      <w:r w:rsidR="0043135A" w:rsidRPr="00DD6966">
        <w:rPr>
          <w:szCs w:val="24"/>
        </w:rPr>
        <w:t>secciones.</w:t>
      </w:r>
    </w:p>
    <w:p w14:paraId="3ACC631F" w14:textId="77777777" w:rsidR="004C5156" w:rsidRPr="00DD6966" w:rsidRDefault="004C5156" w:rsidP="00E71527">
      <w:pPr>
        <w:spacing w:after="0"/>
        <w:jc w:val="both"/>
        <w:rPr>
          <w:b/>
          <w:szCs w:val="24"/>
        </w:rPr>
      </w:pPr>
    </w:p>
    <w:p w14:paraId="127205AF" w14:textId="79C2023A" w:rsidR="00D622CB" w:rsidRPr="00DD6966" w:rsidRDefault="0079514A" w:rsidP="00E71527">
      <w:pPr>
        <w:pStyle w:val="Prrafodelista"/>
        <w:numPr>
          <w:ilvl w:val="1"/>
          <w:numId w:val="4"/>
        </w:numPr>
        <w:spacing w:after="0"/>
        <w:ind w:left="426" w:hanging="426"/>
        <w:jc w:val="both"/>
        <w:rPr>
          <w:b/>
          <w:szCs w:val="24"/>
        </w:rPr>
      </w:pPr>
      <w:r w:rsidRPr="00DD6966">
        <w:rPr>
          <w:b/>
          <w:szCs w:val="24"/>
        </w:rPr>
        <w:t xml:space="preserve">Distribución de </w:t>
      </w:r>
      <w:r w:rsidR="007349C7" w:rsidRPr="00DD6966">
        <w:rPr>
          <w:b/>
          <w:szCs w:val="24"/>
        </w:rPr>
        <w:t xml:space="preserve">los tipos de </w:t>
      </w:r>
      <w:r w:rsidRPr="00DD6966">
        <w:rPr>
          <w:b/>
          <w:szCs w:val="24"/>
        </w:rPr>
        <w:t>prestadores de servicio</w:t>
      </w:r>
      <w:r w:rsidR="007349C7" w:rsidRPr="00DD6966">
        <w:rPr>
          <w:b/>
          <w:szCs w:val="24"/>
        </w:rPr>
        <w:t xml:space="preserve"> en la zona de estudio</w:t>
      </w:r>
    </w:p>
    <w:p w14:paraId="4E036012" w14:textId="77777777" w:rsidR="004C5156" w:rsidRPr="00DD6966" w:rsidRDefault="004C5156" w:rsidP="00E71527">
      <w:pPr>
        <w:pStyle w:val="Prrafodelista"/>
        <w:spacing w:after="0"/>
        <w:ind w:left="426"/>
        <w:jc w:val="both"/>
        <w:rPr>
          <w:b/>
          <w:szCs w:val="24"/>
        </w:rPr>
      </w:pPr>
    </w:p>
    <w:p w14:paraId="4E99E944" w14:textId="2419BB0D" w:rsidR="00D622CB" w:rsidRPr="00DD6966" w:rsidRDefault="00E320A6" w:rsidP="00E71527">
      <w:pPr>
        <w:spacing w:after="0"/>
        <w:jc w:val="both"/>
        <w:rPr>
          <w:szCs w:val="24"/>
        </w:rPr>
      </w:pPr>
      <w:r w:rsidRPr="00DD6966">
        <w:rPr>
          <w:szCs w:val="24"/>
        </w:rPr>
        <w:t xml:space="preserve">La </w:t>
      </w:r>
      <w:r w:rsidR="007C1953" w:rsidRPr="00DD6966">
        <w:rPr>
          <w:b/>
          <w:szCs w:val="24"/>
        </w:rPr>
        <w:fldChar w:fldCharType="begin"/>
      </w:r>
      <w:r w:rsidR="007C1953" w:rsidRPr="00DD6966">
        <w:rPr>
          <w:b/>
          <w:szCs w:val="24"/>
        </w:rPr>
        <w:instrText xml:space="preserve"> REF _Ref14107756 \h  \* MERGEFORMAT </w:instrText>
      </w:r>
      <w:r w:rsidR="007C1953" w:rsidRPr="00DD6966">
        <w:rPr>
          <w:b/>
          <w:szCs w:val="24"/>
        </w:rPr>
      </w:r>
      <w:r w:rsidR="007C1953" w:rsidRPr="00DD6966">
        <w:rPr>
          <w:b/>
          <w:szCs w:val="24"/>
        </w:rPr>
        <w:fldChar w:fldCharType="separate"/>
      </w:r>
      <w:r w:rsidR="009F5136" w:rsidRPr="00DD6966">
        <w:rPr>
          <w:b/>
          <w:szCs w:val="24"/>
        </w:rPr>
        <w:t xml:space="preserve">Figura </w:t>
      </w:r>
      <w:r w:rsidR="009F5136" w:rsidRPr="00DD6966">
        <w:rPr>
          <w:b/>
          <w:noProof/>
          <w:szCs w:val="24"/>
        </w:rPr>
        <w:t>2</w:t>
      </w:r>
      <w:r w:rsidR="007C1953" w:rsidRPr="00DD6966">
        <w:rPr>
          <w:b/>
          <w:szCs w:val="24"/>
        </w:rPr>
        <w:fldChar w:fldCharType="end"/>
      </w:r>
      <w:r w:rsidR="00E70BD7" w:rsidRPr="00DD6966">
        <w:rPr>
          <w:szCs w:val="24"/>
        </w:rPr>
        <w:t xml:space="preserve"> muestra la distribución porcentual </w:t>
      </w:r>
      <w:r w:rsidR="00DA2967" w:rsidRPr="00DD6966">
        <w:rPr>
          <w:szCs w:val="24"/>
        </w:rPr>
        <w:t>d</w:t>
      </w:r>
      <w:r w:rsidR="00E70BD7" w:rsidRPr="00DD6966">
        <w:rPr>
          <w:szCs w:val="24"/>
        </w:rPr>
        <w:t>el tipo de prestador del servicio de agua potable para la población entrevistada</w:t>
      </w:r>
      <w:r w:rsidR="003C04D1" w:rsidRPr="00DD6966">
        <w:rPr>
          <w:szCs w:val="24"/>
        </w:rPr>
        <w:t>, según cada uno de los cantones de estudio</w:t>
      </w:r>
      <w:r w:rsidR="00E70BD7" w:rsidRPr="00DD6966">
        <w:rPr>
          <w:szCs w:val="24"/>
        </w:rPr>
        <w:t xml:space="preserve">. </w:t>
      </w:r>
    </w:p>
    <w:p w14:paraId="34C081F8" w14:textId="77777777" w:rsidR="00391D6B" w:rsidRPr="00DD6966" w:rsidRDefault="00391D6B" w:rsidP="00E71527">
      <w:pPr>
        <w:spacing w:after="0"/>
        <w:jc w:val="both"/>
        <w:rPr>
          <w:szCs w:val="24"/>
        </w:rPr>
      </w:pPr>
    </w:p>
    <w:p w14:paraId="619822FA" w14:textId="4E23CDC5" w:rsidR="00E14E66" w:rsidRPr="0059079F" w:rsidRDefault="005365D9" w:rsidP="00E71527">
      <w:pPr>
        <w:spacing w:after="0"/>
        <w:jc w:val="center"/>
        <w:rPr>
          <w:sz w:val="18"/>
          <w:szCs w:val="18"/>
        </w:rPr>
      </w:pPr>
      <w:r w:rsidRPr="0059079F">
        <w:rPr>
          <w:noProof/>
          <w:sz w:val="18"/>
          <w:szCs w:val="18"/>
          <w:lang w:val="es-ES" w:eastAsia="es-ES"/>
        </w:rPr>
        <w:drawing>
          <wp:inline distT="0" distB="0" distL="0" distR="0" wp14:anchorId="02D16459" wp14:editId="42628CE2">
            <wp:extent cx="5950318" cy="2327564"/>
            <wp:effectExtent l="0" t="0" r="12700" b="15875"/>
            <wp:docPr id="4" name="Gráfico 4">
              <a:extLst xmlns:a="http://schemas.openxmlformats.org/drawingml/2006/main">
                <a:ext uri="{FF2B5EF4-FFF2-40B4-BE49-F238E27FC236}">
                  <a16:creationId xmlns:a16="http://schemas.microsoft.com/office/drawing/2014/main" id="{7E679E9B-4E2C-45DF-BDF9-A74AC7C502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92EE142" w14:textId="5EC6366B" w:rsidR="00FA55D5" w:rsidRPr="00E71527" w:rsidRDefault="00FA55D5" w:rsidP="00E71527">
      <w:pPr>
        <w:pStyle w:val="Descripcin"/>
        <w:spacing w:after="0"/>
        <w:ind w:left="851" w:hanging="851"/>
        <w:jc w:val="both"/>
        <w:rPr>
          <w:i w:val="0"/>
          <w:iCs w:val="0"/>
          <w:color w:val="auto"/>
          <w:sz w:val="24"/>
          <w:szCs w:val="24"/>
        </w:rPr>
      </w:pPr>
      <w:bookmarkStart w:id="5" w:name="_Ref14107756"/>
      <w:r w:rsidRPr="00E71527">
        <w:rPr>
          <w:b/>
          <w:i w:val="0"/>
          <w:iCs w:val="0"/>
          <w:color w:val="auto"/>
          <w:sz w:val="24"/>
          <w:szCs w:val="24"/>
        </w:rPr>
        <w:t xml:space="preserve">Figura </w:t>
      </w:r>
      <w:r w:rsidRPr="00E71527">
        <w:rPr>
          <w:b/>
          <w:i w:val="0"/>
          <w:iCs w:val="0"/>
          <w:color w:val="auto"/>
          <w:sz w:val="24"/>
          <w:szCs w:val="24"/>
        </w:rPr>
        <w:fldChar w:fldCharType="begin"/>
      </w:r>
      <w:r w:rsidRPr="00E71527">
        <w:rPr>
          <w:b/>
          <w:i w:val="0"/>
          <w:iCs w:val="0"/>
          <w:color w:val="auto"/>
          <w:sz w:val="24"/>
          <w:szCs w:val="24"/>
        </w:rPr>
        <w:instrText xml:space="preserve"> SEQ Figura \* ARABIC </w:instrText>
      </w:r>
      <w:r w:rsidRPr="00E71527">
        <w:rPr>
          <w:b/>
          <w:i w:val="0"/>
          <w:iCs w:val="0"/>
          <w:color w:val="auto"/>
          <w:sz w:val="24"/>
          <w:szCs w:val="24"/>
        </w:rPr>
        <w:fldChar w:fldCharType="separate"/>
      </w:r>
      <w:r w:rsidR="009F5136" w:rsidRPr="00E71527">
        <w:rPr>
          <w:b/>
          <w:i w:val="0"/>
          <w:iCs w:val="0"/>
          <w:noProof/>
          <w:color w:val="auto"/>
          <w:sz w:val="24"/>
          <w:szCs w:val="24"/>
        </w:rPr>
        <w:t>2</w:t>
      </w:r>
      <w:r w:rsidRPr="00E71527">
        <w:rPr>
          <w:b/>
          <w:i w:val="0"/>
          <w:iCs w:val="0"/>
          <w:color w:val="auto"/>
          <w:sz w:val="24"/>
          <w:szCs w:val="24"/>
        </w:rPr>
        <w:fldChar w:fldCharType="end"/>
      </w:r>
      <w:bookmarkEnd w:id="5"/>
      <w:r w:rsidRPr="00E71527">
        <w:rPr>
          <w:b/>
          <w:i w:val="0"/>
          <w:iCs w:val="0"/>
          <w:color w:val="auto"/>
          <w:sz w:val="24"/>
          <w:szCs w:val="24"/>
        </w:rPr>
        <w:t>.</w:t>
      </w:r>
      <w:r w:rsidRPr="00E71527">
        <w:rPr>
          <w:i w:val="0"/>
          <w:iCs w:val="0"/>
          <w:color w:val="auto"/>
          <w:sz w:val="24"/>
          <w:szCs w:val="24"/>
        </w:rPr>
        <w:t xml:space="preserve"> </w:t>
      </w:r>
      <w:r w:rsidR="00516D7C" w:rsidRPr="00E71527">
        <w:rPr>
          <w:i w:val="0"/>
          <w:iCs w:val="0"/>
          <w:color w:val="auto"/>
          <w:sz w:val="24"/>
          <w:szCs w:val="24"/>
        </w:rPr>
        <w:t xml:space="preserve">Distribución </w:t>
      </w:r>
      <w:r w:rsidR="004E61B1" w:rsidRPr="00E71527">
        <w:rPr>
          <w:i w:val="0"/>
          <w:iCs w:val="0"/>
          <w:color w:val="auto"/>
          <w:sz w:val="24"/>
          <w:szCs w:val="24"/>
        </w:rPr>
        <w:t xml:space="preserve">por cantón </w:t>
      </w:r>
      <w:r w:rsidR="00516D7C" w:rsidRPr="00E71527">
        <w:rPr>
          <w:i w:val="0"/>
          <w:iCs w:val="0"/>
          <w:color w:val="auto"/>
          <w:sz w:val="24"/>
          <w:szCs w:val="24"/>
        </w:rPr>
        <w:t xml:space="preserve">del </w:t>
      </w:r>
      <w:r w:rsidR="0079514A" w:rsidRPr="00E71527">
        <w:rPr>
          <w:i w:val="0"/>
          <w:iCs w:val="0"/>
          <w:color w:val="auto"/>
          <w:sz w:val="24"/>
          <w:szCs w:val="24"/>
        </w:rPr>
        <w:t>tipo de prestador de servicio</w:t>
      </w:r>
      <w:r w:rsidR="00516D7C" w:rsidRPr="00E71527">
        <w:rPr>
          <w:i w:val="0"/>
          <w:iCs w:val="0"/>
          <w:color w:val="auto"/>
          <w:sz w:val="24"/>
          <w:szCs w:val="24"/>
        </w:rPr>
        <w:t xml:space="preserve"> </w:t>
      </w:r>
      <w:r w:rsidR="007349C7" w:rsidRPr="00E71527">
        <w:rPr>
          <w:i w:val="0"/>
          <w:iCs w:val="0"/>
          <w:color w:val="auto"/>
          <w:sz w:val="24"/>
          <w:szCs w:val="24"/>
        </w:rPr>
        <w:t>de agua potable</w:t>
      </w:r>
      <w:r w:rsidR="0012171B" w:rsidRPr="00E71527">
        <w:rPr>
          <w:i w:val="0"/>
          <w:iCs w:val="0"/>
          <w:color w:val="auto"/>
          <w:sz w:val="24"/>
          <w:szCs w:val="24"/>
        </w:rPr>
        <w:t>,</w:t>
      </w:r>
      <w:r w:rsidR="007349C7" w:rsidRPr="00E71527">
        <w:rPr>
          <w:i w:val="0"/>
          <w:iCs w:val="0"/>
          <w:color w:val="auto"/>
          <w:sz w:val="24"/>
          <w:szCs w:val="24"/>
        </w:rPr>
        <w:t xml:space="preserve"> </w:t>
      </w:r>
      <w:r w:rsidR="004E61B1" w:rsidRPr="00E71527">
        <w:rPr>
          <w:i w:val="0"/>
          <w:iCs w:val="0"/>
          <w:color w:val="auto"/>
          <w:sz w:val="24"/>
          <w:szCs w:val="24"/>
        </w:rPr>
        <w:t xml:space="preserve">según personas </w:t>
      </w:r>
      <w:r w:rsidR="007349C7" w:rsidRPr="00E71527">
        <w:rPr>
          <w:i w:val="0"/>
          <w:iCs w:val="0"/>
          <w:color w:val="auto"/>
          <w:sz w:val="24"/>
          <w:szCs w:val="24"/>
        </w:rPr>
        <w:t>usuari</w:t>
      </w:r>
      <w:r w:rsidR="004E61B1" w:rsidRPr="00E71527">
        <w:rPr>
          <w:i w:val="0"/>
          <w:iCs w:val="0"/>
          <w:color w:val="auto"/>
          <w:sz w:val="24"/>
          <w:szCs w:val="24"/>
        </w:rPr>
        <w:t>a</w:t>
      </w:r>
      <w:r w:rsidR="007349C7" w:rsidRPr="00E71527">
        <w:rPr>
          <w:i w:val="0"/>
          <w:iCs w:val="0"/>
          <w:color w:val="auto"/>
          <w:sz w:val="24"/>
          <w:szCs w:val="24"/>
        </w:rPr>
        <w:t>s</w:t>
      </w:r>
      <w:r w:rsidR="00516D7C" w:rsidRPr="00E71527">
        <w:rPr>
          <w:i w:val="0"/>
          <w:iCs w:val="0"/>
          <w:color w:val="auto"/>
          <w:sz w:val="24"/>
          <w:szCs w:val="24"/>
        </w:rPr>
        <w:t xml:space="preserve"> encuestad</w:t>
      </w:r>
      <w:r w:rsidR="004E61B1" w:rsidRPr="00E71527">
        <w:rPr>
          <w:i w:val="0"/>
          <w:iCs w:val="0"/>
          <w:color w:val="auto"/>
          <w:sz w:val="24"/>
          <w:szCs w:val="24"/>
        </w:rPr>
        <w:t>a</w:t>
      </w:r>
      <w:r w:rsidR="00516D7C" w:rsidRPr="00E71527">
        <w:rPr>
          <w:i w:val="0"/>
          <w:iCs w:val="0"/>
          <w:color w:val="auto"/>
          <w:sz w:val="24"/>
          <w:szCs w:val="24"/>
        </w:rPr>
        <w:t>s</w:t>
      </w:r>
      <w:r w:rsidR="00BE0D21" w:rsidRPr="00E71527">
        <w:rPr>
          <w:i w:val="0"/>
          <w:iCs w:val="0"/>
          <w:color w:val="auto"/>
          <w:sz w:val="24"/>
          <w:szCs w:val="24"/>
        </w:rPr>
        <w:t>.</w:t>
      </w:r>
    </w:p>
    <w:p w14:paraId="7EB91D9B" w14:textId="12F284F1" w:rsidR="00EF22BD" w:rsidRPr="00253215" w:rsidRDefault="00EF22BD" w:rsidP="00E71527">
      <w:pPr>
        <w:spacing w:after="120"/>
        <w:ind w:left="851" w:hanging="851"/>
        <w:jc w:val="both"/>
        <w:rPr>
          <w:i/>
          <w:iCs/>
          <w:szCs w:val="24"/>
          <w:lang w:val="en-US"/>
        </w:rPr>
      </w:pPr>
      <w:r w:rsidRPr="00253215">
        <w:rPr>
          <w:b/>
          <w:i/>
          <w:iCs/>
          <w:szCs w:val="24"/>
          <w:lang w:val="en-US"/>
        </w:rPr>
        <w:t xml:space="preserve">Figure 2. </w:t>
      </w:r>
      <w:r w:rsidRPr="00253215">
        <w:rPr>
          <w:i/>
          <w:iCs/>
          <w:szCs w:val="24"/>
          <w:lang w:val="en-US"/>
        </w:rPr>
        <w:t>Distribution by c</w:t>
      </w:r>
      <w:r w:rsidR="00253215">
        <w:rPr>
          <w:i/>
          <w:iCs/>
          <w:szCs w:val="24"/>
          <w:lang w:val="en-US"/>
        </w:rPr>
        <w:t>ounty</w:t>
      </w:r>
      <w:r w:rsidRPr="00253215">
        <w:rPr>
          <w:i/>
          <w:iCs/>
          <w:szCs w:val="24"/>
          <w:lang w:val="en-US"/>
        </w:rPr>
        <w:t xml:space="preserve"> of the type of water service provider according to surveyed users</w:t>
      </w:r>
      <w:r w:rsidR="00BE0D21" w:rsidRPr="00253215">
        <w:rPr>
          <w:i/>
          <w:iCs/>
          <w:szCs w:val="24"/>
          <w:lang w:val="en-US"/>
        </w:rPr>
        <w:t>.</w:t>
      </w:r>
    </w:p>
    <w:p w14:paraId="4668C3FA" w14:textId="75E95181" w:rsidR="00FC4CF0" w:rsidRPr="00DD6966" w:rsidRDefault="47840DA5" w:rsidP="00E71527">
      <w:pPr>
        <w:spacing w:after="0"/>
        <w:jc w:val="both"/>
        <w:rPr>
          <w:szCs w:val="24"/>
        </w:rPr>
      </w:pPr>
      <w:r w:rsidRPr="00DD6966">
        <w:rPr>
          <w:szCs w:val="24"/>
        </w:rPr>
        <w:t>Puede observar</w:t>
      </w:r>
      <w:r w:rsidR="004361D2" w:rsidRPr="00DD6966">
        <w:rPr>
          <w:szCs w:val="24"/>
        </w:rPr>
        <w:t>s</w:t>
      </w:r>
      <w:r w:rsidRPr="00DD6966">
        <w:rPr>
          <w:szCs w:val="24"/>
        </w:rPr>
        <w:t xml:space="preserve">e que los servicios operados por las </w:t>
      </w:r>
      <w:r w:rsidR="004E61B1" w:rsidRPr="00DD6966">
        <w:rPr>
          <w:szCs w:val="24"/>
        </w:rPr>
        <w:t>m</w:t>
      </w:r>
      <w:r w:rsidRPr="00DD6966">
        <w:rPr>
          <w:szCs w:val="24"/>
        </w:rPr>
        <w:t>unicipalidades y por alguna ASADA representan una notoria mayoría, con variaciones según el cantón de referencia</w:t>
      </w:r>
      <w:r w:rsidR="00A77280" w:rsidRPr="00DD6966">
        <w:rPr>
          <w:szCs w:val="24"/>
        </w:rPr>
        <w:t xml:space="preserve">, lo que concuerda con lo presentado en el </w:t>
      </w:r>
      <w:r w:rsidR="00A77280" w:rsidRPr="00DD6966">
        <w:rPr>
          <w:b/>
          <w:szCs w:val="24"/>
        </w:rPr>
        <w:t>Apéndice 1</w:t>
      </w:r>
      <w:r w:rsidRPr="00DD6966">
        <w:rPr>
          <w:szCs w:val="24"/>
        </w:rPr>
        <w:t>. Otros operadores como AyA o sistemas privados fueron muy escasos en la muestra, e incluso pue</w:t>
      </w:r>
      <w:r w:rsidR="00BE68AE" w:rsidRPr="00DD6966">
        <w:rPr>
          <w:szCs w:val="24"/>
        </w:rPr>
        <w:t>d</w:t>
      </w:r>
      <w:r w:rsidRPr="00DD6966">
        <w:rPr>
          <w:szCs w:val="24"/>
        </w:rPr>
        <w:t>en deberse a</w:t>
      </w:r>
      <w:r w:rsidR="00261BB3" w:rsidRPr="00DD6966">
        <w:rPr>
          <w:szCs w:val="24"/>
        </w:rPr>
        <w:t>l desconocimiento de la persona encuestada</w:t>
      </w:r>
      <w:r w:rsidRPr="00DD6966">
        <w:rPr>
          <w:szCs w:val="24"/>
        </w:rPr>
        <w:t xml:space="preserve"> a la hora de contestar. Adicionalmente, en comparación con los cantones de Turrialba, Oreamuno y Jiménez, la muestra del cantón de Alvarado presentó una proporción significativamente mayor de </w:t>
      </w:r>
      <w:r w:rsidR="0012171B">
        <w:rPr>
          <w:szCs w:val="24"/>
        </w:rPr>
        <w:t xml:space="preserve">sujetos </w:t>
      </w:r>
      <w:r w:rsidRPr="00DD6966">
        <w:rPr>
          <w:szCs w:val="24"/>
        </w:rPr>
        <w:t xml:space="preserve">encuestados que reciben el servicio de agua por parte de la </w:t>
      </w:r>
      <w:r w:rsidR="004E61B1" w:rsidRPr="00DD6966">
        <w:rPr>
          <w:szCs w:val="24"/>
        </w:rPr>
        <w:t>m</w:t>
      </w:r>
      <w:r w:rsidRPr="00DD6966">
        <w:rPr>
          <w:szCs w:val="24"/>
        </w:rPr>
        <w:t>unicipalidad (aproximadamente 85</w:t>
      </w:r>
      <w:r w:rsidR="00BE68AE" w:rsidRPr="00DD6966">
        <w:rPr>
          <w:szCs w:val="24"/>
        </w:rPr>
        <w:t xml:space="preserve"> </w:t>
      </w:r>
      <w:r w:rsidRPr="00DD6966">
        <w:rPr>
          <w:szCs w:val="24"/>
        </w:rPr>
        <w:t>% de la población encuestada); esto debe interpretarse con detenimiento</w:t>
      </w:r>
      <w:r w:rsidR="0012171B">
        <w:rPr>
          <w:szCs w:val="24"/>
        </w:rPr>
        <w:t>,</w:t>
      </w:r>
      <w:r w:rsidRPr="00DD6966">
        <w:rPr>
          <w:szCs w:val="24"/>
        </w:rPr>
        <w:t xml:space="preserve"> pues en este c</w:t>
      </w:r>
      <w:r w:rsidR="00261BB3" w:rsidRPr="00DD6966">
        <w:rPr>
          <w:szCs w:val="24"/>
        </w:rPr>
        <w:t>antón de Alvarado existe un Conc</w:t>
      </w:r>
      <w:r w:rsidRPr="00DD6966">
        <w:rPr>
          <w:szCs w:val="24"/>
        </w:rPr>
        <w:t>ejo Distrital para Cervantes, y el estudio s</w:t>
      </w:r>
      <w:r w:rsidR="0059079F">
        <w:rPr>
          <w:szCs w:val="24"/>
        </w:rPr>
        <w:t>í</w:t>
      </w:r>
      <w:r w:rsidRPr="00DD6966">
        <w:rPr>
          <w:szCs w:val="24"/>
        </w:rPr>
        <w:t xml:space="preserve"> consideró la totalidad del cantón. Para el total de la muestra, el 50</w:t>
      </w:r>
      <w:r w:rsidR="00BE68AE" w:rsidRPr="00DD6966">
        <w:rPr>
          <w:szCs w:val="24"/>
        </w:rPr>
        <w:t xml:space="preserve"> </w:t>
      </w:r>
      <w:r w:rsidR="00261BB3" w:rsidRPr="00DD6966">
        <w:rPr>
          <w:szCs w:val="24"/>
        </w:rPr>
        <w:t>% de la población recibe</w:t>
      </w:r>
      <w:r w:rsidRPr="00DD6966">
        <w:rPr>
          <w:szCs w:val="24"/>
        </w:rPr>
        <w:t xml:space="preserve"> el servicio por medio de su municipalidad, 39</w:t>
      </w:r>
      <w:r w:rsidR="00BE68AE" w:rsidRPr="00DD6966">
        <w:rPr>
          <w:szCs w:val="24"/>
        </w:rPr>
        <w:t xml:space="preserve"> % por ASADA</w:t>
      </w:r>
      <w:r w:rsidRPr="00DD6966">
        <w:rPr>
          <w:szCs w:val="24"/>
        </w:rPr>
        <w:t>, menos de 1</w:t>
      </w:r>
      <w:r w:rsidR="00BE68AE" w:rsidRPr="00DD6966">
        <w:rPr>
          <w:szCs w:val="24"/>
        </w:rPr>
        <w:t xml:space="preserve"> </w:t>
      </w:r>
      <w:r w:rsidRPr="00DD6966">
        <w:rPr>
          <w:szCs w:val="24"/>
        </w:rPr>
        <w:t xml:space="preserve">% por </w:t>
      </w:r>
      <w:r w:rsidR="00261BB3" w:rsidRPr="00DD6966">
        <w:rPr>
          <w:szCs w:val="24"/>
        </w:rPr>
        <w:t>otros medios</w:t>
      </w:r>
      <w:r w:rsidRPr="00DD6966">
        <w:rPr>
          <w:szCs w:val="24"/>
        </w:rPr>
        <w:t xml:space="preserve"> y 8</w:t>
      </w:r>
      <w:r w:rsidR="00BE68AE" w:rsidRPr="00DD6966">
        <w:rPr>
          <w:szCs w:val="24"/>
        </w:rPr>
        <w:t xml:space="preserve"> </w:t>
      </w:r>
      <w:r w:rsidRPr="00DD6966">
        <w:rPr>
          <w:szCs w:val="24"/>
        </w:rPr>
        <w:t>% no sabían quién les brinda el servicio. Si se contrasta esta información con la suministrada por las municipalidades, se evidencia que el porcentaje atribuido al AyA responde a una confusión</w:t>
      </w:r>
      <w:r w:rsidR="0012171B">
        <w:rPr>
          <w:szCs w:val="24"/>
        </w:rPr>
        <w:t>,</w:t>
      </w:r>
      <w:r w:rsidRPr="00DD6966">
        <w:rPr>
          <w:szCs w:val="24"/>
        </w:rPr>
        <w:t xml:space="preserve"> ya que </w:t>
      </w:r>
      <w:r w:rsidR="00D73353" w:rsidRPr="00DD6966">
        <w:rPr>
          <w:szCs w:val="24"/>
        </w:rPr>
        <w:t>este</w:t>
      </w:r>
      <w:r w:rsidRPr="00DD6966">
        <w:rPr>
          <w:szCs w:val="24"/>
        </w:rPr>
        <w:t xml:space="preserve"> no brinda servicios en estas zonas.</w:t>
      </w:r>
    </w:p>
    <w:p w14:paraId="5846DA43" w14:textId="77777777" w:rsidR="00391D6B" w:rsidRPr="00DD6966" w:rsidRDefault="00391D6B" w:rsidP="00E71527">
      <w:pPr>
        <w:spacing w:after="0"/>
        <w:jc w:val="both"/>
        <w:rPr>
          <w:szCs w:val="24"/>
        </w:rPr>
      </w:pPr>
    </w:p>
    <w:p w14:paraId="04C35B0A" w14:textId="12E8A898" w:rsidR="003B0D2D" w:rsidRPr="00DD6966" w:rsidRDefault="001C58C3" w:rsidP="00E71527">
      <w:pPr>
        <w:spacing w:after="0"/>
        <w:jc w:val="both"/>
        <w:rPr>
          <w:szCs w:val="24"/>
        </w:rPr>
      </w:pPr>
      <w:r w:rsidRPr="00DD6966">
        <w:rPr>
          <w:color w:val="365F91" w:themeColor="accent1" w:themeShade="BF"/>
          <w:szCs w:val="24"/>
        </w:rPr>
        <w:fldChar w:fldCharType="begin" w:fldLock="1"/>
      </w:r>
      <w:r w:rsidR="00791B91" w:rsidRPr="00DD6966">
        <w:rPr>
          <w:color w:val="365F91" w:themeColor="accent1" w:themeShade="BF"/>
          <w:szCs w:val="24"/>
        </w:rPr>
        <w:instrText>ADDIN CSL_CITATION {"citationItems":[{"id":"ITEM-1","itemData":{"DOI":"10.18845/tm.v29i8.2986","ISSN":"0379-3982","abstract":"En Costa Rica, cerca del 95 % de la población en las zonas urbanas recibe agua de buena calidad, gracias a que los grandes distribuidores de agua del país cuentan con la tecnología y los recursos humanos y financieros para la adecuada gestión de abastecimiento. En las zonas rurales, esta gestión está en manos de las asociaciones administradoras de agua (ASADA), que son integradas por juntas de vecinos voluntarios; en esas zonas persisten áreas que no reciben agua potable. El estudio que aquí se publica se enfocó en las ASADA de la provincia de Cartago, con el propósito de determinar mediante la visita y evaluación la situación real de los acueductos administrados por ellas, y los problemas ambientales asociados a su manejo, y poder ofrecer así recomendaciones para lograr un servicio de calidad sostenible. Los resultados aquí expuestos solo se enfocaran en el estudio de caso de la provincia de Cartago, Se encontró que las ASADAs denominadas pequeñas cuentan con mayores problemas operativos y de mantenimiento de la red.","author":[{"dropping-particle":"","family":"Soto-Córdoba","given":"Silvia M.","non-dropping-particle":"","parse-names":false,"suffix":""},{"dropping-particle":"","family":"Gaviria-Montoya","given":"Lilliana","non-dropping-particle":"","parse-names":false,"suffix":""},{"dropping-particle":"","family":"Pino-Gómez","given":"Macario","non-dropping-particle":"","parse-names":false,"suffix":""}],"container-title":"Revista Tecnología en Marcha","id":"ITEM-1","issue":"8","issued":{"date-parts":[["2016"]]},"page":"67-76","title":"Situación de la gestión del agua potable en las zonas rurales de la provincia de Cartago, Costa Rica","type":"article-journal","volume":"29"},"uris":["http://www.mendeley.com/documents/?uuid=182902fb-489c-4573-96d7-ff07928bd3bd"]}],"mendeley":{"formattedCitation":"(Soto-Córdoba, Gaviria-Montoya, &amp; Pino-Gómez, 2016)","manualFormatting":"Soto  et al. (2016)","plainTextFormattedCitation":"(Soto-Córdoba, Gaviria-Montoya, &amp; Pino-Gómez, 2016)","previouslyFormattedCitation":"(Soto-Córdoba, Gaviria-Montoya, &amp; Pino-Gómez, 2016)"},"properties":{"noteIndex":0},"schema":"https://github.com/citation-style-language/schema/raw/master/csl-citation.json"}</w:instrText>
      </w:r>
      <w:r w:rsidRPr="00DD6966">
        <w:rPr>
          <w:color w:val="365F91" w:themeColor="accent1" w:themeShade="BF"/>
          <w:szCs w:val="24"/>
        </w:rPr>
        <w:fldChar w:fldCharType="separate"/>
      </w:r>
      <w:r w:rsidRPr="00DD6966">
        <w:rPr>
          <w:noProof/>
          <w:color w:val="365F91" w:themeColor="accent1" w:themeShade="BF"/>
          <w:szCs w:val="24"/>
        </w:rPr>
        <w:t xml:space="preserve">Soto  </w:t>
      </w:r>
      <w:r w:rsidRPr="00DD6966">
        <w:rPr>
          <w:i/>
          <w:noProof/>
          <w:color w:val="365F91" w:themeColor="accent1" w:themeShade="BF"/>
          <w:szCs w:val="24"/>
        </w:rPr>
        <w:t>et al</w:t>
      </w:r>
      <w:r w:rsidRPr="00DD6966">
        <w:rPr>
          <w:noProof/>
          <w:color w:val="365F91" w:themeColor="accent1" w:themeShade="BF"/>
          <w:szCs w:val="24"/>
        </w:rPr>
        <w:t>. (2016)</w:t>
      </w:r>
      <w:r w:rsidRPr="00DD6966">
        <w:rPr>
          <w:color w:val="365F91" w:themeColor="accent1" w:themeShade="BF"/>
          <w:szCs w:val="24"/>
        </w:rPr>
        <w:fldChar w:fldCharType="end"/>
      </w:r>
      <w:r w:rsidRPr="00DD6966">
        <w:rPr>
          <w:color w:val="365F91" w:themeColor="accent1" w:themeShade="BF"/>
          <w:szCs w:val="24"/>
        </w:rPr>
        <w:t xml:space="preserve"> </w:t>
      </w:r>
      <w:r w:rsidRPr="00DD6966">
        <w:rPr>
          <w:szCs w:val="24"/>
        </w:rPr>
        <w:t>llev</w:t>
      </w:r>
      <w:r w:rsidR="003C04D1" w:rsidRPr="00DD6966">
        <w:rPr>
          <w:szCs w:val="24"/>
        </w:rPr>
        <w:t>aron</w:t>
      </w:r>
      <w:r w:rsidR="00261BB3" w:rsidRPr="00DD6966">
        <w:rPr>
          <w:szCs w:val="24"/>
        </w:rPr>
        <w:t xml:space="preserve"> a cabo un análisis de </w:t>
      </w:r>
      <w:r w:rsidRPr="00DD6966">
        <w:rPr>
          <w:szCs w:val="24"/>
        </w:rPr>
        <w:t xml:space="preserve">prestadores de servicio de agua potable en </w:t>
      </w:r>
      <w:r w:rsidR="00721338" w:rsidRPr="00DD6966">
        <w:rPr>
          <w:szCs w:val="24"/>
        </w:rPr>
        <w:t>todos los</w:t>
      </w:r>
      <w:r w:rsidRPr="00DD6966">
        <w:rPr>
          <w:szCs w:val="24"/>
        </w:rPr>
        <w:t xml:space="preserve"> cantones de Cartago a partir de datos de distintas instituciones. </w:t>
      </w:r>
      <w:r w:rsidR="00446A02" w:rsidRPr="00DD6966">
        <w:rPr>
          <w:szCs w:val="24"/>
        </w:rPr>
        <w:t xml:space="preserve">Al comparar la composición de </w:t>
      </w:r>
      <w:r w:rsidRPr="00DD6966">
        <w:rPr>
          <w:szCs w:val="24"/>
        </w:rPr>
        <w:t>la muestra de este trabajo</w:t>
      </w:r>
      <w:r w:rsidR="00446A02" w:rsidRPr="00DD6966">
        <w:rPr>
          <w:szCs w:val="24"/>
        </w:rPr>
        <w:t xml:space="preserve"> con los resultados </w:t>
      </w:r>
      <w:r w:rsidR="005E27AB" w:rsidRPr="00DD6966">
        <w:rPr>
          <w:szCs w:val="24"/>
        </w:rPr>
        <w:t>presentados</w:t>
      </w:r>
      <w:r w:rsidR="00446A02" w:rsidRPr="00DD6966">
        <w:rPr>
          <w:szCs w:val="24"/>
        </w:rPr>
        <w:t xml:space="preserve"> </w:t>
      </w:r>
      <w:r w:rsidRPr="00DD6966">
        <w:rPr>
          <w:szCs w:val="24"/>
        </w:rPr>
        <w:t xml:space="preserve">por esos autores, </w:t>
      </w:r>
      <w:r w:rsidR="00446A02" w:rsidRPr="00DD6966">
        <w:rPr>
          <w:szCs w:val="24"/>
        </w:rPr>
        <w:t xml:space="preserve">pudo </w:t>
      </w:r>
      <w:r w:rsidR="00446A02" w:rsidRPr="00DD6966">
        <w:rPr>
          <w:szCs w:val="24"/>
        </w:rPr>
        <w:lastRenderedPageBreak/>
        <w:t>constatarse que</w:t>
      </w:r>
      <w:r w:rsidR="005E27AB" w:rsidRPr="00DD6966">
        <w:rPr>
          <w:szCs w:val="24"/>
        </w:rPr>
        <w:t xml:space="preserve"> en ambos estudios se obtuvo una proporci</w:t>
      </w:r>
      <w:r w:rsidR="00261BB3" w:rsidRPr="00DD6966">
        <w:rPr>
          <w:szCs w:val="24"/>
        </w:rPr>
        <w:t>ón de prestadores de servicio (m</w:t>
      </w:r>
      <w:r w:rsidR="00BE68AE" w:rsidRPr="00DD6966">
        <w:rPr>
          <w:szCs w:val="24"/>
        </w:rPr>
        <w:t>unicipalidad/ASADA</w:t>
      </w:r>
      <w:r w:rsidR="005E27AB" w:rsidRPr="00DD6966">
        <w:rPr>
          <w:szCs w:val="24"/>
        </w:rPr>
        <w:t>) muy similar</w:t>
      </w:r>
      <w:r w:rsidR="00446A02" w:rsidRPr="00DD6966">
        <w:rPr>
          <w:szCs w:val="24"/>
        </w:rPr>
        <w:t xml:space="preserve"> para los cantones de Turrialba, Oreamuno y Alvarado</w:t>
      </w:r>
      <w:r w:rsidR="00DC585F" w:rsidRPr="00DD6966">
        <w:rPr>
          <w:szCs w:val="24"/>
        </w:rPr>
        <w:t xml:space="preserve">. </w:t>
      </w:r>
      <w:r w:rsidR="00115FFD" w:rsidRPr="00DD6966">
        <w:rPr>
          <w:szCs w:val="24"/>
        </w:rPr>
        <w:t>Sin embargo, p</w:t>
      </w:r>
      <w:r w:rsidR="00446A02" w:rsidRPr="00DD6966">
        <w:rPr>
          <w:szCs w:val="24"/>
        </w:rPr>
        <w:t>ara el caso de</w:t>
      </w:r>
      <w:r w:rsidR="007111D5" w:rsidRPr="00DD6966">
        <w:rPr>
          <w:szCs w:val="24"/>
        </w:rPr>
        <w:t>l cantón de</w:t>
      </w:r>
      <w:r w:rsidR="00261BB3" w:rsidRPr="00DD6966">
        <w:rPr>
          <w:szCs w:val="24"/>
        </w:rPr>
        <w:t xml:space="preserve"> Jiménez, </w:t>
      </w:r>
      <w:r w:rsidR="00261BB3" w:rsidRPr="00DD6966">
        <w:rPr>
          <w:color w:val="365F91" w:themeColor="accent1" w:themeShade="BF"/>
          <w:szCs w:val="24"/>
        </w:rPr>
        <w:t>Soto</w:t>
      </w:r>
      <w:r w:rsidR="00446A02" w:rsidRPr="00DD6966">
        <w:rPr>
          <w:color w:val="365F91" w:themeColor="accent1" w:themeShade="BF"/>
          <w:szCs w:val="24"/>
        </w:rPr>
        <w:t xml:space="preserve"> </w:t>
      </w:r>
      <w:r w:rsidR="00446A02" w:rsidRPr="00DD6966">
        <w:rPr>
          <w:i/>
          <w:iCs/>
          <w:color w:val="365F91" w:themeColor="accent1" w:themeShade="BF"/>
          <w:szCs w:val="24"/>
        </w:rPr>
        <w:t>et al.</w:t>
      </w:r>
      <w:r w:rsidR="00E9243B" w:rsidRPr="00DD6966">
        <w:rPr>
          <w:i/>
          <w:iCs/>
          <w:color w:val="365F91" w:themeColor="accent1" w:themeShade="BF"/>
          <w:szCs w:val="24"/>
        </w:rPr>
        <w:t>,</w:t>
      </w:r>
      <w:r w:rsidR="00446A02" w:rsidRPr="00DD6966">
        <w:rPr>
          <w:color w:val="365F91" w:themeColor="accent1" w:themeShade="BF"/>
          <w:szCs w:val="24"/>
        </w:rPr>
        <w:t xml:space="preserve"> (2016)</w:t>
      </w:r>
      <w:r w:rsidR="00446A02" w:rsidRPr="00DD6966">
        <w:rPr>
          <w:szCs w:val="24"/>
        </w:rPr>
        <w:t xml:space="preserve"> </w:t>
      </w:r>
      <w:r w:rsidRPr="00DD6966">
        <w:rPr>
          <w:szCs w:val="24"/>
        </w:rPr>
        <w:t>obtuv</w:t>
      </w:r>
      <w:r w:rsidR="007111D5" w:rsidRPr="00DD6966">
        <w:rPr>
          <w:szCs w:val="24"/>
        </w:rPr>
        <w:t>ieron</w:t>
      </w:r>
      <w:r w:rsidR="00446A02" w:rsidRPr="00DD6966">
        <w:rPr>
          <w:szCs w:val="24"/>
        </w:rPr>
        <w:t xml:space="preserve"> una proporción </w:t>
      </w:r>
      <w:r w:rsidRPr="00DD6966">
        <w:rPr>
          <w:szCs w:val="24"/>
        </w:rPr>
        <w:t>porcentual de 29/71</w:t>
      </w:r>
      <w:r w:rsidR="00446A02" w:rsidRPr="00DD6966">
        <w:rPr>
          <w:szCs w:val="24"/>
        </w:rPr>
        <w:t xml:space="preserve">, </w:t>
      </w:r>
      <w:r w:rsidR="005E27AB" w:rsidRPr="00DD6966">
        <w:rPr>
          <w:szCs w:val="24"/>
        </w:rPr>
        <w:t>mientras que en este estudio</w:t>
      </w:r>
      <w:r w:rsidR="007111D5" w:rsidRPr="00DD6966">
        <w:rPr>
          <w:szCs w:val="24"/>
        </w:rPr>
        <w:t xml:space="preserve"> esa</w:t>
      </w:r>
      <w:r w:rsidR="005E27AB" w:rsidRPr="00DD6966">
        <w:rPr>
          <w:szCs w:val="24"/>
        </w:rPr>
        <w:t xml:space="preserve"> proporción fue de </w:t>
      </w:r>
      <w:r w:rsidR="00115FFD" w:rsidRPr="00DD6966">
        <w:rPr>
          <w:szCs w:val="24"/>
        </w:rPr>
        <w:t xml:space="preserve">44/55. </w:t>
      </w:r>
      <w:r w:rsidR="0077641C" w:rsidRPr="00DD6966">
        <w:rPr>
          <w:szCs w:val="24"/>
        </w:rPr>
        <w:t xml:space="preserve">Esta diferencia </w:t>
      </w:r>
      <w:r w:rsidR="00344241" w:rsidRPr="00DD6966">
        <w:rPr>
          <w:szCs w:val="24"/>
        </w:rPr>
        <w:t xml:space="preserve">podría deberse a condiciones que escaparon al control del método de realización de las encuestas, aunque ello no invalida los resultados </w:t>
      </w:r>
      <w:r w:rsidR="002C4803" w:rsidRPr="00DD6966">
        <w:rPr>
          <w:szCs w:val="24"/>
        </w:rPr>
        <w:t>obtenidos</w:t>
      </w:r>
      <w:r w:rsidR="00344241" w:rsidRPr="00DD6966">
        <w:rPr>
          <w:szCs w:val="24"/>
        </w:rPr>
        <w:t xml:space="preserve">. </w:t>
      </w:r>
    </w:p>
    <w:p w14:paraId="7B62FB0F" w14:textId="77777777" w:rsidR="00391D6B" w:rsidRPr="00DD6966" w:rsidRDefault="00391D6B" w:rsidP="00E71527">
      <w:pPr>
        <w:spacing w:after="0"/>
        <w:jc w:val="both"/>
        <w:rPr>
          <w:szCs w:val="24"/>
        </w:rPr>
      </w:pPr>
    </w:p>
    <w:p w14:paraId="27DA2E12" w14:textId="45B2BA51" w:rsidR="00446A02" w:rsidRPr="00DD6966" w:rsidRDefault="002C4803" w:rsidP="00E71527">
      <w:pPr>
        <w:spacing w:after="0"/>
        <w:jc w:val="both"/>
        <w:rPr>
          <w:szCs w:val="24"/>
        </w:rPr>
      </w:pPr>
      <w:r w:rsidRPr="00DD6966">
        <w:rPr>
          <w:szCs w:val="24"/>
        </w:rPr>
        <w:t>Por otro lado</w:t>
      </w:r>
      <w:r w:rsidR="00D80B16" w:rsidRPr="00DD6966">
        <w:rPr>
          <w:szCs w:val="24"/>
        </w:rPr>
        <w:t xml:space="preserve">, </w:t>
      </w:r>
      <w:r w:rsidRPr="00DD6966">
        <w:rPr>
          <w:szCs w:val="24"/>
        </w:rPr>
        <w:t xml:space="preserve">llama la atención </w:t>
      </w:r>
      <w:r w:rsidR="00261BB3" w:rsidRPr="00DD6966">
        <w:rPr>
          <w:szCs w:val="24"/>
        </w:rPr>
        <w:t>el elevado porcentaje de persona</w:t>
      </w:r>
      <w:r w:rsidRPr="00DD6966">
        <w:rPr>
          <w:szCs w:val="24"/>
        </w:rPr>
        <w:t xml:space="preserve">s que </w:t>
      </w:r>
      <w:r w:rsidR="007111D5" w:rsidRPr="00DD6966">
        <w:rPr>
          <w:szCs w:val="24"/>
        </w:rPr>
        <w:t>desconocían</w:t>
      </w:r>
      <w:r w:rsidRPr="00DD6966">
        <w:rPr>
          <w:szCs w:val="24"/>
        </w:rPr>
        <w:t xml:space="preserve"> quién opera el servicio de agua potable </w:t>
      </w:r>
      <w:r w:rsidR="007111D5" w:rsidRPr="00DD6966">
        <w:rPr>
          <w:szCs w:val="24"/>
        </w:rPr>
        <w:t>en</w:t>
      </w:r>
      <w:r w:rsidRPr="00DD6966">
        <w:rPr>
          <w:szCs w:val="24"/>
        </w:rPr>
        <w:t xml:space="preserve"> su comunidad, principalmente en Alvarado (11</w:t>
      </w:r>
      <w:r w:rsidR="009E2687" w:rsidRPr="00DD6966">
        <w:rPr>
          <w:szCs w:val="24"/>
        </w:rPr>
        <w:t xml:space="preserve"> </w:t>
      </w:r>
      <w:r w:rsidRPr="00DD6966">
        <w:rPr>
          <w:szCs w:val="24"/>
        </w:rPr>
        <w:t>%) y Oreamuno (12</w:t>
      </w:r>
      <w:r w:rsidR="009E2687" w:rsidRPr="00DD6966">
        <w:rPr>
          <w:szCs w:val="24"/>
        </w:rPr>
        <w:t xml:space="preserve"> </w:t>
      </w:r>
      <w:r w:rsidRPr="00DD6966">
        <w:rPr>
          <w:szCs w:val="24"/>
        </w:rPr>
        <w:t xml:space="preserve">%). Esto podría </w:t>
      </w:r>
      <w:r w:rsidR="009865D2" w:rsidRPr="00DD6966">
        <w:rPr>
          <w:szCs w:val="24"/>
        </w:rPr>
        <w:t xml:space="preserve">indicar la necesidad de reforzar los programas de educación ambiental y comunicación entre el </w:t>
      </w:r>
      <w:r w:rsidR="0012171B">
        <w:rPr>
          <w:szCs w:val="24"/>
        </w:rPr>
        <w:t xml:space="preserve">ente </w:t>
      </w:r>
      <w:r w:rsidR="009865D2" w:rsidRPr="00DD6966">
        <w:rPr>
          <w:szCs w:val="24"/>
        </w:rPr>
        <w:t xml:space="preserve">prestador </w:t>
      </w:r>
      <w:r w:rsidR="007111D5" w:rsidRPr="00DD6966">
        <w:rPr>
          <w:szCs w:val="24"/>
        </w:rPr>
        <w:t xml:space="preserve">del servicio </w:t>
      </w:r>
      <w:r w:rsidR="009865D2" w:rsidRPr="00DD6966">
        <w:rPr>
          <w:szCs w:val="24"/>
        </w:rPr>
        <w:t>y las comunidades con el mayor porcentaje de desconocimiento (</w:t>
      </w:r>
      <w:proofErr w:type="spellStart"/>
      <w:r w:rsidR="009865D2" w:rsidRPr="00DD6966">
        <w:rPr>
          <w:szCs w:val="24"/>
        </w:rPr>
        <w:t>Capellades</w:t>
      </w:r>
      <w:proofErr w:type="spellEnd"/>
      <w:r w:rsidR="009865D2" w:rsidRPr="00DD6966">
        <w:rPr>
          <w:szCs w:val="24"/>
        </w:rPr>
        <w:t xml:space="preserve">, Cipreses, </w:t>
      </w:r>
      <w:proofErr w:type="spellStart"/>
      <w:r w:rsidR="009865D2" w:rsidRPr="00DD6966">
        <w:rPr>
          <w:szCs w:val="24"/>
        </w:rPr>
        <w:t>Cot</w:t>
      </w:r>
      <w:proofErr w:type="spellEnd"/>
      <w:r w:rsidR="009865D2" w:rsidRPr="00DD6966">
        <w:rPr>
          <w:szCs w:val="24"/>
        </w:rPr>
        <w:t xml:space="preserve">, La Suiza y Tuis, según puede constatarse en el </w:t>
      </w:r>
      <w:r w:rsidR="00261BB3" w:rsidRPr="00DD6966">
        <w:rPr>
          <w:b/>
          <w:szCs w:val="24"/>
        </w:rPr>
        <w:t>Apéndice 3</w:t>
      </w:r>
      <w:r w:rsidR="009865D2" w:rsidRPr="00DD6966">
        <w:rPr>
          <w:szCs w:val="24"/>
        </w:rPr>
        <w:t>).</w:t>
      </w:r>
      <w:r w:rsidR="00CA1CDB" w:rsidRPr="00DD6966">
        <w:rPr>
          <w:szCs w:val="24"/>
        </w:rPr>
        <w:t xml:space="preserve"> </w:t>
      </w:r>
    </w:p>
    <w:p w14:paraId="30B38436" w14:textId="77777777" w:rsidR="00391D6B" w:rsidRPr="00DD6966" w:rsidRDefault="00391D6B" w:rsidP="00E71527">
      <w:pPr>
        <w:spacing w:after="0"/>
        <w:jc w:val="both"/>
        <w:rPr>
          <w:szCs w:val="24"/>
        </w:rPr>
      </w:pPr>
    </w:p>
    <w:p w14:paraId="6044B7EB" w14:textId="594532E2" w:rsidR="00E14E66" w:rsidRPr="00DD6966" w:rsidRDefault="00663059" w:rsidP="00E71527">
      <w:pPr>
        <w:pStyle w:val="Prrafodelista"/>
        <w:numPr>
          <w:ilvl w:val="1"/>
          <w:numId w:val="4"/>
        </w:numPr>
        <w:spacing w:after="0"/>
        <w:ind w:left="425" w:hanging="425"/>
        <w:jc w:val="both"/>
        <w:rPr>
          <w:b/>
          <w:szCs w:val="24"/>
        </w:rPr>
      </w:pPr>
      <w:r w:rsidRPr="00DD6966">
        <w:rPr>
          <w:b/>
          <w:szCs w:val="24"/>
        </w:rPr>
        <w:t>N</w:t>
      </w:r>
      <w:r w:rsidR="003D2C0F" w:rsidRPr="00DD6966">
        <w:rPr>
          <w:b/>
          <w:szCs w:val="24"/>
        </w:rPr>
        <w:t xml:space="preserve">ivel de </w:t>
      </w:r>
      <w:r w:rsidR="00547E7D" w:rsidRPr="00DD6966">
        <w:rPr>
          <w:b/>
          <w:szCs w:val="24"/>
        </w:rPr>
        <w:t>satisfacción</w:t>
      </w:r>
      <w:r w:rsidRPr="00DD6966">
        <w:rPr>
          <w:b/>
          <w:szCs w:val="24"/>
        </w:rPr>
        <w:t xml:space="preserve"> de</w:t>
      </w:r>
      <w:r w:rsidR="0012171B">
        <w:rPr>
          <w:b/>
          <w:szCs w:val="24"/>
        </w:rPr>
        <w:t>l público</w:t>
      </w:r>
      <w:r w:rsidRPr="00DD6966">
        <w:rPr>
          <w:b/>
          <w:szCs w:val="24"/>
        </w:rPr>
        <w:t xml:space="preserve"> usuario y percepción </w:t>
      </w:r>
      <w:r w:rsidR="0012171B">
        <w:rPr>
          <w:b/>
          <w:szCs w:val="24"/>
        </w:rPr>
        <w:t>sobre</w:t>
      </w:r>
      <w:r w:rsidRPr="00DD6966">
        <w:rPr>
          <w:b/>
          <w:szCs w:val="24"/>
        </w:rPr>
        <w:t xml:space="preserve"> los</w:t>
      </w:r>
      <w:r w:rsidR="003D2C0F" w:rsidRPr="00DD6966">
        <w:rPr>
          <w:b/>
          <w:szCs w:val="24"/>
        </w:rPr>
        <w:t xml:space="preserve"> problemas </w:t>
      </w:r>
      <w:r w:rsidRPr="00DD6966">
        <w:rPr>
          <w:b/>
          <w:szCs w:val="24"/>
        </w:rPr>
        <w:t>del servicio</w:t>
      </w:r>
      <w:r w:rsidR="00BC07B4" w:rsidRPr="00DD6966">
        <w:rPr>
          <w:b/>
          <w:szCs w:val="24"/>
        </w:rPr>
        <w:t xml:space="preserve"> de agua potable</w:t>
      </w:r>
    </w:p>
    <w:p w14:paraId="009D3FD3" w14:textId="77777777" w:rsidR="00391D6B" w:rsidRPr="00DD6966" w:rsidRDefault="00391D6B" w:rsidP="00E71527">
      <w:pPr>
        <w:pStyle w:val="Prrafodelista"/>
        <w:spacing w:after="0"/>
        <w:ind w:left="425"/>
        <w:jc w:val="both"/>
        <w:rPr>
          <w:b/>
          <w:szCs w:val="24"/>
        </w:rPr>
      </w:pPr>
    </w:p>
    <w:p w14:paraId="281B2D16" w14:textId="682C8E38" w:rsidR="00560DA9" w:rsidRPr="00DD6966" w:rsidRDefault="00ED462C" w:rsidP="00E71527">
      <w:pPr>
        <w:spacing w:after="0"/>
        <w:jc w:val="both"/>
        <w:rPr>
          <w:szCs w:val="24"/>
        </w:rPr>
      </w:pPr>
      <w:r w:rsidRPr="00DD6966">
        <w:rPr>
          <w:szCs w:val="24"/>
        </w:rPr>
        <w:t xml:space="preserve">En relación </w:t>
      </w:r>
      <w:r w:rsidR="0012171B">
        <w:rPr>
          <w:szCs w:val="24"/>
        </w:rPr>
        <w:t>con e</w:t>
      </w:r>
      <w:r w:rsidRPr="00DD6966">
        <w:rPr>
          <w:szCs w:val="24"/>
        </w:rPr>
        <w:t xml:space="preserve">l nivel </w:t>
      </w:r>
      <w:r w:rsidR="00261BB3" w:rsidRPr="00DD6966">
        <w:rPr>
          <w:szCs w:val="24"/>
        </w:rPr>
        <w:t>de satisfacción de la</w:t>
      </w:r>
      <w:r w:rsidR="00663059" w:rsidRPr="00DD6966">
        <w:rPr>
          <w:szCs w:val="24"/>
        </w:rPr>
        <w:t xml:space="preserve">s </w:t>
      </w:r>
      <w:r w:rsidR="00261BB3" w:rsidRPr="00DD6966">
        <w:rPr>
          <w:szCs w:val="24"/>
        </w:rPr>
        <w:t>personas usuaria</w:t>
      </w:r>
      <w:r w:rsidR="00663059" w:rsidRPr="00DD6966">
        <w:rPr>
          <w:szCs w:val="24"/>
        </w:rPr>
        <w:t xml:space="preserve">s con </w:t>
      </w:r>
      <w:r w:rsidRPr="00DD6966">
        <w:rPr>
          <w:szCs w:val="24"/>
        </w:rPr>
        <w:t xml:space="preserve">el servicio de agua potable, la </w:t>
      </w:r>
      <w:r w:rsidRPr="00DD6966">
        <w:rPr>
          <w:b/>
          <w:szCs w:val="24"/>
        </w:rPr>
        <w:fldChar w:fldCharType="begin"/>
      </w:r>
      <w:r w:rsidRPr="00DD6966">
        <w:rPr>
          <w:b/>
          <w:szCs w:val="24"/>
        </w:rPr>
        <w:instrText xml:space="preserve"> REF _Ref14115399 \h  \* MERGEFORMAT </w:instrText>
      </w:r>
      <w:r w:rsidRPr="00DD6966">
        <w:rPr>
          <w:b/>
          <w:szCs w:val="24"/>
        </w:rPr>
      </w:r>
      <w:r w:rsidRPr="00DD6966">
        <w:rPr>
          <w:b/>
          <w:szCs w:val="24"/>
        </w:rPr>
        <w:fldChar w:fldCharType="separate"/>
      </w:r>
      <w:r w:rsidR="009F5136" w:rsidRPr="00DD6966">
        <w:rPr>
          <w:b/>
          <w:szCs w:val="24"/>
        </w:rPr>
        <w:t>Figura 3</w:t>
      </w:r>
      <w:r w:rsidRPr="00DD6966">
        <w:rPr>
          <w:b/>
          <w:szCs w:val="24"/>
        </w:rPr>
        <w:fldChar w:fldCharType="end"/>
      </w:r>
      <w:r w:rsidRPr="00DD6966">
        <w:rPr>
          <w:szCs w:val="24"/>
        </w:rPr>
        <w:t xml:space="preserve"> </w:t>
      </w:r>
      <w:r w:rsidR="0012171B">
        <w:rPr>
          <w:szCs w:val="24"/>
        </w:rPr>
        <w:t>expone</w:t>
      </w:r>
      <w:r w:rsidRPr="00DD6966">
        <w:rPr>
          <w:szCs w:val="24"/>
        </w:rPr>
        <w:t xml:space="preserve"> los resultados obtenidos </w:t>
      </w:r>
      <w:r w:rsidR="006C069C" w:rsidRPr="00DD6966">
        <w:rPr>
          <w:szCs w:val="24"/>
        </w:rPr>
        <w:t>para cada cantón</w:t>
      </w:r>
      <w:r w:rsidRPr="00DD6966">
        <w:rPr>
          <w:szCs w:val="24"/>
        </w:rPr>
        <w:t xml:space="preserve">. </w:t>
      </w:r>
      <w:r w:rsidR="00261BB3" w:rsidRPr="00DD6966">
        <w:rPr>
          <w:szCs w:val="24"/>
        </w:rPr>
        <w:t xml:space="preserve">Datos más detallados pueden consultarse en el </w:t>
      </w:r>
      <w:r w:rsidR="00261BB3" w:rsidRPr="00DD6966">
        <w:rPr>
          <w:b/>
          <w:szCs w:val="24"/>
        </w:rPr>
        <w:t>Apéndice 3</w:t>
      </w:r>
      <w:r w:rsidR="00261BB3" w:rsidRPr="00DD6966">
        <w:rPr>
          <w:szCs w:val="24"/>
        </w:rPr>
        <w:t>.</w:t>
      </w:r>
    </w:p>
    <w:p w14:paraId="7366B3A7" w14:textId="77777777" w:rsidR="00560DA9" w:rsidRPr="00DD6966" w:rsidRDefault="00560DA9" w:rsidP="00E71527">
      <w:pPr>
        <w:rPr>
          <w:szCs w:val="24"/>
        </w:rPr>
      </w:pPr>
      <w:r w:rsidRPr="00DD6966">
        <w:rPr>
          <w:szCs w:val="24"/>
        </w:rPr>
        <w:br w:type="page"/>
      </w:r>
    </w:p>
    <w:p w14:paraId="4932C829" w14:textId="77777777" w:rsidR="009865D2" w:rsidRPr="00DD6966" w:rsidRDefault="009865D2" w:rsidP="00B36B1D">
      <w:pPr>
        <w:jc w:val="both"/>
        <w:rPr>
          <w:szCs w:val="24"/>
        </w:rPr>
      </w:pPr>
    </w:p>
    <w:p w14:paraId="17D31B61" w14:textId="4F538CB3" w:rsidR="00336F89" w:rsidRPr="00DD6966" w:rsidRDefault="005365D9" w:rsidP="00B36B1D">
      <w:pPr>
        <w:spacing w:after="120"/>
        <w:jc w:val="center"/>
        <w:rPr>
          <w:szCs w:val="24"/>
        </w:rPr>
      </w:pPr>
      <w:r w:rsidRPr="00DD6966">
        <w:rPr>
          <w:noProof/>
          <w:szCs w:val="24"/>
          <w:lang w:val="es-ES" w:eastAsia="es-ES"/>
        </w:rPr>
        <w:drawing>
          <wp:inline distT="0" distB="0" distL="0" distR="0" wp14:anchorId="53499381" wp14:editId="0EAF82C4">
            <wp:extent cx="4758202" cy="2303585"/>
            <wp:effectExtent l="0" t="0" r="4445" b="1905"/>
            <wp:docPr id="1" name="Gráfico 1">
              <a:extLst xmlns:a="http://schemas.openxmlformats.org/drawingml/2006/main">
                <a:ext uri="{FF2B5EF4-FFF2-40B4-BE49-F238E27FC236}">
                  <a16:creationId xmlns:a16="http://schemas.microsoft.com/office/drawing/2014/main" id="{BC97431E-6D20-42F5-B051-760FC39266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F1B132" w14:textId="23FB1AFF" w:rsidR="00AB00F2" w:rsidRPr="00E71527" w:rsidRDefault="00AB00F2" w:rsidP="00E71527">
      <w:pPr>
        <w:pStyle w:val="Descripcin"/>
        <w:spacing w:after="0"/>
        <w:jc w:val="both"/>
        <w:rPr>
          <w:i w:val="0"/>
          <w:iCs w:val="0"/>
          <w:color w:val="auto"/>
          <w:sz w:val="24"/>
          <w:szCs w:val="24"/>
        </w:rPr>
      </w:pPr>
      <w:bookmarkStart w:id="6" w:name="_Ref14115399"/>
      <w:r w:rsidRPr="00E71527">
        <w:rPr>
          <w:b/>
          <w:i w:val="0"/>
          <w:iCs w:val="0"/>
          <w:color w:val="auto"/>
          <w:sz w:val="24"/>
          <w:szCs w:val="24"/>
        </w:rPr>
        <w:t xml:space="preserve">Figura </w:t>
      </w:r>
      <w:r w:rsidRPr="00E71527">
        <w:rPr>
          <w:b/>
          <w:i w:val="0"/>
          <w:iCs w:val="0"/>
          <w:color w:val="auto"/>
          <w:sz w:val="24"/>
          <w:szCs w:val="24"/>
        </w:rPr>
        <w:fldChar w:fldCharType="begin"/>
      </w:r>
      <w:r w:rsidRPr="00E71527">
        <w:rPr>
          <w:b/>
          <w:i w:val="0"/>
          <w:iCs w:val="0"/>
          <w:color w:val="auto"/>
          <w:sz w:val="24"/>
          <w:szCs w:val="24"/>
        </w:rPr>
        <w:instrText xml:space="preserve"> SEQ Figura \* ARABIC </w:instrText>
      </w:r>
      <w:r w:rsidRPr="00E71527">
        <w:rPr>
          <w:b/>
          <w:i w:val="0"/>
          <w:iCs w:val="0"/>
          <w:color w:val="auto"/>
          <w:sz w:val="24"/>
          <w:szCs w:val="24"/>
        </w:rPr>
        <w:fldChar w:fldCharType="separate"/>
      </w:r>
      <w:r w:rsidR="009F5136" w:rsidRPr="00E71527">
        <w:rPr>
          <w:b/>
          <w:i w:val="0"/>
          <w:iCs w:val="0"/>
          <w:noProof/>
          <w:color w:val="auto"/>
          <w:sz w:val="24"/>
          <w:szCs w:val="24"/>
        </w:rPr>
        <w:t>3</w:t>
      </w:r>
      <w:r w:rsidRPr="00E71527">
        <w:rPr>
          <w:b/>
          <w:i w:val="0"/>
          <w:iCs w:val="0"/>
          <w:color w:val="auto"/>
          <w:sz w:val="24"/>
          <w:szCs w:val="24"/>
        </w:rPr>
        <w:fldChar w:fldCharType="end"/>
      </w:r>
      <w:bookmarkEnd w:id="6"/>
      <w:r w:rsidRPr="00E71527">
        <w:rPr>
          <w:b/>
          <w:i w:val="0"/>
          <w:iCs w:val="0"/>
          <w:color w:val="auto"/>
          <w:sz w:val="24"/>
          <w:szCs w:val="24"/>
        </w:rPr>
        <w:t>.</w:t>
      </w:r>
      <w:r w:rsidRPr="00E71527">
        <w:rPr>
          <w:i w:val="0"/>
          <w:iCs w:val="0"/>
          <w:color w:val="auto"/>
          <w:sz w:val="24"/>
          <w:szCs w:val="24"/>
        </w:rPr>
        <w:t xml:space="preserve"> </w:t>
      </w:r>
      <w:r w:rsidR="00547E7D" w:rsidRPr="00E71527">
        <w:rPr>
          <w:i w:val="0"/>
          <w:iCs w:val="0"/>
          <w:color w:val="auto"/>
          <w:sz w:val="24"/>
          <w:szCs w:val="24"/>
        </w:rPr>
        <w:t xml:space="preserve">Nivel de satisfacción </w:t>
      </w:r>
      <w:r w:rsidR="00EF22BD" w:rsidRPr="00E71527">
        <w:rPr>
          <w:i w:val="0"/>
          <w:iCs w:val="0"/>
          <w:color w:val="auto"/>
          <w:sz w:val="24"/>
          <w:szCs w:val="24"/>
        </w:rPr>
        <w:t xml:space="preserve">por cantón </w:t>
      </w:r>
      <w:r w:rsidR="00547E7D" w:rsidRPr="00E71527">
        <w:rPr>
          <w:i w:val="0"/>
          <w:iCs w:val="0"/>
          <w:color w:val="auto"/>
          <w:sz w:val="24"/>
          <w:szCs w:val="24"/>
        </w:rPr>
        <w:t xml:space="preserve">con </w:t>
      </w:r>
      <w:r w:rsidRPr="00E71527">
        <w:rPr>
          <w:i w:val="0"/>
          <w:iCs w:val="0"/>
          <w:color w:val="auto"/>
          <w:sz w:val="24"/>
          <w:szCs w:val="24"/>
        </w:rPr>
        <w:t>el</w:t>
      </w:r>
      <w:r w:rsidR="00560DA9" w:rsidRPr="00E71527">
        <w:rPr>
          <w:i w:val="0"/>
          <w:iCs w:val="0"/>
          <w:color w:val="auto"/>
          <w:sz w:val="24"/>
          <w:szCs w:val="24"/>
        </w:rPr>
        <w:t xml:space="preserve"> servicio de agua potable en su </w:t>
      </w:r>
      <w:r w:rsidRPr="00E71527">
        <w:rPr>
          <w:i w:val="0"/>
          <w:iCs w:val="0"/>
          <w:color w:val="auto"/>
          <w:sz w:val="24"/>
          <w:szCs w:val="24"/>
        </w:rPr>
        <w:t>comunidad</w:t>
      </w:r>
      <w:r w:rsidR="00560DA9" w:rsidRPr="00E71527">
        <w:rPr>
          <w:i w:val="0"/>
          <w:iCs w:val="0"/>
          <w:color w:val="auto"/>
          <w:sz w:val="24"/>
          <w:szCs w:val="24"/>
        </w:rPr>
        <w:t>.</w:t>
      </w:r>
    </w:p>
    <w:p w14:paraId="5B1A0683" w14:textId="4FD74C07" w:rsidR="00EF22BD" w:rsidRPr="0059079F" w:rsidRDefault="00EF22BD" w:rsidP="00E71527">
      <w:pPr>
        <w:spacing w:after="120"/>
        <w:jc w:val="both"/>
        <w:rPr>
          <w:b/>
          <w:i/>
          <w:iCs/>
          <w:szCs w:val="24"/>
          <w:lang w:val="en-US"/>
        </w:rPr>
      </w:pPr>
      <w:r w:rsidRPr="0059079F">
        <w:rPr>
          <w:b/>
          <w:i/>
          <w:iCs/>
          <w:szCs w:val="24"/>
          <w:lang w:val="en-US"/>
        </w:rPr>
        <w:t xml:space="preserve">Figure 3. </w:t>
      </w:r>
      <w:r w:rsidRPr="0059079F">
        <w:rPr>
          <w:i/>
          <w:iCs/>
          <w:szCs w:val="24"/>
          <w:lang w:val="en-US"/>
        </w:rPr>
        <w:t xml:space="preserve">Satisfaction level with the delivered water service in their community by </w:t>
      </w:r>
      <w:r w:rsidR="00253215" w:rsidRPr="0059079F">
        <w:rPr>
          <w:i/>
          <w:iCs/>
          <w:szCs w:val="24"/>
          <w:lang w:val="en-US"/>
        </w:rPr>
        <w:t>county</w:t>
      </w:r>
      <w:r w:rsidR="00560DA9" w:rsidRPr="0059079F">
        <w:rPr>
          <w:i/>
          <w:iCs/>
          <w:szCs w:val="24"/>
          <w:lang w:val="en-US"/>
        </w:rPr>
        <w:t>.</w:t>
      </w:r>
      <w:r w:rsidRPr="0059079F">
        <w:rPr>
          <w:b/>
          <w:i/>
          <w:iCs/>
          <w:szCs w:val="24"/>
          <w:lang w:val="en-US"/>
        </w:rPr>
        <w:t xml:space="preserve"> </w:t>
      </w:r>
    </w:p>
    <w:p w14:paraId="7A324A75" w14:textId="77777777" w:rsidR="00DE3305" w:rsidRPr="00DD6966" w:rsidRDefault="00DE3305" w:rsidP="00E71527">
      <w:pPr>
        <w:spacing w:after="0"/>
        <w:ind w:left="851"/>
        <w:jc w:val="both"/>
        <w:rPr>
          <w:b/>
          <w:szCs w:val="24"/>
          <w:lang w:val="en-US"/>
        </w:rPr>
      </w:pPr>
    </w:p>
    <w:p w14:paraId="01F59AF0" w14:textId="23C622E2" w:rsidR="00FD7EE0" w:rsidRPr="00DD6966" w:rsidRDefault="006C069C" w:rsidP="00E71527">
      <w:pPr>
        <w:spacing w:after="0"/>
        <w:jc w:val="both"/>
        <w:rPr>
          <w:szCs w:val="24"/>
        </w:rPr>
      </w:pPr>
      <w:r w:rsidRPr="00DD6966">
        <w:rPr>
          <w:szCs w:val="24"/>
        </w:rPr>
        <w:t xml:space="preserve">A partir de la </w:t>
      </w:r>
      <w:r w:rsidRPr="00DD6966">
        <w:rPr>
          <w:szCs w:val="24"/>
        </w:rPr>
        <w:fldChar w:fldCharType="begin"/>
      </w:r>
      <w:r w:rsidRPr="00DD6966">
        <w:rPr>
          <w:b/>
          <w:szCs w:val="24"/>
        </w:rPr>
        <w:instrText xml:space="preserve"> REF _Ref14115399 \h  \* MERGEFORMAT </w:instrText>
      </w:r>
      <w:r w:rsidRPr="00DD6966">
        <w:rPr>
          <w:szCs w:val="24"/>
        </w:rPr>
      </w:r>
      <w:r w:rsidRPr="00DD6966">
        <w:rPr>
          <w:b/>
          <w:szCs w:val="24"/>
          <w:lang w:val="pt-BR"/>
        </w:rPr>
        <w:fldChar w:fldCharType="separate"/>
      </w:r>
      <w:r w:rsidR="009F5136" w:rsidRPr="00DD6966">
        <w:rPr>
          <w:b/>
          <w:bCs/>
          <w:szCs w:val="24"/>
        </w:rPr>
        <w:t>Figura 3</w:t>
      </w:r>
      <w:r w:rsidRPr="00DD6966">
        <w:rPr>
          <w:szCs w:val="24"/>
        </w:rPr>
        <w:fldChar w:fldCharType="end"/>
      </w:r>
      <w:r w:rsidRPr="00DD6966">
        <w:rPr>
          <w:szCs w:val="24"/>
        </w:rPr>
        <w:t xml:space="preserve"> es posible </w:t>
      </w:r>
      <w:r w:rsidR="00F71509" w:rsidRPr="00DD6966">
        <w:rPr>
          <w:szCs w:val="24"/>
        </w:rPr>
        <w:t xml:space="preserve">observar </w:t>
      </w:r>
      <w:r w:rsidR="00573971" w:rsidRPr="00DD6966">
        <w:rPr>
          <w:szCs w:val="24"/>
        </w:rPr>
        <w:t xml:space="preserve">un nivel </w:t>
      </w:r>
      <w:r w:rsidR="00663059" w:rsidRPr="00DD6966">
        <w:rPr>
          <w:szCs w:val="24"/>
        </w:rPr>
        <w:t>de satisfacción con el</w:t>
      </w:r>
      <w:r w:rsidR="00573971" w:rsidRPr="00DD6966">
        <w:rPr>
          <w:szCs w:val="24"/>
        </w:rPr>
        <w:t xml:space="preserve"> servicio de agua potable </w:t>
      </w:r>
      <w:r w:rsidR="00663059" w:rsidRPr="00DD6966">
        <w:rPr>
          <w:szCs w:val="24"/>
        </w:rPr>
        <w:t>menos positivo</w:t>
      </w:r>
      <w:r w:rsidR="00573971" w:rsidRPr="00DD6966">
        <w:rPr>
          <w:szCs w:val="24"/>
        </w:rPr>
        <w:t xml:space="preserve"> en el cantón de Oreamuno que en los otros tres cantones, </w:t>
      </w:r>
      <w:r w:rsidR="00663059" w:rsidRPr="00DD6966">
        <w:rPr>
          <w:szCs w:val="24"/>
        </w:rPr>
        <w:t>con</w:t>
      </w:r>
      <w:r w:rsidR="00573971" w:rsidRPr="00DD6966">
        <w:rPr>
          <w:szCs w:val="24"/>
        </w:rPr>
        <w:t xml:space="preserve"> aproximadamente 30</w:t>
      </w:r>
      <w:r w:rsidR="009E2687" w:rsidRPr="00DD6966">
        <w:rPr>
          <w:szCs w:val="24"/>
        </w:rPr>
        <w:t xml:space="preserve"> </w:t>
      </w:r>
      <w:r w:rsidR="00573971" w:rsidRPr="00DD6966">
        <w:rPr>
          <w:szCs w:val="24"/>
        </w:rPr>
        <w:t xml:space="preserve">% de </w:t>
      </w:r>
      <w:r w:rsidR="00261BB3" w:rsidRPr="00DD6966">
        <w:rPr>
          <w:szCs w:val="24"/>
        </w:rPr>
        <w:t>respuestas</w:t>
      </w:r>
      <w:r w:rsidR="00573971" w:rsidRPr="00DD6966">
        <w:rPr>
          <w:szCs w:val="24"/>
        </w:rPr>
        <w:t xml:space="preserve"> </w:t>
      </w:r>
      <w:r w:rsidR="0012171B">
        <w:rPr>
          <w:szCs w:val="24"/>
        </w:rPr>
        <w:t xml:space="preserve">que </w:t>
      </w:r>
      <w:r w:rsidR="00663059" w:rsidRPr="00DD6966">
        <w:rPr>
          <w:szCs w:val="24"/>
        </w:rPr>
        <w:t>indican</w:t>
      </w:r>
      <w:r w:rsidR="0012171B">
        <w:rPr>
          <w:szCs w:val="24"/>
        </w:rPr>
        <w:t xml:space="preserve"> una percepción d</w:t>
      </w:r>
      <w:r w:rsidR="00573971" w:rsidRPr="00DD6966">
        <w:rPr>
          <w:szCs w:val="24"/>
        </w:rPr>
        <w:t xml:space="preserve">el servicio </w:t>
      </w:r>
      <w:r w:rsidR="0012171B">
        <w:rPr>
          <w:szCs w:val="24"/>
        </w:rPr>
        <w:t xml:space="preserve">como </w:t>
      </w:r>
      <w:r w:rsidR="00573971" w:rsidRPr="00DD6966">
        <w:rPr>
          <w:szCs w:val="24"/>
        </w:rPr>
        <w:t xml:space="preserve">“malo” o “muy malo”. </w:t>
      </w:r>
      <w:r w:rsidR="006E6543" w:rsidRPr="00DD6966">
        <w:rPr>
          <w:szCs w:val="24"/>
        </w:rPr>
        <w:t>Cotejando</w:t>
      </w:r>
      <w:r w:rsidR="00573971" w:rsidRPr="00DD6966">
        <w:rPr>
          <w:szCs w:val="24"/>
        </w:rPr>
        <w:t xml:space="preserve"> este resultado con la información presentada en </w:t>
      </w:r>
      <w:proofErr w:type="spellStart"/>
      <w:r w:rsidR="00573971" w:rsidRPr="00DD6966">
        <w:rPr>
          <w:szCs w:val="24"/>
        </w:rPr>
        <w:t>el</w:t>
      </w:r>
      <w:proofErr w:type="spellEnd"/>
      <w:r w:rsidR="00573971" w:rsidRPr="00DD6966">
        <w:rPr>
          <w:szCs w:val="24"/>
        </w:rPr>
        <w:t xml:space="preserve"> </w:t>
      </w:r>
      <w:r w:rsidR="00573971" w:rsidRPr="00DD6966">
        <w:rPr>
          <w:szCs w:val="24"/>
        </w:rPr>
        <w:fldChar w:fldCharType="begin"/>
      </w:r>
      <w:r w:rsidR="00573971" w:rsidRPr="00DD6966">
        <w:rPr>
          <w:szCs w:val="24"/>
        </w:rPr>
        <w:instrText xml:space="preserve"> REF _Ref14113647 \h </w:instrText>
      </w:r>
      <w:r w:rsidR="00C46AE5" w:rsidRPr="00DD6966">
        <w:rPr>
          <w:szCs w:val="24"/>
        </w:rPr>
        <w:instrText xml:space="preserve"> \* MERGEFORMAT </w:instrText>
      </w:r>
      <w:r w:rsidR="00573971" w:rsidRPr="00DD6966">
        <w:rPr>
          <w:szCs w:val="24"/>
        </w:rPr>
      </w:r>
      <w:r w:rsidR="00573971" w:rsidRPr="00DD6966">
        <w:rPr>
          <w:szCs w:val="24"/>
        </w:rPr>
        <w:fldChar w:fldCharType="separate"/>
      </w:r>
      <w:r w:rsidR="00CF4B97" w:rsidRPr="00DD6966">
        <w:rPr>
          <w:szCs w:val="24"/>
        </w:rPr>
        <w:fldChar w:fldCharType="begin"/>
      </w:r>
      <w:r w:rsidR="00CF4B97" w:rsidRPr="00DD6966">
        <w:rPr>
          <w:szCs w:val="24"/>
        </w:rPr>
        <w:instrText xml:space="preserve"> REF _Ref14113647 \h  \* MERGEFORMAT </w:instrText>
      </w:r>
      <w:r w:rsidR="00CF4B97" w:rsidRPr="00DD6966">
        <w:rPr>
          <w:szCs w:val="24"/>
        </w:rPr>
      </w:r>
      <w:r w:rsidR="00CF4B97" w:rsidRPr="00DD6966">
        <w:rPr>
          <w:szCs w:val="24"/>
        </w:rPr>
        <w:fldChar w:fldCharType="separate"/>
      </w:r>
      <w:r w:rsidR="00CF4B97" w:rsidRPr="00DD6966">
        <w:rPr>
          <w:b/>
          <w:bCs/>
          <w:szCs w:val="24"/>
        </w:rPr>
        <w:t>Apéndice 3</w:t>
      </w:r>
      <w:r w:rsidR="00CF4B97" w:rsidRPr="00DD6966">
        <w:rPr>
          <w:szCs w:val="24"/>
        </w:rPr>
        <w:fldChar w:fldCharType="end"/>
      </w:r>
      <w:r w:rsidR="00573971" w:rsidRPr="00DD6966">
        <w:rPr>
          <w:szCs w:val="24"/>
        </w:rPr>
        <w:fldChar w:fldCharType="end"/>
      </w:r>
      <w:r w:rsidR="00573971" w:rsidRPr="00DD6966">
        <w:rPr>
          <w:szCs w:val="24"/>
        </w:rPr>
        <w:t>, es posible identificar que la mayoría de evaluaciones negativas se generó en el distrito de San Rafael (97</w:t>
      </w:r>
      <w:r w:rsidR="009E2687" w:rsidRPr="00DD6966">
        <w:rPr>
          <w:szCs w:val="24"/>
        </w:rPr>
        <w:t xml:space="preserve"> </w:t>
      </w:r>
      <w:r w:rsidR="00573971" w:rsidRPr="00DD6966">
        <w:rPr>
          <w:szCs w:val="24"/>
        </w:rPr>
        <w:t xml:space="preserve">% del total de evaluaciones negativas del cantón). </w:t>
      </w:r>
      <w:r w:rsidR="0093173C" w:rsidRPr="00DD6966">
        <w:rPr>
          <w:szCs w:val="24"/>
        </w:rPr>
        <w:t>Similarmente, el distrito de Cervantes obtuvo el 74</w:t>
      </w:r>
      <w:r w:rsidR="009E2687" w:rsidRPr="00DD6966">
        <w:rPr>
          <w:szCs w:val="24"/>
        </w:rPr>
        <w:t xml:space="preserve"> </w:t>
      </w:r>
      <w:r w:rsidR="0093173C" w:rsidRPr="00DD6966">
        <w:rPr>
          <w:szCs w:val="24"/>
        </w:rPr>
        <w:t xml:space="preserve">% de las evaluaciones negativas del cantón </w:t>
      </w:r>
      <w:r w:rsidR="00CA1CDB" w:rsidRPr="00DD6966">
        <w:rPr>
          <w:szCs w:val="24"/>
        </w:rPr>
        <w:t>de Alvarado</w:t>
      </w:r>
      <w:r w:rsidR="009E2687" w:rsidRPr="00DD6966">
        <w:rPr>
          <w:szCs w:val="24"/>
        </w:rPr>
        <w:t xml:space="preserve"> (recordar que este es un Concejo de Distrito y su sistema es independiente</w:t>
      </w:r>
      <w:r w:rsidR="0012171B">
        <w:rPr>
          <w:szCs w:val="24"/>
        </w:rPr>
        <w:t>,</w:t>
      </w:r>
      <w:r w:rsidR="00261BB3" w:rsidRPr="00DD6966">
        <w:rPr>
          <w:szCs w:val="24"/>
        </w:rPr>
        <w:t xml:space="preserve"> pero también de carácter municipal</w:t>
      </w:r>
      <w:r w:rsidR="009E2687" w:rsidRPr="00DD6966">
        <w:rPr>
          <w:szCs w:val="24"/>
        </w:rPr>
        <w:t>);</w:t>
      </w:r>
      <w:r w:rsidR="00CA1CDB" w:rsidRPr="00DD6966">
        <w:rPr>
          <w:szCs w:val="24"/>
        </w:rPr>
        <w:t xml:space="preserve"> mientras que el distrito central de Turrialba obtuvo el 73</w:t>
      </w:r>
      <w:r w:rsidR="009E2687" w:rsidRPr="00DD6966">
        <w:rPr>
          <w:szCs w:val="24"/>
        </w:rPr>
        <w:t xml:space="preserve"> </w:t>
      </w:r>
      <w:r w:rsidR="00CA1CDB" w:rsidRPr="00DD6966">
        <w:rPr>
          <w:szCs w:val="24"/>
        </w:rPr>
        <w:t xml:space="preserve">% de las evaluaciones negativas </w:t>
      </w:r>
      <w:r w:rsidR="007111D5" w:rsidRPr="00DD6966">
        <w:rPr>
          <w:szCs w:val="24"/>
        </w:rPr>
        <w:t>para el</w:t>
      </w:r>
      <w:r w:rsidR="00CA1CDB" w:rsidRPr="00DD6966">
        <w:rPr>
          <w:szCs w:val="24"/>
        </w:rPr>
        <w:t xml:space="preserve"> cantón del mismo nombre. Destaca la positiva </w:t>
      </w:r>
      <w:r w:rsidR="004E3A89">
        <w:rPr>
          <w:szCs w:val="24"/>
        </w:rPr>
        <w:t>opin</w:t>
      </w:r>
      <w:r w:rsidR="00CA1CDB" w:rsidRPr="00DD6966">
        <w:rPr>
          <w:szCs w:val="24"/>
        </w:rPr>
        <w:t xml:space="preserve">ión </w:t>
      </w:r>
      <w:r w:rsidR="00261BB3" w:rsidRPr="00DD6966">
        <w:rPr>
          <w:szCs w:val="24"/>
        </w:rPr>
        <w:t>en el</w:t>
      </w:r>
      <w:r w:rsidR="00CA1CDB" w:rsidRPr="00DD6966">
        <w:rPr>
          <w:szCs w:val="24"/>
        </w:rPr>
        <w:t xml:space="preserve"> cantón de Jiménez </w:t>
      </w:r>
      <w:r w:rsidR="004E3A89">
        <w:rPr>
          <w:szCs w:val="24"/>
        </w:rPr>
        <w:t xml:space="preserve">respecto al </w:t>
      </w:r>
      <w:r w:rsidR="00261BB3" w:rsidRPr="00DD6966">
        <w:rPr>
          <w:szCs w:val="24"/>
        </w:rPr>
        <w:t>servicio de agua que se brinda</w:t>
      </w:r>
      <w:r w:rsidR="000D2B01" w:rsidRPr="00DD6966">
        <w:rPr>
          <w:szCs w:val="24"/>
        </w:rPr>
        <w:t>, en</w:t>
      </w:r>
      <w:r w:rsidR="00CA1CDB" w:rsidRPr="00DD6966">
        <w:rPr>
          <w:szCs w:val="24"/>
        </w:rPr>
        <w:t xml:space="preserve"> </w:t>
      </w:r>
      <w:r w:rsidR="000D2B01" w:rsidRPr="00DD6966">
        <w:rPr>
          <w:szCs w:val="24"/>
        </w:rPr>
        <w:t>el cual</w:t>
      </w:r>
      <w:r w:rsidR="00CA1CDB" w:rsidRPr="00DD6966">
        <w:rPr>
          <w:szCs w:val="24"/>
        </w:rPr>
        <w:t xml:space="preserve"> menos del 0</w:t>
      </w:r>
      <w:r w:rsidR="00401806" w:rsidRPr="00DD6966">
        <w:rPr>
          <w:szCs w:val="24"/>
        </w:rPr>
        <w:t>.</w:t>
      </w:r>
      <w:r w:rsidR="00CA1CDB" w:rsidRPr="00DD6966">
        <w:rPr>
          <w:szCs w:val="24"/>
        </w:rPr>
        <w:t>6</w:t>
      </w:r>
      <w:r w:rsidR="002B1074" w:rsidRPr="00DD6966">
        <w:rPr>
          <w:szCs w:val="24"/>
        </w:rPr>
        <w:t xml:space="preserve"> </w:t>
      </w:r>
      <w:r w:rsidR="00CA1CDB" w:rsidRPr="00DD6966">
        <w:rPr>
          <w:szCs w:val="24"/>
        </w:rPr>
        <w:t>% de l</w:t>
      </w:r>
      <w:r w:rsidR="008D3BDC" w:rsidRPr="00DD6966">
        <w:rPr>
          <w:szCs w:val="24"/>
        </w:rPr>
        <w:t>as personas</w:t>
      </w:r>
      <w:r w:rsidR="00CA1CDB" w:rsidRPr="00DD6966">
        <w:rPr>
          <w:szCs w:val="24"/>
        </w:rPr>
        <w:t xml:space="preserve"> </w:t>
      </w:r>
      <w:r w:rsidR="007C52EA" w:rsidRPr="00DD6966">
        <w:rPr>
          <w:szCs w:val="24"/>
        </w:rPr>
        <w:t xml:space="preserve">provenientes </w:t>
      </w:r>
      <w:r w:rsidR="007C55D9" w:rsidRPr="00DD6966">
        <w:rPr>
          <w:szCs w:val="24"/>
        </w:rPr>
        <w:t xml:space="preserve">de los distritos de Juan Viñas </w:t>
      </w:r>
      <w:r w:rsidR="007C52EA" w:rsidRPr="00DD6966">
        <w:rPr>
          <w:szCs w:val="24"/>
        </w:rPr>
        <w:t>(0</w:t>
      </w:r>
      <w:r w:rsidR="00AE13DE" w:rsidRPr="00DD6966">
        <w:rPr>
          <w:szCs w:val="24"/>
        </w:rPr>
        <w:t>.</w:t>
      </w:r>
      <w:r w:rsidR="007C52EA" w:rsidRPr="00DD6966">
        <w:rPr>
          <w:szCs w:val="24"/>
        </w:rPr>
        <w:t>4</w:t>
      </w:r>
      <w:r w:rsidR="00D34C75" w:rsidRPr="00DD6966">
        <w:rPr>
          <w:szCs w:val="24"/>
        </w:rPr>
        <w:t xml:space="preserve"> </w:t>
      </w:r>
      <w:r w:rsidR="007C52EA" w:rsidRPr="00DD6966">
        <w:rPr>
          <w:szCs w:val="24"/>
        </w:rPr>
        <w:t xml:space="preserve">%) </w:t>
      </w:r>
      <w:r w:rsidR="007C55D9" w:rsidRPr="00DD6966">
        <w:rPr>
          <w:szCs w:val="24"/>
        </w:rPr>
        <w:t xml:space="preserve">y </w:t>
      </w:r>
      <w:proofErr w:type="spellStart"/>
      <w:r w:rsidR="007C55D9" w:rsidRPr="00DD6966">
        <w:rPr>
          <w:szCs w:val="24"/>
        </w:rPr>
        <w:t>Tucurrique</w:t>
      </w:r>
      <w:proofErr w:type="spellEnd"/>
      <w:r w:rsidR="007C52EA" w:rsidRPr="00DD6966">
        <w:rPr>
          <w:szCs w:val="24"/>
        </w:rPr>
        <w:t xml:space="preserve"> (0</w:t>
      </w:r>
      <w:r w:rsidR="00AE13DE" w:rsidRPr="00DD6966">
        <w:rPr>
          <w:szCs w:val="24"/>
        </w:rPr>
        <w:t>.</w:t>
      </w:r>
      <w:r w:rsidR="007C52EA" w:rsidRPr="00DD6966">
        <w:rPr>
          <w:szCs w:val="24"/>
        </w:rPr>
        <w:t>2</w:t>
      </w:r>
      <w:r w:rsidR="00D34C75" w:rsidRPr="00DD6966">
        <w:rPr>
          <w:szCs w:val="24"/>
        </w:rPr>
        <w:t xml:space="preserve"> </w:t>
      </w:r>
      <w:r w:rsidR="007C52EA" w:rsidRPr="00DD6966">
        <w:rPr>
          <w:szCs w:val="24"/>
        </w:rPr>
        <w:t xml:space="preserve">%), </w:t>
      </w:r>
      <w:r w:rsidR="000D2B01" w:rsidRPr="00DD6966">
        <w:rPr>
          <w:szCs w:val="24"/>
        </w:rPr>
        <w:t xml:space="preserve">dieron una evaluación negativa al servicio brindado. </w:t>
      </w:r>
    </w:p>
    <w:p w14:paraId="6D2F7A1C" w14:textId="77777777" w:rsidR="00DE3305" w:rsidRPr="00DD6966" w:rsidRDefault="00DE3305" w:rsidP="00E71527">
      <w:pPr>
        <w:spacing w:after="0"/>
        <w:jc w:val="both"/>
        <w:rPr>
          <w:szCs w:val="24"/>
        </w:rPr>
      </w:pPr>
    </w:p>
    <w:p w14:paraId="6ED21371" w14:textId="5E84143E" w:rsidR="006C069C" w:rsidRPr="00DD6966" w:rsidRDefault="00FD7EE0" w:rsidP="00E71527">
      <w:pPr>
        <w:spacing w:after="0"/>
        <w:jc w:val="both"/>
        <w:rPr>
          <w:szCs w:val="24"/>
        </w:rPr>
      </w:pPr>
      <w:r w:rsidRPr="00253215">
        <w:rPr>
          <w:szCs w:val="24"/>
        </w:rPr>
        <w:t xml:space="preserve">Al analizar el nivel de satisfacción de </w:t>
      </w:r>
      <w:r w:rsidR="00D73353" w:rsidRPr="00253215">
        <w:rPr>
          <w:szCs w:val="24"/>
        </w:rPr>
        <w:t>la población</w:t>
      </w:r>
      <w:r w:rsidRPr="00253215">
        <w:rPr>
          <w:szCs w:val="24"/>
        </w:rPr>
        <w:t xml:space="preserve"> en función del tipo de operador (Municipalidad o ASADA</w:t>
      </w:r>
      <w:r w:rsidRPr="00DD6966">
        <w:rPr>
          <w:szCs w:val="24"/>
        </w:rPr>
        <w:t>), pudo determinarse que 68</w:t>
      </w:r>
      <w:r w:rsidR="000F656F" w:rsidRPr="00DD6966">
        <w:rPr>
          <w:szCs w:val="24"/>
        </w:rPr>
        <w:t xml:space="preserve"> </w:t>
      </w:r>
      <w:r w:rsidR="008D3BDC" w:rsidRPr="00DD6966">
        <w:rPr>
          <w:szCs w:val="24"/>
        </w:rPr>
        <w:t xml:space="preserve">% de </w:t>
      </w:r>
      <w:r w:rsidR="00D73353" w:rsidRPr="00DD6966">
        <w:rPr>
          <w:szCs w:val="24"/>
        </w:rPr>
        <w:t xml:space="preserve">quienes cuentan </w:t>
      </w:r>
      <w:r w:rsidR="00A8083D" w:rsidRPr="00DD6966">
        <w:rPr>
          <w:szCs w:val="24"/>
        </w:rPr>
        <w:t>con sistema municipal c</w:t>
      </w:r>
      <w:r w:rsidRPr="00DD6966">
        <w:rPr>
          <w:szCs w:val="24"/>
        </w:rPr>
        <w:t>alificaron el servicio como “</w:t>
      </w:r>
      <w:r w:rsidR="002B4159" w:rsidRPr="00DD6966">
        <w:rPr>
          <w:szCs w:val="24"/>
        </w:rPr>
        <w:t>m</w:t>
      </w:r>
      <w:r w:rsidRPr="00DD6966">
        <w:rPr>
          <w:szCs w:val="24"/>
        </w:rPr>
        <w:t>uy bueno” o “</w:t>
      </w:r>
      <w:r w:rsidR="002B4159" w:rsidRPr="00DD6966">
        <w:rPr>
          <w:szCs w:val="24"/>
        </w:rPr>
        <w:t>b</w:t>
      </w:r>
      <w:r w:rsidRPr="00DD6966">
        <w:rPr>
          <w:szCs w:val="24"/>
        </w:rPr>
        <w:t>ueno”, mientras que este porcentaje fue de 92</w:t>
      </w:r>
      <w:r w:rsidR="000F656F" w:rsidRPr="00DD6966">
        <w:rPr>
          <w:szCs w:val="24"/>
        </w:rPr>
        <w:t xml:space="preserve"> </w:t>
      </w:r>
      <w:r w:rsidRPr="00DD6966">
        <w:rPr>
          <w:szCs w:val="24"/>
        </w:rPr>
        <w:t xml:space="preserve">% para </w:t>
      </w:r>
      <w:r w:rsidR="008D3BDC" w:rsidRPr="00DD6966">
        <w:rPr>
          <w:szCs w:val="24"/>
        </w:rPr>
        <w:t>quienes tienen</w:t>
      </w:r>
      <w:r w:rsidRPr="00DD6966">
        <w:rPr>
          <w:szCs w:val="24"/>
        </w:rPr>
        <w:t xml:space="preserve"> sistema operado por ASADA. Apenas 1</w:t>
      </w:r>
      <w:r w:rsidR="000F656F" w:rsidRPr="00DD6966">
        <w:rPr>
          <w:szCs w:val="24"/>
        </w:rPr>
        <w:t xml:space="preserve"> </w:t>
      </w:r>
      <w:r w:rsidR="00D73353" w:rsidRPr="00DD6966">
        <w:rPr>
          <w:szCs w:val="24"/>
        </w:rPr>
        <w:t xml:space="preserve">% </w:t>
      </w:r>
      <w:r w:rsidR="00A8083D" w:rsidRPr="00DD6966">
        <w:rPr>
          <w:szCs w:val="24"/>
        </w:rPr>
        <w:t xml:space="preserve">de </w:t>
      </w:r>
      <w:r w:rsidR="00D73353" w:rsidRPr="00DD6966">
        <w:rPr>
          <w:szCs w:val="24"/>
        </w:rPr>
        <w:t xml:space="preserve">quienes tienen ASADA </w:t>
      </w:r>
      <w:r w:rsidRPr="00DD6966">
        <w:rPr>
          <w:szCs w:val="24"/>
        </w:rPr>
        <w:t>calificaron el servicio como “</w:t>
      </w:r>
      <w:r w:rsidR="002B4159" w:rsidRPr="00DD6966">
        <w:rPr>
          <w:szCs w:val="24"/>
        </w:rPr>
        <w:t>m</w:t>
      </w:r>
      <w:r w:rsidRPr="00DD6966">
        <w:rPr>
          <w:szCs w:val="24"/>
        </w:rPr>
        <w:t>alo” o “</w:t>
      </w:r>
      <w:r w:rsidR="002B4159" w:rsidRPr="00DD6966">
        <w:rPr>
          <w:szCs w:val="24"/>
        </w:rPr>
        <w:t>m</w:t>
      </w:r>
      <w:r w:rsidRPr="00DD6966">
        <w:rPr>
          <w:szCs w:val="24"/>
        </w:rPr>
        <w:t>uy malo”, porcentaje que fue de 19</w:t>
      </w:r>
      <w:r w:rsidR="000F656F" w:rsidRPr="00DD6966">
        <w:rPr>
          <w:szCs w:val="24"/>
        </w:rPr>
        <w:t xml:space="preserve"> </w:t>
      </w:r>
      <w:r w:rsidRPr="00DD6966">
        <w:rPr>
          <w:szCs w:val="24"/>
        </w:rPr>
        <w:t xml:space="preserve">% para </w:t>
      </w:r>
      <w:r w:rsidR="008D3BDC" w:rsidRPr="00DD6966">
        <w:rPr>
          <w:szCs w:val="24"/>
        </w:rPr>
        <w:t>quienes tienen</w:t>
      </w:r>
      <w:r w:rsidRPr="00DD6966">
        <w:rPr>
          <w:szCs w:val="24"/>
        </w:rPr>
        <w:t xml:space="preserve"> servicio municipal de agua. </w:t>
      </w:r>
      <w:r w:rsidR="000F656F" w:rsidRPr="00DD6966">
        <w:rPr>
          <w:szCs w:val="24"/>
        </w:rPr>
        <w:t>Pudo determinarse que existe dependencia estadística, al 95% de confiabilidad, entre el nivel de satisfacción y el tipo de administrador (</w:t>
      </w:r>
      <w:r w:rsidR="000F656F" w:rsidRPr="00DD6966">
        <w:rPr>
          <w:b/>
          <w:szCs w:val="24"/>
        </w:rPr>
        <w:t>Apéndice 4</w:t>
      </w:r>
      <w:r w:rsidR="000F656F" w:rsidRPr="00DD6966">
        <w:rPr>
          <w:szCs w:val="24"/>
        </w:rPr>
        <w:t>).</w:t>
      </w:r>
    </w:p>
    <w:p w14:paraId="516C74CA" w14:textId="77777777" w:rsidR="00DE3305" w:rsidRPr="00DD6966" w:rsidRDefault="00DE3305" w:rsidP="00E71527">
      <w:pPr>
        <w:spacing w:after="0"/>
        <w:jc w:val="both"/>
        <w:rPr>
          <w:szCs w:val="24"/>
        </w:rPr>
      </w:pPr>
    </w:p>
    <w:p w14:paraId="26A6CC51" w14:textId="4606BD7D" w:rsidR="00547E7D" w:rsidRPr="00DD6966" w:rsidRDefault="00A8083D" w:rsidP="00E71527">
      <w:pPr>
        <w:spacing w:after="0"/>
        <w:jc w:val="both"/>
        <w:rPr>
          <w:szCs w:val="24"/>
        </w:rPr>
      </w:pPr>
      <w:r w:rsidRPr="00DD6966">
        <w:rPr>
          <w:szCs w:val="24"/>
        </w:rPr>
        <w:t>Además</w:t>
      </w:r>
      <w:r w:rsidR="003B6603" w:rsidRPr="00DD6966">
        <w:rPr>
          <w:szCs w:val="24"/>
        </w:rPr>
        <w:t>,</w:t>
      </w:r>
      <w:r w:rsidRPr="00DD6966">
        <w:rPr>
          <w:szCs w:val="24"/>
        </w:rPr>
        <w:t xml:space="preserve"> al</w:t>
      </w:r>
      <w:r w:rsidR="009D7F78" w:rsidRPr="00DD6966">
        <w:rPr>
          <w:szCs w:val="24"/>
        </w:rPr>
        <w:t xml:space="preserve"> preguntar sobre el nivel de satisfacción </w:t>
      </w:r>
      <w:r w:rsidR="004E3A89">
        <w:rPr>
          <w:szCs w:val="24"/>
        </w:rPr>
        <w:t xml:space="preserve">en cuanto al </w:t>
      </w:r>
      <w:r w:rsidR="009D7F78" w:rsidRPr="00DD6966">
        <w:rPr>
          <w:szCs w:val="24"/>
        </w:rPr>
        <w:t>servicio de agua que recibe</w:t>
      </w:r>
      <w:r w:rsidR="004E3A89">
        <w:rPr>
          <w:szCs w:val="24"/>
        </w:rPr>
        <w:t>n</w:t>
      </w:r>
      <w:r w:rsidR="009D7F78" w:rsidRPr="00DD6966">
        <w:rPr>
          <w:szCs w:val="24"/>
        </w:rPr>
        <w:t xml:space="preserve">, se les interrogó también sobre el nivel de </w:t>
      </w:r>
      <w:r w:rsidR="00201F7E" w:rsidRPr="00DD6966">
        <w:rPr>
          <w:szCs w:val="24"/>
        </w:rPr>
        <w:t>satisfacción con respecto a la calidad de</w:t>
      </w:r>
      <w:r w:rsidR="00BC07B4" w:rsidRPr="00DD6966">
        <w:rPr>
          <w:szCs w:val="24"/>
        </w:rPr>
        <w:t>l</w:t>
      </w:r>
      <w:r w:rsidR="00201F7E" w:rsidRPr="00DD6966">
        <w:rPr>
          <w:szCs w:val="24"/>
        </w:rPr>
        <w:t xml:space="preserve"> agua (datos no incluidos en el </w:t>
      </w:r>
      <w:r w:rsidR="00CF4B97" w:rsidRPr="00DD6966">
        <w:rPr>
          <w:szCs w:val="24"/>
        </w:rPr>
        <w:fldChar w:fldCharType="begin"/>
      </w:r>
      <w:r w:rsidR="00CF4B97" w:rsidRPr="00DD6966">
        <w:rPr>
          <w:szCs w:val="24"/>
        </w:rPr>
        <w:instrText xml:space="preserve"> REF _Ref14113647 \h  \* MERGEFORMAT </w:instrText>
      </w:r>
      <w:r w:rsidR="00CF4B97" w:rsidRPr="00DD6966">
        <w:rPr>
          <w:szCs w:val="24"/>
        </w:rPr>
      </w:r>
      <w:r w:rsidR="00CF4B97" w:rsidRPr="00DD6966">
        <w:rPr>
          <w:szCs w:val="24"/>
        </w:rPr>
        <w:fldChar w:fldCharType="separate"/>
      </w:r>
      <w:r w:rsidR="00CF4B97" w:rsidRPr="00DD6966">
        <w:rPr>
          <w:b/>
          <w:szCs w:val="24"/>
        </w:rPr>
        <w:t>Apéndice 3</w:t>
      </w:r>
      <w:r w:rsidR="00CF4B97" w:rsidRPr="00DD6966">
        <w:rPr>
          <w:szCs w:val="24"/>
        </w:rPr>
        <w:fldChar w:fldCharType="end"/>
      </w:r>
      <w:r w:rsidR="00201F7E" w:rsidRPr="00DD6966">
        <w:rPr>
          <w:szCs w:val="24"/>
        </w:rPr>
        <w:fldChar w:fldCharType="begin"/>
      </w:r>
      <w:r w:rsidR="00201F7E" w:rsidRPr="00DD6966">
        <w:rPr>
          <w:szCs w:val="24"/>
        </w:rPr>
        <w:instrText xml:space="preserve"> REF _Ref14113647 \h </w:instrText>
      </w:r>
      <w:r w:rsidR="00C46AE5" w:rsidRPr="00DD6966">
        <w:rPr>
          <w:szCs w:val="24"/>
        </w:rPr>
        <w:instrText xml:space="preserve"> \* MERGEFORMAT </w:instrText>
      </w:r>
      <w:r w:rsidR="00201F7E" w:rsidRPr="00DD6966">
        <w:rPr>
          <w:szCs w:val="24"/>
        </w:rPr>
      </w:r>
      <w:r w:rsidR="00201F7E" w:rsidRPr="00DD6966">
        <w:rPr>
          <w:szCs w:val="24"/>
        </w:rPr>
        <w:fldChar w:fldCharType="end"/>
      </w:r>
      <w:r w:rsidR="00201F7E" w:rsidRPr="00DD6966">
        <w:rPr>
          <w:szCs w:val="24"/>
        </w:rPr>
        <w:t xml:space="preserve">). Los resultados que se obtuvieron se muestran en la </w:t>
      </w:r>
      <w:r w:rsidR="00201F7E" w:rsidRPr="00DD6966">
        <w:rPr>
          <w:szCs w:val="24"/>
        </w:rPr>
        <w:fldChar w:fldCharType="begin"/>
      </w:r>
      <w:r w:rsidR="00201F7E" w:rsidRPr="00DD6966">
        <w:rPr>
          <w:szCs w:val="24"/>
        </w:rPr>
        <w:instrText xml:space="preserve"> REF _Ref14449296 \h </w:instrText>
      </w:r>
      <w:r w:rsidR="00DD6966">
        <w:rPr>
          <w:szCs w:val="24"/>
        </w:rPr>
        <w:instrText xml:space="preserve"> \* MERGEFORMAT </w:instrText>
      </w:r>
      <w:r w:rsidR="00201F7E" w:rsidRPr="00DD6966">
        <w:rPr>
          <w:szCs w:val="24"/>
        </w:rPr>
      </w:r>
      <w:r w:rsidR="00201F7E" w:rsidRPr="00DD6966">
        <w:rPr>
          <w:szCs w:val="24"/>
        </w:rPr>
        <w:fldChar w:fldCharType="separate"/>
      </w:r>
      <w:r w:rsidR="009F5136" w:rsidRPr="00DD6966">
        <w:rPr>
          <w:b/>
          <w:szCs w:val="24"/>
        </w:rPr>
        <w:t xml:space="preserve">Figura </w:t>
      </w:r>
      <w:r w:rsidR="009F5136" w:rsidRPr="00DD6966">
        <w:rPr>
          <w:b/>
          <w:noProof/>
          <w:szCs w:val="24"/>
        </w:rPr>
        <w:t>4</w:t>
      </w:r>
      <w:r w:rsidR="00201F7E" w:rsidRPr="00DD6966">
        <w:rPr>
          <w:szCs w:val="24"/>
        </w:rPr>
        <w:fldChar w:fldCharType="end"/>
      </w:r>
      <w:r w:rsidR="00201F7E" w:rsidRPr="00DD6966">
        <w:rPr>
          <w:szCs w:val="24"/>
        </w:rPr>
        <w:t xml:space="preserve">. </w:t>
      </w:r>
    </w:p>
    <w:p w14:paraId="57CFD3F4" w14:textId="6498DE7E" w:rsidR="00547E7D" w:rsidRPr="00DD6966" w:rsidRDefault="00EF60AA" w:rsidP="00E71527">
      <w:pPr>
        <w:spacing w:after="0"/>
        <w:jc w:val="center"/>
        <w:rPr>
          <w:szCs w:val="24"/>
        </w:rPr>
      </w:pPr>
      <w:r w:rsidRPr="00DD6966">
        <w:rPr>
          <w:noProof/>
          <w:szCs w:val="24"/>
          <w:lang w:val="es-ES" w:eastAsia="es-ES"/>
        </w:rPr>
        <w:lastRenderedPageBreak/>
        <w:drawing>
          <wp:inline distT="0" distB="0" distL="0" distR="0" wp14:anchorId="579C66EE" wp14:editId="503CD9CD">
            <wp:extent cx="5539154" cy="2461847"/>
            <wp:effectExtent l="0" t="0" r="4445" b="15240"/>
            <wp:docPr id="7" name="Gráfico 7">
              <a:extLst xmlns:a="http://schemas.openxmlformats.org/drawingml/2006/main">
                <a:ext uri="{FF2B5EF4-FFF2-40B4-BE49-F238E27FC236}">
                  <a16:creationId xmlns:a16="http://schemas.microsoft.com/office/drawing/2014/main" id="{DF3E7ADD-3AE6-4222-BD00-9E030FE998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3F29D1E" w14:textId="748C57F2" w:rsidR="00547E7D" w:rsidRPr="00E71527" w:rsidRDefault="00EF60AA" w:rsidP="00E71527">
      <w:pPr>
        <w:spacing w:after="0"/>
        <w:jc w:val="both"/>
        <w:rPr>
          <w:iCs/>
          <w:szCs w:val="24"/>
        </w:rPr>
      </w:pPr>
      <w:bookmarkStart w:id="7" w:name="_Ref14449296"/>
      <w:bookmarkStart w:id="8" w:name="_Ref14449285"/>
      <w:r w:rsidRPr="00E71527">
        <w:rPr>
          <w:b/>
          <w:iCs/>
          <w:szCs w:val="24"/>
        </w:rPr>
        <w:t xml:space="preserve">Figura </w:t>
      </w:r>
      <w:r w:rsidRPr="00E71527">
        <w:rPr>
          <w:b/>
          <w:iCs/>
          <w:szCs w:val="24"/>
        </w:rPr>
        <w:fldChar w:fldCharType="begin"/>
      </w:r>
      <w:r w:rsidRPr="00E71527">
        <w:rPr>
          <w:b/>
          <w:iCs/>
          <w:szCs w:val="24"/>
        </w:rPr>
        <w:instrText xml:space="preserve"> SEQ Figura \* ARABIC </w:instrText>
      </w:r>
      <w:r w:rsidRPr="00E71527">
        <w:rPr>
          <w:b/>
          <w:iCs/>
          <w:szCs w:val="24"/>
        </w:rPr>
        <w:fldChar w:fldCharType="separate"/>
      </w:r>
      <w:r w:rsidR="009F5136" w:rsidRPr="00E71527">
        <w:rPr>
          <w:b/>
          <w:iCs/>
          <w:noProof/>
          <w:szCs w:val="24"/>
        </w:rPr>
        <w:t>4</w:t>
      </w:r>
      <w:r w:rsidRPr="00E71527">
        <w:rPr>
          <w:b/>
          <w:iCs/>
          <w:szCs w:val="24"/>
        </w:rPr>
        <w:fldChar w:fldCharType="end"/>
      </w:r>
      <w:bookmarkEnd w:id="7"/>
      <w:r w:rsidRPr="00E71527">
        <w:rPr>
          <w:b/>
          <w:iCs/>
          <w:szCs w:val="24"/>
        </w:rPr>
        <w:t>.</w:t>
      </w:r>
      <w:r w:rsidRPr="00E71527">
        <w:rPr>
          <w:iCs/>
          <w:szCs w:val="24"/>
        </w:rPr>
        <w:t xml:space="preserve"> </w:t>
      </w:r>
      <w:r w:rsidR="00547E7D" w:rsidRPr="00E71527">
        <w:rPr>
          <w:iCs/>
          <w:szCs w:val="24"/>
        </w:rPr>
        <w:t xml:space="preserve">Nivel de satisfacción con </w:t>
      </w:r>
      <w:r w:rsidR="009C59B7" w:rsidRPr="00E71527">
        <w:rPr>
          <w:iCs/>
          <w:szCs w:val="24"/>
        </w:rPr>
        <w:t xml:space="preserve">la calidad del agua de la red </w:t>
      </w:r>
      <w:r w:rsidR="001B2574" w:rsidRPr="00E71527">
        <w:rPr>
          <w:iCs/>
          <w:szCs w:val="24"/>
        </w:rPr>
        <w:t xml:space="preserve">pública </w:t>
      </w:r>
      <w:r w:rsidR="009C59B7" w:rsidRPr="00E71527">
        <w:rPr>
          <w:iCs/>
          <w:szCs w:val="24"/>
        </w:rPr>
        <w:t>en su comunidad</w:t>
      </w:r>
      <w:bookmarkEnd w:id="8"/>
      <w:r w:rsidR="001B2574" w:rsidRPr="00E71527">
        <w:rPr>
          <w:iCs/>
          <w:szCs w:val="24"/>
        </w:rPr>
        <w:t xml:space="preserve"> </w:t>
      </w:r>
      <w:r w:rsidR="000F2D9E" w:rsidRPr="00E71527">
        <w:rPr>
          <w:iCs/>
          <w:szCs w:val="24"/>
        </w:rPr>
        <w:t xml:space="preserve">por </w:t>
      </w:r>
      <w:r w:rsidR="001B2574" w:rsidRPr="00E71527">
        <w:rPr>
          <w:iCs/>
          <w:szCs w:val="24"/>
        </w:rPr>
        <w:t>cantón</w:t>
      </w:r>
      <w:r w:rsidR="00F21899" w:rsidRPr="00E71527">
        <w:rPr>
          <w:iCs/>
          <w:szCs w:val="24"/>
        </w:rPr>
        <w:t>.</w:t>
      </w:r>
    </w:p>
    <w:p w14:paraId="2CF3C209" w14:textId="19045107" w:rsidR="001B2574" w:rsidRPr="0059079F" w:rsidRDefault="001B2574" w:rsidP="00E71527">
      <w:pPr>
        <w:spacing w:after="120"/>
        <w:jc w:val="both"/>
        <w:rPr>
          <w:i/>
          <w:iCs/>
          <w:szCs w:val="24"/>
          <w:lang w:val="en-US"/>
        </w:rPr>
      </w:pPr>
      <w:r w:rsidRPr="0059079F">
        <w:rPr>
          <w:b/>
          <w:i/>
          <w:iCs/>
          <w:szCs w:val="24"/>
          <w:lang w:val="en-US"/>
        </w:rPr>
        <w:t xml:space="preserve">Figure 4. </w:t>
      </w:r>
      <w:r w:rsidRPr="0059079F">
        <w:rPr>
          <w:i/>
          <w:iCs/>
          <w:szCs w:val="24"/>
          <w:lang w:val="en-US"/>
        </w:rPr>
        <w:t xml:space="preserve">Satisfaction level with water quality of the public network in their community by </w:t>
      </w:r>
      <w:r w:rsidR="00253215" w:rsidRPr="0059079F">
        <w:rPr>
          <w:i/>
          <w:iCs/>
          <w:szCs w:val="24"/>
          <w:lang w:val="en-US"/>
        </w:rPr>
        <w:t>county</w:t>
      </w:r>
      <w:r w:rsidR="00F21899" w:rsidRPr="0059079F">
        <w:rPr>
          <w:i/>
          <w:iCs/>
          <w:szCs w:val="24"/>
          <w:lang w:val="en-US"/>
        </w:rPr>
        <w:t>.</w:t>
      </w:r>
    </w:p>
    <w:p w14:paraId="48C94385" w14:textId="77777777" w:rsidR="00DE3305" w:rsidRPr="00DD6966" w:rsidRDefault="00DE3305" w:rsidP="00E71527">
      <w:pPr>
        <w:spacing w:after="0"/>
        <w:jc w:val="both"/>
        <w:rPr>
          <w:b/>
          <w:szCs w:val="24"/>
          <w:lang w:val="en-US"/>
        </w:rPr>
      </w:pPr>
    </w:p>
    <w:p w14:paraId="11EC85F7" w14:textId="32370488" w:rsidR="00547E7D" w:rsidRPr="00DD6966" w:rsidRDefault="00201F7E" w:rsidP="00E71527">
      <w:pPr>
        <w:spacing w:after="0"/>
        <w:jc w:val="both"/>
        <w:rPr>
          <w:szCs w:val="24"/>
        </w:rPr>
      </w:pPr>
      <w:r w:rsidRPr="00DD6966">
        <w:rPr>
          <w:szCs w:val="24"/>
        </w:rPr>
        <w:t xml:space="preserve">Nótese que, aunque la tendencia es similar a la obtenida </w:t>
      </w:r>
      <w:r w:rsidR="00AA1ED3" w:rsidRPr="00DD6966">
        <w:rPr>
          <w:szCs w:val="24"/>
        </w:rPr>
        <w:t xml:space="preserve">en la </w:t>
      </w:r>
      <w:r w:rsidR="00AA1ED3" w:rsidRPr="00DD6966">
        <w:rPr>
          <w:szCs w:val="24"/>
        </w:rPr>
        <w:fldChar w:fldCharType="begin"/>
      </w:r>
      <w:r w:rsidR="00AA1ED3" w:rsidRPr="00DD6966">
        <w:rPr>
          <w:b/>
          <w:szCs w:val="24"/>
        </w:rPr>
        <w:instrText xml:space="preserve"> REF _Ref14107756 \h  \* MERGEFORMAT </w:instrText>
      </w:r>
      <w:r w:rsidR="00AA1ED3" w:rsidRPr="00DD6966">
        <w:rPr>
          <w:szCs w:val="24"/>
        </w:rPr>
      </w:r>
      <w:r w:rsidR="00AA1ED3" w:rsidRPr="00DD6966">
        <w:rPr>
          <w:b/>
          <w:szCs w:val="24"/>
        </w:rPr>
        <w:fldChar w:fldCharType="separate"/>
      </w:r>
      <w:r w:rsidR="009F5136" w:rsidRPr="00DD6966">
        <w:rPr>
          <w:b/>
          <w:bCs/>
          <w:szCs w:val="24"/>
        </w:rPr>
        <w:t>Figura 2</w:t>
      </w:r>
      <w:r w:rsidR="00AA1ED3" w:rsidRPr="00DD6966">
        <w:rPr>
          <w:szCs w:val="24"/>
        </w:rPr>
        <w:fldChar w:fldCharType="end"/>
      </w:r>
      <w:r w:rsidRPr="00DD6966">
        <w:rPr>
          <w:szCs w:val="24"/>
        </w:rPr>
        <w:t xml:space="preserve">, la evaluación general tiende a ser menos negativa para este caso, con un porcentaje de evaluaciones “muy malo” y “malo” menor </w:t>
      </w:r>
      <w:r w:rsidR="00354F8B" w:rsidRPr="00DD6966">
        <w:rPr>
          <w:szCs w:val="24"/>
        </w:rPr>
        <w:t xml:space="preserve">que </w:t>
      </w:r>
      <w:r w:rsidR="000D533B" w:rsidRPr="00DD6966">
        <w:rPr>
          <w:szCs w:val="24"/>
        </w:rPr>
        <w:t>para</w:t>
      </w:r>
      <w:r w:rsidR="00354F8B" w:rsidRPr="00DD6966">
        <w:rPr>
          <w:szCs w:val="24"/>
        </w:rPr>
        <w:t xml:space="preserve"> el indicador anterior </w:t>
      </w:r>
      <w:r w:rsidR="000D533B" w:rsidRPr="00DD6966">
        <w:rPr>
          <w:szCs w:val="24"/>
        </w:rPr>
        <w:t>en</w:t>
      </w:r>
      <w:r w:rsidRPr="00DD6966">
        <w:rPr>
          <w:szCs w:val="24"/>
        </w:rPr>
        <w:t xml:space="preserve"> los cantones de Oreamuno (8</w:t>
      </w:r>
      <w:r w:rsidR="009E2687" w:rsidRPr="00DD6966">
        <w:rPr>
          <w:szCs w:val="24"/>
        </w:rPr>
        <w:t xml:space="preserve"> </w:t>
      </w:r>
      <w:r w:rsidRPr="00DD6966">
        <w:rPr>
          <w:szCs w:val="24"/>
        </w:rPr>
        <w:t xml:space="preserve">% </w:t>
      </w:r>
      <w:r w:rsidR="00354F8B" w:rsidRPr="00DD6966">
        <w:rPr>
          <w:szCs w:val="24"/>
        </w:rPr>
        <w:t xml:space="preserve">para el nivel de satisfacción </w:t>
      </w:r>
      <w:r w:rsidR="00BC07B4" w:rsidRPr="00DD6966">
        <w:rPr>
          <w:szCs w:val="24"/>
        </w:rPr>
        <w:t>con</w:t>
      </w:r>
      <w:r w:rsidR="00354F8B" w:rsidRPr="00DD6966">
        <w:rPr>
          <w:szCs w:val="24"/>
        </w:rPr>
        <w:t xml:space="preserve"> la calidad de agua </w:t>
      </w:r>
      <w:r w:rsidRPr="00DD6966">
        <w:rPr>
          <w:szCs w:val="24"/>
        </w:rPr>
        <w:t>contra 31</w:t>
      </w:r>
      <w:r w:rsidR="009E2687" w:rsidRPr="00DD6966">
        <w:rPr>
          <w:szCs w:val="24"/>
        </w:rPr>
        <w:t xml:space="preserve"> </w:t>
      </w:r>
      <w:r w:rsidRPr="00DD6966">
        <w:rPr>
          <w:szCs w:val="24"/>
        </w:rPr>
        <w:t xml:space="preserve">% para el nivel de satisfacción </w:t>
      </w:r>
      <w:r w:rsidR="00BC07B4" w:rsidRPr="00DD6966">
        <w:rPr>
          <w:szCs w:val="24"/>
        </w:rPr>
        <w:t>con el</w:t>
      </w:r>
      <w:r w:rsidRPr="00DD6966">
        <w:rPr>
          <w:szCs w:val="24"/>
        </w:rPr>
        <w:t xml:space="preserve"> servicio</w:t>
      </w:r>
      <w:r w:rsidR="00BC07B4" w:rsidRPr="00DD6966">
        <w:rPr>
          <w:szCs w:val="24"/>
        </w:rPr>
        <w:t xml:space="preserve"> recibido</w:t>
      </w:r>
      <w:r w:rsidRPr="00DD6966">
        <w:rPr>
          <w:szCs w:val="24"/>
        </w:rPr>
        <w:t>) y Alvarado (1</w:t>
      </w:r>
      <w:r w:rsidR="009E2687" w:rsidRPr="00DD6966">
        <w:rPr>
          <w:szCs w:val="24"/>
        </w:rPr>
        <w:t xml:space="preserve"> </w:t>
      </w:r>
      <w:r w:rsidRPr="00DD6966">
        <w:rPr>
          <w:szCs w:val="24"/>
        </w:rPr>
        <w:t>% contra 7</w:t>
      </w:r>
      <w:r w:rsidR="009E2687" w:rsidRPr="00DD6966">
        <w:rPr>
          <w:szCs w:val="24"/>
        </w:rPr>
        <w:t xml:space="preserve"> </w:t>
      </w:r>
      <w:r w:rsidRPr="00DD6966">
        <w:rPr>
          <w:szCs w:val="24"/>
        </w:rPr>
        <w:t xml:space="preserve">%), mientras que para Jiménez la condición es la misma para ambos </w:t>
      </w:r>
      <w:r w:rsidR="00354F8B" w:rsidRPr="00DD6966">
        <w:rPr>
          <w:szCs w:val="24"/>
        </w:rPr>
        <w:t>indicadores</w:t>
      </w:r>
      <w:r w:rsidRPr="00DD6966">
        <w:rPr>
          <w:szCs w:val="24"/>
        </w:rPr>
        <w:t xml:space="preserve"> (1</w:t>
      </w:r>
      <w:r w:rsidR="009E2687" w:rsidRPr="00DD6966">
        <w:rPr>
          <w:szCs w:val="24"/>
        </w:rPr>
        <w:t xml:space="preserve"> </w:t>
      </w:r>
      <w:r w:rsidRPr="00DD6966">
        <w:rPr>
          <w:szCs w:val="24"/>
        </w:rPr>
        <w:t xml:space="preserve">% de las respuestas dentro de </w:t>
      </w:r>
      <w:r w:rsidR="00354F8B" w:rsidRPr="00DD6966">
        <w:rPr>
          <w:szCs w:val="24"/>
        </w:rPr>
        <w:t>esas categorías</w:t>
      </w:r>
      <w:r w:rsidR="00BC07B4" w:rsidRPr="00DD6966">
        <w:rPr>
          <w:szCs w:val="24"/>
        </w:rPr>
        <w:t xml:space="preserve"> para ambos parámetros</w:t>
      </w:r>
      <w:r w:rsidR="00354F8B" w:rsidRPr="00DD6966">
        <w:rPr>
          <w:szCs w:val="24"/>
        </w:rPr>
        <w:t>)</w:t>
      </w:r>
      <w:r w:rsidR="009341B1" w:rsidRPr="00DD6966">
        <w:rPr>
          <w:szCs w:val="24"/>
        </w:rPr>
        <w:t xml:space="preserve"> y en Turrialba la percepción del nivel de calidad de agua es ligeramente inferior a la percepción de servicio recibido (5</w:t>
      </w:r>
      <w:r w:rsidR="009E2687" w:rsidRPr="00DD6966">
        <w:rPr>
          <w:szCs w:val="24"/>
        </w:rPr>
        <w:t xml:space="preserve"> </w:t>
      </w:r>
      <w:r w:rsidR="009341B1" w:rsidRPr="00DD6966">
        <w:rPr>
          <w:szCs w:val="24"/>
        </w:rPr>
        <w:t>% y 4</w:t>
      </w:r>
      <w:r w:rsidR="009E2687" w:rsidRPr="00DD6966">
        <w:rPr>
          <w:szCs w:val="24"/>
        </w:rPr>
        <w:t xml:space="preserve"> </w:t>
      </w:r>
      <w:r w:rsidR="009341B1" w:rsidRPr="00DD6966">
        <w:rPr>
          <w:szCs w:val="24"/>
        </w:rPr>
        <w:t>%, respectivamente, evalu</w:t>
      </w:r>
      <w:r w:rsidR="00BC07B4" w:rsidRPr="00DD6966">
        <w:rPr>
          <w:szCs w:val="24"/>
        </w:rPr>
        <w:t xml:space="preserve">aron </w:t>
      </w:r>
      <w:r w:rsidR="009341B1" w:rsidRPr="00DD6966">
        <w:rPr>
          <w:szCs w:val="24"/>
        </w:rPr>
        <w:t xml:space="preserve">esos servicios como “muy malos” o “malos”), diferencia que está dentro del rango de error de los datos. </w:t>
      </w:r>
      <w:r w:rsidRPr="00DD6966">
        <w:rPr>
          <w:szCs w:val="24"/>
        </w:rPr>
        <w:t xml:space="preserve"> </w:t>
      </w:r>
    </w:p>
    <w:p w14:paraId="1180657E" w14:textId="77777777" w:rsidR="008D6B37" w:rsidRPr="00DD6966" w:rsidRDefault="008D6B37" w:rsidP="00E71527">
      <w:pPr>
        <w:spacing w:after="0"/>
        <w:jc w:val="both"/>
        <w:rPr>
          <w:szCs w:val="24"/>
        </w:rPr>
      </w:pPr>
    </w:p>
    <w:p w14:paraId="68288290" w14:textId="04B4F001" w:rsidR="000F656F" w:rsidRPr="00DD6966" w:rsidRDefault="000F656F" w:rsidP="00E71527">
      <w:pPr>
        <w:spacing w:after="0"/>
        <w:jc w:val="both"/>
        <w:rPr>
          <w:szCs w:val="24"/>
        </w:rPr>
      </w:pPr>
      <w:r w:rsidRPr="00F60BC4">
        <w:rPr>
          <w:szCs w:val="24"/>
        </w:rPr>
        <w:t xml:space="preserve">Al analizar el nivel de satisfacción </w:t>
      </w:r>
      <w:r w:rsidR="008D3BDC" w:rsidRPr="00F60BC4">
        <w:rPr>
          <w:szCs w:val="24"/>
        </w:rPr>
        <w:t>de las personas</w:t>
      </w:r>
      <w:r w:rsidRPr="00F60BC4">
        <w:rPr>
          <w:szCs w:val="24"/>
        </w:rPr>
        <w:t xml:space="preserve"> con la calidad del agua e</w:t>
      </w:r>
      <w:r w:rsidR="008D3BDC" w:rsidRPr="00F60BC4">
        <w:rPr>
          <w:szCs w:val="24"/>
        </w:rPr>
        <w:t>n función del tipo de operador</w:t>
      </w:r>
      <w:r w:rsidRPr="00BB772C">
        <w:rPr>
          <w:szCs w:val="24"/>
        </w:rPr>
        <w:t xml:space="preserve">, pudo determinarse que </w:t>
      </w:r>
      <w:r w:rsidR="002422FE" w:rsidRPr="00BB772C">
        <w:rPr>
          <w:szCs w:val="24"/>
        </w:rPr>
        <w:t>80</w:t>
      </w:r>
      <w:r w:rsidRPr="00BB772C">
        <w:rPr>
          <w:szCs w:val="24"/>
        </w:rPr>
        <w:t xml:space="preserve"> % de </w:t>
      </w:r>
      <w:r w:rsidR="008D3BDC" w:rsidRPr="00BB772C">
        <w:rPr>
          <w:szCs w:val="24"/>
        </w:rPr>
        <w:t>quienes tienen</w:t>
      </w:r>
      <w:r w:rsidRPr="00BB772C">
        <w:rPr>
          <w:szCs w:val="24"/>
        </w:rPr>
        <w:t xml:space="preserve"> sistema municipal de agua </w:t>
      </w:r>
      <w:r w:rsidR="002422FE" w:rsidRPr="00BB772C">
        <w:rPr>
          <w:szCs w:val="24"/>
        </w:rPr>
        <w:t>perciben la calidad del agua como</w:t>
      </w:r>
      <w:r w:rsidRPr="00BB772C">
        <w:rPr>
          <w:szCs w:val="24"/>
        </w:rPr>
        <w:t xml:space="preserve"> “muy buen</w:t>
      </w:r>
      <w:r w:rsidR="002422FE" w:rsidRPr="00BB772C">
        <w:rPr>
          <w:szCs w:val="24"/>
        </w:rPr>
        <w:t>a</w:t>
      </w:r>
      <w:r w:rsidRPr="00DD6966">
        <w:rPr>
          <w:szCs w:val="24"/>
        </w:rPr>
        <w:t>” o “buen</w:t>
      </w:r>
      <w:r w:rsidR="002422FE" w:rsidRPr="00DD6966">
        <w:rPr>
          <w:szCs w:val="24"/>
        </w:rPr>
        <w:t>a</w:t>
      </w:r>
      <w:r w:rsidRPr="00DD6966">
        <w:rPr>
          <w:szCs w:val="24"/>
        </w:rPr>
        <w:t xml:space="preserve">”, mientras que este porcentaje fue de </w:t>
      </w:r>
      <w:r w:rsidR="002422FE" w:rsidRPr="00DD6966">
        <w:rPr>
          <w:szCs w:val="24"/>
        </w:rPr>
        <w:t>89</w:t>
      </w:r>
      <w:r w:rsidRPr="00DD6966">
        <w:rPr>
          <w:szCs w:val="24"/>
        </w:rPr>
        <w:t xml:space="preserve"> % para </w:t>
      </w:r>
      <w:r w:rsidR="008D3BDC" w:rsidRPr="00DD6966">
        <w:rPr>
          <w:szCs w:val="24"/>
        </w:rPr>
        <w:t>las personas</w:t>
      </w:r>
      <w:r w:rsidRPr="00DD6966">
        <w:rPr>
          <w:szCs w:val="24"/>
        </w:rPr>
        <w:t xml:space="preserve"> con sistema operado por ASADA.</w:t>
      </w:r>
      <w:r w:rsidR="008D3BDC" w:rsidRPr="00DD6966">
        <w:rPr>
          <w:szCs w:val="24"/>
        </w:rPr>
        <w:t xml:space="preserve"> Tan solo</w:t>
      </w:r>
      <w:r w:rsidRPr="00DD6966">
        <w:rPr>
          <w:szCs w:val="24"/>
        </w:rPr>
        <w:t xml:space="preserve"> </w:t>
      </w:r>
      <w:r w:rsidR="002422FE" w:rsidRPr="00DD6966">
        <w:rPr>
          <w:szCs w:val="24"/>
        </w:rPr>
        <w:t>2</w:t>
      </w:r>
      <w:r w:rsidRPr="00DD6966">
        <w:rPr>
          <w:szCs w:val="24"/>
        </w:rPr>
        <w:t xml:space="preserve"> % de estos últimos calificaron </w:t>
      </w:r>
      <w:r w:rsidR="002422FE" w:rsidRPr="00DD6966">
        <w:rPr>
          <w:szCs w:val="24"/>
        </w:rPr>
        <w:t>la calidad del agua como</w:t>
      </w:r>
      <w:r w:rsidRPr="00DD6966">
        <w:rPr>
          <w:szCs w:val="24"/>
        </w:rPr>
        <w:t xml:space="preserve"> “mal</w:t>
      </w:r>
      <w:r w:rsidR="002422FE" w:rsidRPr="00DD6966">
        <w:rPr>
          <w:szCs w:val="24"/>
        </w:rPr>
        <w:t>a</w:t>
      </w:r>
      <w:r w:rsidRPr="00DD6966">
        <w:rPr>
          <w:szCs w:val="24"/>
        </w:rPr>
        <w:t>” o “muy mal</w:t>
      </w:r>
      <w:r w:rsidR="002422FE" w:rsidRPr="00DD6966">
        <w:rPr>
          <w:szCs w:val="24"/>
        </w:rPr>
        <w:t>a</w:t>
      </w:r>
      <w:r w:rsidRPr="00DD6966">
        <w:rPr>
          <w:szCs w:val="24"/>
        </w:rPr>
        <w:t>”</w:t>
      </w:r>
      <w:r w:rsidR="002422FE" w:rsidRPr="00DD6966">
        <w:rPr>
          <w:szCs w:val="24"/>
        </w:rPr>
        <w:t>, por</w:t>
      </w:r>
      <w:r w:rsidR="008D3BDC" w:rsidRPr="00DD6966">
        <w:rPr>
          <w:szCs w:val="24"/>
        </w:rPr>
        <w:t xml:space="preserve">centaje que fue de 5 % para la población </w:t>
      </w:r>
      <w:r w:rsidRPr="00DD6966">
        <w:rPr>
          <w:szCs w:val="24"/>
        </w:rPr>
        <w:t xml:space="preserve">con servicio municipal. </w:t>
      </w:r>
      <w:r w:rsidR="002422FE" w:rsidRPr="00DD6966">
        <w:rPr>
          <w:szCs w:val="24"/>
        </w:rPr>
        <w:t>Como en el caso anterior, p</w:t>
      </w:r>
      <w:r w:rsidRPr="00DD6966">
        <w:rPr>
          <w:szCs w:val="24"/>
        </w:rPr>
        <w:t>udo determinarse que existe dependencia estadística, al 95</w:t>
      </w:r>
      <w:r w:rsidR="00F60BC4">
        <w:rPr>
          <w:szCs w:val="24"/>
        </w:rPr>
        <w:t xml:space="preserve"> </w:t>
      </w:r>
      <w:r w:rsidRPr="00DD6966">
        <w:rPr>
          <w:szCs w:val="24"/>
        </w:rPr>
        <w:t>% de confiabilidad, entre el nivel de satisfacción</w:t>
      </w:r>
      <w:r w:rsidR="00A8083D" w:rsidRPr="00DD6966">
        <w:rPr>
          <w:szCs w:val="24"/>
        </w:rPr>
        <w:t xml:space="preserve"> respecto a la calidad del agua</w:t>
      </w:r>
      <w:r w:rsidRPr="00DD6966">
        <w:rPr>
          <w:szCs w:val="24"/>
        </w:rPr>
        <w:t xml:space="preserve"> y el tipo de administrador (</w:t>
      </w:r>
      <w:r w:rsidRPr="00DD6966">
        <w:rPr>
          <w:b/>
          <w:szCs w:val="24"/>
        </w:rPr>
        <w:t>Apéndice 4</w:t>
      </w:r>
      <w:r w:rsidRPr="00DD6966">
        <w:rPr>
          <w:szCs w:val="24"/>
        </w:rPr>
        <w:t>).</w:t>
      </w:r>
      <w:r w:rsidR="002422FE" w:rsidRPr="00DD6966">
        <w:rPr>
          <w:szCs w:val="24"/>
        </w:rPr>
        <w:t xml:space="preserve"> En ese sentido, el mismo patrón de calificar menos negativamente la calidad del agua recibida que el servicio integral del administrador</w:t>
      </w:r>
      <w:r w:rsidR="00A8083D" w:rsidRPr="00DD6966">
        <w:rPr>
          <w:szCs w:val="24"/>
        </w:rPr>
        <w:t>,</w:t>
      </w:r>
      <w:r w:rsidR="002422FE" w:rsidRPr="00DD6966">
        <w:rPr>
          <w:szCs w:val="24"/>
        </w:rPr>
        <w:t xml:space="preserve"> analizado en la </w:t>
      </w:r>
      <w:r w:rsidR="002422FE" w:rsidRPr="00DD6966">
        <w:rPr>
          <w:b/>
          <w:szCs w:val="24"/>
        </w:rPr>
        <w:t>Figura 2</w:t>
      </w:r>
      <w:r w:rsidR="002422FE" w:rsidRPr="00DD6966">
        <w:rPr>
          <w:szCs w:val="24"/>
        </w:rPr>
        <w:t xml:space="preserve">, se presenta para </w:t>
      </w:r>
      <w:r w:rsidR="00A8083D" w:rsidRPr="00DD6966">
        <w:rPr>
          <w:szCs w:val="24"/>
        </w:rPr>
        <w:t>este caso</w:t>
      </w:r>
      <w:r w:rsidR="002422FE" w:rsidRPr="00DD6966">
        <w:rPr>
          <w:szCs w:val="24"/>
        </w:rPr>
        <w:t xml:space="preserve">. </w:t>
      </w:r>
    </w:p>
    <w:p w14:paraId="05C25D8E" w14:textId="77777777" w:rsidR="008D6B37" w:rsidRPr="00DD6966" w:rsidRDefault="008D6B37" w:rsidP="00E71527">
      <w:pPr>
        <w:spacing w:after="0"/>
        <w:jc w:val="both"/>
        <w:rPr>
          <w:szCs w:val="24"/>
        </w:rPr>
      </w:pPr>
    </w:p>
    <w:p w14:paraId="3A6D4A81" w14:textId="08AC218F" w:rsidR="007E63C8" w:rsidRPr="00DD6966" w:rsidRDefault="00BC07B4" w:rsidP="00E71527">
      <w:pPr>
        <w:spacing w:after="0"/>
        <w:jc w:val="both"/>
        <w:rPr>
          <w:szCs w:val="24"/>
        </w:rPr>
      </w:pPr>
      <w:r w:rsidRPr="00DD6966">
        <w:rPr>
          <w:szCs w:val="24"/>
        </w:rPr>
        <w:t>Por otro lado, a</w:t>
      </w:r>
      <w:r w:rsidR="000D2B01" w:rsidRPr="00DD6966">
        <w:rPr>
          <w:szCs w:val="24"/>
        </w:rPr>
        <w:t xml:space="preserve">l </w:t>
      </w:r>
      <w:r w:rsidR="00F42116" w:rsidRPr="00DD6966">
        <w:rPr>
          <w:szCs w:val="24"/>
        </w:rPr>
        <w:t>evaluar</w:t>
      </w:r>
      <w:r w:rsidR="000D2B01" w:rsidRPr="00DD6966">
        <w:rPr>
          <w:szCs w:val="24"/>
        </w:rPr>
        <w:t xml:space="preserve"> los problemas más comunes en el s</w:t>
      </w:r>
      <w:r w:rsidR="00EA3951" w:rsidRPr="00DD6966">
        <w:rPr>
          <w:szCs w:val="24"/>
        </w:rPr>
        <w:t>ervicio de agua potable que las personas</w:t>
      </w:r>
      <w:r w:rsidR="000D2B01" w:rsidRPr="00DD6966">
        <w:rPr>
          <w:szCs w:val="24"/>
        </w:rPr>
        <w:t xml:space="preserve"> percibieron en sus comunidades, se </w:t>
      </w:r>
      <w:r w:rsidR="007111D5" w:rsidRPr="00DD6966">
        <w:rPr>
          <w:szCs w:val="24"/>
        </w:rPr>
        <w:t>levantó</w:t>
      </w:r>
      <w:r w:rsidR="00F60BC4">
        <w:rPr>
          <w:szCs w:val="24"/>
        </w:rPr>
        <w:t>,</w:t>
      </w:r>
      <w:r w:rsidR="007111D5" w:rsidRPr="00DD6966">
        <w:rPr>
          <w:szCs w:val="24"/>
        </w:rPr>
        <w:t xml:space="preserve"> en campo</w:t>
      </w:r>
      <w:r w:rsidR="00F60BC4">
        <w:rPr>
          <w:szCs w:val="24"/>
        </w:rPr>
        <w:t>,</w:t>
      </w:r>
      <w:r w:rsidR="007111D5" w:rsidRPr="00DD6966">
        <w:rPr>
          <w:szCs w:val="24"/>
        </w:rPr>
        <w:t xml:space="preserve"> como parte de la encuesta</w:t>
      </w:r>
      <w:r w:rsidR="00F60BC4">
        <w:rPr>
          <w:szCs w:val="24"/>
        </w:rPr>
        <w:t>,</w:t>
      </w:r>
      <w:r w:rsidR="007111D5" w:rsidRPr="00DD6966">
        <w:rPr>
          <w:szCs w:val="24"/>
        </w:rPr>
        <w:t xml:space="preserve"> </w:t>
      </w:r>
      <w:r w:rsidR="00EF1524" w:rsidRPr="00DD6966">
        <w:rPr>
          <w:szCs w:val="24"/>
        </w:rPr>
        <w:t>el número de horas diarias que reciben agua en su casa</w:t>
      </w:r>
      <w:r w:rsidR="000D2B01" w:rsidRPr="00DD6966">
        <w:rPr>
          <w:szCs w:val="24"/>
        </w:rPr>
        <w:t xml:space="preserve"> (</w:t>
      </w:r>
      <w:r w:rsidR="000D2B01" w:rsidRPr="00DD6966">
        <w:rPr>
          <w:szCs w:val="24"/>
        </w:rPr>
        <w:fldChar w:fldCharType="begin"/>
      </w:r>
      <w:r w:rsidR="000D2B01" w:rsidRPr="00DD6966">
        <w:rPr>
          <w:b/>
          <w:szCs w:val="24"/>
        </w:rPr>
        <w:instrText xml:space="preserve"> REF _Ref14167661 \h  \* MERGEFORMAT </w:instrText>
      </w:r>
      <w:r w:rsidR="000D2B01" w:rsidRPr="00DD6966">
        <w:rPr>
          <w:szCs w:val="24"/>
        </w:rPr>
      </w:r>
      <w:r w:rsidR="000D2B01" w:rsidRPr="00DD6966">
        <w:rPr>
          <w:b/>
          <w:szCs w:val="24"/>
        </w:rPr>
        <w:fldChar w:fldCharType="separate"/>
      </w:r>
      <w:r w:rsidR="009F5136" w:rsidRPr="00DD6966">
        <w:rPr>
          <w:b/>
          <w:bCs/>
          <w:szCs w:val="24"/>
        </w:rPr>
        <w:t xml:space="preserve">Figura </w:t>
      </w:r>
      <w:r w:rsidR="009F5136" w:rsidRPr="00DD6966">
        <w:rPr>
          <w:b/>
          <w:bCs/>
          <w:noProof/>
          <w:szCs w:val="24"/>
        </w:rPr>
        <w:t>5</w:t>
      </w:r>
      <w:r w:rsidR="000D2B01" w:rsidRPr="00DD6966">
        <w:rPr>
          <w:szCs w:val="24"/>
        </w:rPr>
        <w:fldChar w:fldCharType="end"/>
      </w:r>
      <w:r w:rsidR="000D2B01" w:rsidRPr="00DD6966">
        <w:rPr>
          <w:szCs w:val="24"/>
        </w:rPr>
        <w:t xml:space="preserve">) y </w:t>
      </w:r>
      <w:r w:rsidR="00EF1524" w:rsidRPr="00DD6966">
        <w:rPr>
          <w:szCs w:val="24"/>
        </w:rPr>
        <w:t xml:space="preserve">se consultó a la población acerca de la ocurrencia de </w:t>
      </w:r>
      <w:r w:rsidR="000D2B01" w:rsidRPr="00DD6966">
        <w:rPr>
          <w:szCs w:val="24"/>
        </w:rPr>
        <w:t xml:space="preserve">otros problemas asociados al líquido que reciben en sus </w:t>
      </w:r>
      <w:r w:rsidRPr="00DD6966">
        <w:rPr>
          <w:szCs w:val="24"/>
        </w:rPr>
        <w:t>comunidades</w:t>
      </w:r>
      <w:r w:rsidR="000D2B01" w:rsidRPr="00DD6966">
        <w:rPr>
          <w:szCs w:val="24"/>
        </w:rPr>
        <w:t xml:space="preserve"> (</w:t>
      </w:r>
      <w:r w:rsidR="000D2B01" w:rsidRPr="00DD6966">
        <w:rPr>
          <w:szCs w:val="24"/>
        </w:rPr>
        <w:fldChar w:fldCharType="begin"/>
      </w:r>
      <w:r w:rsidR="000D2B01" w:rsidRPr="00DD6966">
        <w:rPr>
          <w:b/>
          <w:szCs w:val="24"/>
        </w:rPr>
        <w:instrText xml:space="preserve"> REF _Ref14167715 \h  \* MERGEFORMAT </w:instrText>
      </w:r>
      <w:r w:rsidR="000D2B01" w:rsidRPr="00DD6966">
        <w:rPr>
          <w:szCs w:val="24"/>
        </w:rPr>
      </w:r>
      <w:r w:rsidR="000D2B01" w:rsidRPr="00DD6966">
        <w:rPr>
          <w:b/>
          <w:szCs w:val="24"/>
        </w:rPr>
        <w:fldChar w:fldCharType="separate"/>
      </w:r>
      <w:r w:rsidR="009F5136" w:rsidRPr="00DD6966">
        <w:rPr>
          <w:b/>
          <w:bCs/>
          <w:szCs w:val="24"/>
        </w:rPr>
        <w:t>Figura 6</w:t>
      </w:r>
      <w:r w:rsidR="000D2B01" w:rsidRPr="00DD6966">
        <w:rPr>
          <w:szCs w:val="24"/>
        </w:rPr>
        <w:fldChar w:fldCharType="end"/>
      </w:r>
      <w:r w:rsidR="000D2B01" w:rsidRPr="00DD6966">
        <w:rPr>
          <w:szCs w:val="24"/>
        </w:rPr>
        <w:t>).</w:t>
      </w:r>
      <w:r w:rsidR="00735485" w:rsidRPr="00DD6966">
        <w:rPr>
          <w:szCs w:val="24"/>
        </w:rPr>
        <w:t xml:space="preserve"> </w:t>
      </w:r>
      <w:r w:rsidR="00F42116" w:rsidRPr="00DD6966">
        <w:rPr>
          <w:szCs w:val="24"/>
        </w:rPr>
        <w:t xml:space="preserve">En relación </w:t>
      </w:r>
      <w:r w:rsidR="00F60BC4">
        <w:rPr>
          <w:szCs w:val="24"/>
        </w:rPr>
        <w:t>con</w:t>
      </w:r>
      <w:r w:rsidR="00F42116" w:rsidRPr="00DD6966">
        <w:rPr>
          <w:szCs w:val="24"/>
        </w:rPr>
        <w:t xml:space="preserve"> la </w:t>
      </w:r>
      <w:r w:rsidR="00F42116" w:rsidRPr="00DD6966">
        <w:rPr>
          <w:szCs w:val="24"/>
        </w:rPr>
        <w:fldChar w:fldCharType="begin"/>
      </w:r>
      <w:r w:rsidR="00F42116" w:rsidRPr="00DD6966">
        <w:rPr>
          <w:b/>
          <w:szCs w:val="24"/>
        </w:rPr>
        <w:instrText xml:space="preserve"> REF _Ref14167661 \h  \* MERGEFORMAT </w:instrText>
      </w:r>
      <w:r w:rsidR="00F42116" w:rsidRPr="00DD6966">
        <w:rPr>
          <w:szCs w:val="24"/>
        </w:rPr>
      </w:r>
      <w:r w:rsidR="00F42116" w:rsidRPr="00DD6966">
        <w:rPr>
          <w:b/>
          <w:szCs w:val="24"/>
        </w:rPr>
        <w:fldChar w:fldCharType="separate"/>
      </w:r>
      <w:r w:rsidR="009F5136" w:rsidRPr="00DD6966">
        <w:rPr>
          <w:b/>
          <w:bCs/>
          <w:szCs w:val="24"/>
        </w:rPr>
        <w:t>Figura 5</w:t>
      </w:r>
      <w:r w:rsidR="00F42116" w:rsidRPr="00DD6966">
        <w:rPr>
          <w:szCs w:val="24"/>
        </w:rPr>
        <w:fldChar w:fldCharType="end"/>
      </w:r>
      <w:r w:rsidR="00F42116" w:rsidRPr="00DD6966">
        <w:rPr>
          <w:szCs w:val="24"/>
        </w:rPr>
        <w:t>, llama la atención que el patrón es muy similar al de la</w:t>
      </w:r>
      <w:r w:rsidRPr="00DD6966">
        <w:rPr>
          <w:szCs w:val="24"/>
        </w:rPr>
        <w:t>s</w:t>
      </w:r>
      <w:r w:rsidR="00F42116" w:rsidRPr="00DD6966">
        <w:rPr>
          <w:szCs w:val="24"/>
        </w:rPr>
        <w:t xml:space="preserve"> </w:t>
      </w:r>
      <w:r w:rsidR="00F42116" w:rsidRPr="00DD6966">
        <w:rPr>
          <w:szCs w:val="24"/>
        </w:rPr>
        <w:fldChar w:fldCharType="begin"/>
      </w:r>
      <w:r w:rsidR="00F42116" w:rsidRPr="00DD6966">
        <w:rPr>
          <w:b/>
          <w:szCs w:val="24"/>
        </w:rPr>
        <w:instrText xml:space="preserve"> REF _Ref14115399 \h  \* MERGEFORMAT </w:instrText>
      </w:r>
      <w:r w:rsidR="00F42116" w:rsidRPr="00DD6966">
        <w:rPr>
          <w:szCs w:val="24"/>
        </w:rPr>
      </w:r>
      <w:r w:rsidR="00F42116" w:rsidRPr="00DD6966">
        <w:rPr>
          <w:b/>
          <w:szCs w:val="24"/>
        </w:rPr>
        <w:fldChar w:fldCharType="separate"/>
      </w:r>
      <w:r w:rsidR="009F5136" w:rsidRPr="00DD6966">
        <w:rPr>
          <w:b/>
          <w:bCs/>
          <w:szCs w:val="24"/>
        </w:rPr>
        <w:t>Figura 3</w:t>
      </w:r>
      <w:r w:rsidR="00F42116" w:rsidRPr="00DD6966">
        <w:rPr>
          <w:szCs w:val="24"/>
        </w:rPr>
        <w:fldChar w:fldCharType="end"/>
      </w:r>
      <w:r w:rsidR="00AA1ED3" w:rsidRPr="00DD6966">
        <w:rPr>
          <w:szCs w:val="24"/>
        </w:rPr>
        <w:t xml:space="preserve"> y </w:t>
      </w:r>
      <w:r w:rsidR="00AA1ED3" w:rsidRPr="00DD6966">
        <w:rPr>
          <w:szCs w:val="24"/>
        </w:rPr>
        <w:fldChar w:fldCharType="begin"/>
      </w:r>
      <w:r w:rsidR="00AA1ED3" w:rsidRPr="00DD6966">
        <w:rPr>
          <w:szCs w:val="24"/>
        </w:rPr>
        <w:instrText xml:space="preserve"> REF _Ref14449296 \h </w:instrText>
      </w:r>
      <w:r w:rsidR="001D509B" w:rsidRPr="00DD6966">
        <w:rPr>
          <w:szCs w:val="24"/>
        </w:rPr>
        <w:instrText xml:space="preserve"> \* MERGEFORMAT </w:instrText>
      </w:r>
      <w:r w:rsidR="00AA1ED3" w:rsidRPr="00DD6966">
        <w:rPr>
          <w:szCs w:val="24"/>
        </w:rPr>
      </w:r>
      <w:r w:rsidR="00AA1ED3" w:rsidRPr="00DD6966">
        <w:rPr>
          <w:szCs w:val="24"/>
        </w:rPr>
        <w:fldChar w:fldCharType="separate"/>
      </w:r>
      <w:r w:rsidR="009F5136" w:rsidRPr="00DD6966">
        <w:rPr>
          <w:b/>
          <w:bCs/>
          <w:szCs w:val="24"/>
        </w:rPr>
        <w:t xml:space="preserve">Figura </w:t>
      </w:r>
      <w:r w:rsidR="009F5136" w:rsidRPr="00DD6966">
        <w:rPr>
          <w:b/>
          <w:bCs/>
          <w:noProof/>
          <w:szCs w:val="24"/>
        </w:rPr>
        <w:t>4</w:t>
      </w:r>
      <w:r w:rsidR="00AA1ED3" w:rsidRPr="00DD6966">
        <w:rPr>
          <w:szCs w:val="24"/>
        </w:rPr>
        <w:fldChar w:fldCharType="end"/>
      </w:r>
      <w:r w:rsidR="00F60BC4">
        <w:rPr>
          <w:szCs w:val="24"/>
        </w:rPr>
        <w:t>. El</w:t>
      </w:r>
      <w:r w:rsidR="00F42116" w:rsidRPr="00DD6966">
        <w:rPr>
          <w:szCs w:val="24"/>
        </w:rPr>
        <w:t xml:space="preserve"> cantón de Oreamuno presentó más problemas en la continuidad del servicio de agua potable. Esto </w:t>
      </w:r>
      <w:r w:rsidR="009E2687" w:rsidRPr="00DD6966">
        <w:rPr>
          <w:szCs w:val="24"/>
        </w:rPr>
        <w:t>concuerda</w:t>
      </w:r>
      <w:r w:rsidR="00F42116" w:rsidRPr="00DD6966">
        <w:rPr>
          <w:szCs w:val="24"/>
        </w:rPr>
        <w:t xml:space="preserve"> con lo indicado por el encargado ambiental del cantón, quien comentó en las entrevistas que se tenían problemas con el agua en algunos puntos del cantón. Nuevamente, el distrito de San Rafael de Oreamuno presentó los peores indicadores de continuidad del servicio (</w:t>
      </w:r>
      <w:r w:rsidR="00C46AE5" w:rsidRPr="00DD6966">
        <w:rPr>
          <w:b/>
          <w:szCs w:val="24"/>
        </w:rPr>
        <w:t>Apéndice 3</w:t>
      </w:r>
      <w:r w:rsidR="00F42116" w:rsidRPr="00DD6966">
        <w:rPr>
          <w:szCs w:val="24"/>
        </w:rPr>
        <w:t>) con aproximadamente un 78</w:t>
      </w:r>
      <w:r w:rsidR="009E2687" w:rsidRPr="00DD6966">
        <w:rPr>
          <w:szCs w:val="24"/>
        </w:rPr>
        <w:t xml:space="preserve"> </w:t>
      </w:r>
      <w:r w:rsidR="00F42116" w:rsidRPr="00DD6966">
        <w:rPr>
          <w:szCs w:val="24"/>
        </w:rPr>
        <w:t xml:space="preserve">% de la población </w:t>
      </w:r>
      <w:r w:rsidR="00F42116" w:rsidRPr="00DD6966">
        <w:rPr>
          <w:szCs w:val="24"/>
        </w:rPr>
        <w:lastRenderedPageBreak/>
        <w:t xml:space="preserve">encuestada </w:t>
      </w:r>
      <w:r w:rsidR="00F60BC4">
        <w:rPr>
          <w:szCs w:val="24"/>
        </w:rPr>
        <w:t xml:space="preserve">que </w:t>
      </w:r>
      <w:r w:rsidR="00F42116" w:rsidRPr="00DD6966">
        <w:rPr>
          <w:szCs w:val="24"/>
        </w:rPr>
        <w:t>respond</w:t>
      </w:r>
      <w:r w:rsidR="00F60BC4">
        <w:rPr>
          <w:szCs w:val="24"/>
        </w:rPr>
        <w:t>ió</w:t>
      </w:r>
      <w:r w:rsidR="00F42116" w:rsidRPr="00DD6966">
        <w:rPr>
          <w:szCs w:val="24"/>
        </w:rPr>
        <w:t xml:space="preserve"> que reciben el servicio por menos de 12 horas diarias. </w:t>
      </w:r>
      <w:r w:rsidR="00B41289" w:rsidRPr="00DD6966">
        <w:rPr>
          <w:szCs w:val="24"/>
        </w:rPr>
        <w:t xml:space="preserve">En el cantón de Alvarado la mayoría de </w:t>
      </w:r>
      <w:r w:rsidR="00EA3951" w:rsidRPr="00DD6966">
        <w:rPr>
          <w:szCs w:val="24"/>
        </w:rPr>
        <w:t>personas</w:t>
      </w:r>
      <w:r w:rsidR="00B41289" w:rsidRPr="00DD6966">
        <w:rPr>
          <w:szCs w:val="24"/>
        </w:rPr>
        <w:t xml:space="preserve"> que no reciben continuidad de 24 horas en su servicio del agua pertenecieron al distrito de </w:t>
      </w:r>
      <w:proofErr w:type="spellStart"/>
      <w:r w:rsidR="00B41289" w:rsidRPr="00DD6966">
        <w:rPr>
          <w:szCs w:val="24"/>
        </w:rPr>
        <w:t>Capellades</w:t>
      </w:r>
      <w:proofErr w:type="spellEnd"/>
      <w:r w:rsidR="00B41289" w:rsidRPr="00DD6966">
        <w:rPr>
          <w:szCs w:val="24"/>
        </w:rPr>
        <w:t>, en donde 36</w:t>
      </w:r>
      <w:r w:rsidR="009E2687" w:rsidRPr="00DD6966">
        <w:rPr>
          <w:szCs w:val="24"/>
        </w:rPr>
        <w:t xml:space="preserve"> </w:t>
      </w:r>
      <w:r w:rsidR="00B41289" w:rsidRPr="00DD6966">
        <w:rPr>
          <w:szCs w:val="24"/>
        </w:rPr>
        <w:t xml:space="preserve">% de la muestra respondió que no recibe el servicio durante </w:t>
      </w:r>
      <w:r w:rsidR="00E76AC1" w:rsidRPr="00DD6966">
        <w:rPr>
          <w:szCs w:val="24"/>
        </w:rPr>
        <w:t>alguna fracción del día</w:t>
      </w:r>
      <w:r w:rsidR="00B41289" w:rsidRPr="00DD6966">
        <w:rPr>
          <w:szCs w:val="24"/>
        </w:rPr>
        <w:t>. En Turrialba y en Jiménez</w:t>
      </w:r>
      <w:r w:rsidR="00F60BC4">
        <w:rPr>
          <w:szCs w:val="24"/>
        </w:rPr>
        <w:t>,</w:t>
      </w:r>
      <w:r w:rsidR="00B41289" w:rsidRPr="00DD6966">
        <w:rPr>
          <w:szCs w:val="24"/>
        </w:rPr>
        <w:t xml:space="preserve"> la parte de la población que respondió que no recibe el servicio de agua </w:t>
      </w:r>
      <w:r w:rsidR="00E76AC1" w:rsidRPr="00DD6966">
        <w:rPr>
          <w:szCs w:val="24"/>
        </w:rPr>
        <w:t>durante alguna fracción d</w:t>
      </w:r>
      <w:r w:rsidR="00B41289" w:rsidRPr="00DD6966">
        <w:rPr>
          <w:szCs w:val="24"/>
        </w:rPr>
        <w:t>el día fue de únicamente 4</w:t>
      </w:r>
      <w:r w:rsidR="009E2687" w:rsidRPr="00DD6966">
        <w:rPr>
          <w:szCs w:val="24"/>
        </w:rPr>
        <w:t>.</w:t>
      </w:r>
      <w:r w:rsidR="00B41289" w:rsidRPr="00DD6966">
        <w:rPr>
          <w:szCs w:val="24"/>
        </w:rPr>
        <w:t>0 y 1</w:t>
      </w:r>
      <w:r w:rsidR="009E2687" w:rsidRPr="00DD6966">
        <w:rPr>
          <w:szCs w:val="24"/>
        </w:rPr>
        <w:t>.</w:t>
      </w:r>
      <w:r w:rsidR="00B41289" w:rsidRPr="00DD6966">
        <w:rPr>
          <w:szCs w:val="24"/>
        </w:rPr>
        <w:t>7</w:t>
      </w:r>
      <w:r w:rsidR="009E2687" w:rsidRPr="00DD6966">
        <w:rPr>
          <w:szCs w:val="24"/>
        </w:rPr>
        <w:t xml:space="preserve"> </w:t>
      </w:r>
      <w:r w:rsidR="00B41289" w:rsidRPr="00DD6966">
        <w:rPr>
          <w:szCs w:val="24"/>
        </w:rPr>
        <w:t xml:space="preserve">%, respectivamente. </w:t>
      </w:r>
      <w:r w:rsidR="00F05C54" w:rsidRPr="00DD6966">
        <w:rPr>
          <w:szCs w:val="24"/>
        </w:rPr>
        <w:t xml:space="preserve">Estos resultados son congruentes con los </w:t>
      </w:r>
      <w:r w:rsidRPr="00DD6966">
        <w:rPr>
          <w:szCs w:val="24"/>
        </w:rPr>
        <w:t>que la Contraloría General de la República h</w:t>
      </w:r>
      <w:r w:rsidR="00F05C54" w:rsidRPr="00DD6966">
        <w:rPr>
          <w:szCs w:val="24"/>
        </w:rPr>
        <w:t>alló</w:t>
      </w:r>
      <w:r w:rsidR="007E63C8" w:rsidRPr="00DD6966">
        <w:rPr>
          <w:szCs w:val="24"/>
        </w:rPr>
        <w:t xml:space="preserve"> en otro estudio (</w:t>
      </w:r>
      <w:r w:rsidR="007E63C8" w:rsidRPr="00DD6966">
        <w:rPr>
          <w:color w:val="365F91" w:themeColor="accent1" w:themeShade="BF"/>
          <w:szCs w:val="24"/>
        </w:rPr>
        <w:t>CGR, 2016</w:t>
      </w:r>
      <w:r w:rsidR="007E63C8" w:rsidRPr="00DD6966">
        <w:rPr>
          <w:szCs w:val="24"/>
        </w:rPr>
        <w:t xml:space="preserve">), según el </w:t>
      </w:r>
      <w:r w:rsidR="009A391E" w:rsidRPr="00DD6966">
        <w:rPr>
          <w:szCs w:val="24"/>
        </w:rPr>
        <w:t>cual,</w:t>
      </w:r>
      <w:r w:rsidR="007E63C8" w:rsidRPr="00DD6966">
        <w:rPr>
          <w:szCs w:val="24"/>
        </w:rPr>
        <w:t xml:space="preserve"> en una</w:t>
      </w:r>
      <w:r w:rsidR="00F05C54" w:rsidRPr="00DD6966">
        <w:rPr>
          <w:szCs w:val="24"/>
        </w:rPr>
        <w:t xml:space="preserve"> parte importante de Oreamuno, </w:t>
      </w:r>
      <w:r w:rsidR="00E76AC1" w:rsidRPr="00DD6966">
        <w:rPr>
          <w:szCs w:val="24"/>
        </w:rPr>
        <w:t>específicamente</w:t>
      </w:r>
      <w:r w:rsidR="00F05C54" w:rsidRPr="00DD6966">
        <w:rPr>
          <w:szCs w:val="24"/>
        </w:rPr>
        <w:t xml:space="preserve"> en el distrito de San Rafael, existe un faltante de agua para más de 13 000 </w:t>
      </w:r>
      <w:r w:rsidR="00EA3951" w:rsidRPr="00DD6966">
        <w:rPr>
          <w:szCs w:val="24"/>
        </w:rPr>
        <w:t>personas</w:t>
      </w:r>
      <w:r w:rsidR="00F05C54" w:rsidRPr="00DD6966">
        <w:rPr>
          <w:szCs w:val="24"/>
        </w:rPr>
        <w:t>, desde hace más de 20 años.</w:t>
      </w:r>
    </w:p>
    <w:p w14:paraId="0C8BCEB4" w14:textId="77777777" w:rsidR="008D6B37" w:rsidRPr="00DD6966" w:rsidRDefault="008D6B37" w:rsidP="00E71527">
      <w:pPr>
        <w:spacing w:after="0"/>
        <w:jc w:val="both"/>
        <w:rPr>
          <w:szCs w:val="24"/>
        </w:rPr>
      </w:pPr>
    </w:p>
    <w:p w14:paraId="6A85991E" w14:textId="23EB6300" w:rsidR="008D6B37" w:rsidRPr="00DD6966" w:rsidRDefault="008D6B37" w:rsidP="00E71527">
      <w:pPr>
        <w:spacing w:after="0"/>
        <w:jc w:val="center"/>
        <w:rPr>
          <w:szCs w:val="24"/>
        </w:rPr>
      </w:pPr>
      <w:r w:rsidRPr="00DD6966">
        <w:rPr>
          <w:noProof/>
          <w:szCs w:val="24"/>
          <w:lang w:val="es-ES" w:eastAsia="es-ES"/>
        </w:rPr>
        <w:drawing>
          <wp:inline distT="0" distB="0" distL="0" distR="0" wp14:anchorId="1841CB26" wp14:editId="614D9C73">
            <wp:extent cx="4958862" cy="2822331"/>
            <wp:effectExtent l="0" t="0" r="13335" b="16510"/>
            <wp:docPr id="3" name="Gráfico 3">
              <a:extLst xmlns:a="http://schemas.openxmlformats.org/drawingml/2006/main">
                <a:ext uri="{FF2B5EF4-FFF2-40B4-BE49-F238E27FC236}">
                  <a16:creationId xmlns:a16="http://schemas.microsoft.com/office/drawing/2014/main" id="{5A582B0C-5F49-4C51-8E4A-24C72DC6D4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FE3D8D" w14:textId="3C5CEF42" w:rsidR="00FD6C7A" w:rsidRPr="00E71527" w:rsidRDefault="00FD6C7A" w:rsidP="00E71527">
      <w:pPr>
        <w:pStyle w:val="Descripcin"/>
        <w:spacing w:after="0"/>
        <w:rPr>
          <w:i w:val="0"/>
          <w:iCs w:val="0"/>
          <w:color w:val="auto"/>
          <w:sz w:val="24"/>
          <w:szCs w:val="24"/>
        </w:rPr>
      </w:pPr>
      <w:bookmarkStart w:id="9" w:name="_Ref14167661"/>
      <w:r w:rsidRPr="00E71527">
        <w:rPr>
          <w:b/>
          <w:i w:val="0"/>
          <w:iCs w:val="0"/>
          <w:color w:val="auto"/>
          <w:sz w:val="24"/>
          <w:szCs w:val="24"/>
        </w:rPr>
        <w:t xml:space="preserve">Figura </w:t>
      </w:r>
      <w:r w:rsidRPr="00E71527">
        <w:rPr>
          <w:b/>
          <w:i w:val="0"/>
          <w:iCs w:val="0"/>
          <w:color w:val="auto"/>
          <w:sz w:val="24"/>
          <w:szCs w:val="24"/>
        </w:rPr>
        <w:fldChar w:fldCharType="begin"/>
      </w:r>
      <w:r w:rsidRPr="00E71527">
        <w:rPr>
          <w:b/>
          <w:i w:val="0"/>
          <w:iCs w:val="0"/>
          <w:color w:val="auto"/>
          <w:sz w:val="24"/>
          <w:szCs w:val="24"/>
        </w:rPr>
        <w:instrText xml:space="preserve"> SEQ Figura \* ARABIC </w:instrText>
      </w:r>
      <w:r w:rsidRPr="00E71527">
        <w:rPr>
          <w:b/>
          <w:i w:val="0"/>
          <w:iCs w:val="0"/>
          <w:color w:val="auto"/>
          <w:sz w:val="24"/>
          <w:szCs w:val="24"/>
        </w:rPr>
        <w:fldChar w:fldCharType="separate"/>
      </w:r>
      <w:r w:rsidR="009F5136" w:rsidRPr="00E71527">
        <w:rPr>
          <w:b/>
          <w:i w:val="0"/>
          <w:iCs w:val="0"/>
          <w:noProof/>
          <w:color w:val="auto"/>
          <w:sz w:val="24"/>
          <w:szCs w:val="24"/>
        </w:rPr>
        <w:t>5</w:t>
      </w:r>
      <w:r w:rsidRPr="00E71527">
        <w:rPr>
          <w:b/>
          <w:i w:val="0"/>
          <w:iCs w:val="0"/>
          <w:color w:val="auto"/>
          <w:sz w:val="24"/>
          <w:szCs w:val="24"/>
        </w:rPr>
        <w:fldChar w:fldCharType="end"/>
      </w:r>
      <w:bookmarkEnd w:id="9"/>
      <w:r w:rsidRPr="00E71527">
        <w:rPr>
          <w:b/>
          <w:i w:val="0"/>
          <w:iCs w:val="0"/>
          <w:color w:val="auto"/>
          <w:sz w:val="24"/>
          <w:szCs w:val="24"/>
        </w:rPr>
        <w:t>.</w:t>
      </w:r>
      <w:r w:rsidRPr="00E71527">
        <w:rPr>
          <w:i w:val="0"/>
          <w:iCs w:val="0"/>
          <w:color w:val="auto"/>
          <w:sz w:val="24"/>
          <w:szCs w:val="24"/>
        </w:rPr>
        <w:t xml:space="preserve"> Percepción de </w:t>
      </w:r>
      <w:r w:rsidR="004E61B1" w:rsidRPr="00E71527">
        <w:rPr>
          <w:i w:val="0"/>
          <w:iCs w:val="0"/>
          <w:color w:val="auto"/>
          <w:sz w:val="24"/>
          <w:szCs w:val="24"/>
        </w:rPr>
        <w:t xml:space="preserve">la </w:t>
      </w:r>
      <w:r w:rsidRPr="00E71527">
        <w:rPr>
          <w:i w:val="0"/>
          <w:iCs w:val="0"/>
          <w:color w:val="auto"/>
          <w:sz w:val="24"/>
          <w:szCs w:val="24"/>
        </w:rPr>
        <w:t>continuidad del servicio de agua en su comunidad</w:t>
      </w:r>
      <w:r w:rsidR="00CA21A3" w:rsidRPr="00E71527">
        <w:rPr>
          <w:i w:val="0"/>
          <w:iCs w:val="0"/>
          <w:color w:val="auto"/>
          <w:sz w:val="24"/>
          <w:szCs w:val="24"/>
        </w:rPr>
        <w:t>,</w:t>
      </w:r>
      <w:r w:rsidR="006504DF" w:rsidRPr="00E71527">
        <w:rPr>
          <w:i w:val="0"/>
          <w:iCs w:val="0"/>
          <w:color w:val="auto"/>
          <w:sz w:val="24"/>
          <w:szCs w:val="24"/>
        </w:rPr>
        <w:t xml:space="preserve"> por cantón</w:t>
      </w:r>
      <w:r w:rsidR="003C179B" w:rsidRPr="00E71527">
        <w:rPr>
          <w:i w:val="0"/>
          <w:iCs w:val="0"/>
          <w:color w:val="auto"/>
          <w:sz w:val="24"/>
          <w:szCs w:val="24"/>
        </w:rPr>
        <w:t>.</w:t>
      </w:r>
    </w:p>
    <w:p w14:paraId="2BC4AF3D" w14:textId="400444BA" w:rsidR="001B2574" w:rsidRPr="0059079F" w:rsidRDefault="001B2574" w:rsidP="00E71527">
      <w:pPr>
        <w:spacing w:after="120"/>
        <w:rPr>
          <w:i/>
          <w:iCs/>
          <w:szCs w:val="24"/>
          <w:lang w:val="en-US"/>
        </w:rPr>
      </w:pPr>
      <w:r w:rsidRPr="0059079F">
        <w:rPr>
          <w:b/>
          <w:i/>
          <w:iCs/>
          <w:szCs w:val="24"/>
          <w:lang w:val="en-US"/>
        </w:rPr>
        <w:t xml:space="preserve">Figure 5. </w:t>
      </w:r>
      <w:r w:rsidR="006504DF" w:rsidRPr="0059079F">
        <w:rPr>
          <w:i/>
          <w:iCs/>
          <w:szCs w:val="24"/>
          <w:lang w:val="en-US"/>
        </w:rPr>
        <w:t xml:space="preserve">Perception of the water service continuity in their community by </w:t>
      </w:r>
      <w:r w:rsidR="00253215" w:rsidRPr="0059079F">
        <w:rPr>
          <w:i/>
          <w:iCs/>
          <w:szCs w:val="24"/>
          <w:lang w:val="en-US"/>
        </w:rPr>
        <w:t>county</w:t>
      </w:r>
      <w:r w:rsidR="003C179B" w:rsidRPr="0059079F">
        <w:rPr>
          <w:i/>
          <w:iCs/>
          <w:szCs w:val="24"/>
          <w:lang w:val="en-US"/>
        </w:rPr>
        <w:t>.</w:t>
      </w:r>
    </w:p>
    <w:p w14:paraId="4C2BC028" w14:textId="77777777" w:rsidR="00C44DB1" w:rsidRPr="00DD6966" w:rsidRDefault="00C44DB1" w:rsidP="00E71527">
      <w:pPr>
        <w:spacing w:after="0"/>
        <w:jc w:val="both"/>
        <w:rPr>
          <w:szCs w:val="24"/>
          <w:lang w:val="en-US"/>
        </w:rPr>
      </w:pPr>
    </w:p>
    <w:p w14:paraId="1ABDB5A0" w14:textId="6CAAD0EC" w:rsidR="00441879" w:rsidRPr="00DD6966" w:rsidRDefault="00E76AC1" w:rsidP="00E71527">
      <w:pPr>
        <w:spacing w:after="0"/>
        <w:jc w:val="both"/>
        <w:rPr>
          <w:szCs w:val="24"/>
        </w:rPr>
      </w:pPr>
      <w:r w:rsidRPr="00DD6966">
        <w:rPr>
          <w:szCs w:val="24"/>
        </w:rPr>
        <w:t xml:space="preserve">Al </w:t>
      </w:r>
      <w:r w:rsidR="00EF1524" w:rsidRPr="00DD6966">
        <w:rPr>
          <w:szCs w:val="24"/>
        </w:rPr>
        <w:t>evaluar si existe independencia</w:t>
      </w:r>
      <w:r w:rsidR="000D533B" w:rsidRPr="00DD6966">
        <w:rPr>
          <w:szCs w:val="24"/>
        </w:rPr>
        <w:t xml:space="preserve"> (</w:t>
      </w:r>
      <w:r w:rsidR="009D4938" w:rsidRPr="00DD6966">
        <w:rPr>
          <w:szCs w:val="24"/>
        </w:rPr>
        <w:fldChar w:fldCharType="begin"/>
      </w:r>
      <w:r w:rsidR="009D4938" w:rsidRPr="00DD6966">
        <w:rPr>
          <w:szCs w:val="24"/>
        </w:rPr>
        <w:instrText xml:space="preserve"> REF _Ref15474364 \h  \* MERGEFORMAT </w:instrText>
      </w:r>
      <w:r w:rsidR="009D4938" w:rsidRPr="00DD6966">
        <w:rPr>
          <w:szCs w:val="24"/>
        </w:rPr>
      </w:r>
      <w:r w:rsidR="009D4938" w:rsidRPr="00DD6966">
        <w:rPr>
          <w:szCs w:val="24"/>
        </w:rPr>
        <w:fldChar w:fldCharType="separate"/>
      </w:r>
      <w:r w:rsidR="009D4938" w:rsidRPr="00DD6966">
        <w:rPr>
          <w:b/>
          <w:szCs w:val="24"/>
        </w:rPr>
        <w:t>Apéndice 4</w:t>
      </w:r>
      <w:r w:rsidR="009D4938" w:rsidRPr="00DD6966">
        <w:rPr>
          <w:szCs w:val="24"/>
        </w:rPr>
        <w:fldChar w:fldCharType="end"/>
      </w:r>
      <w:r w:rsidR="009D4938" w:rsidRPr="00DD6966">
        <w:rPr>
          <w:szCs w:val="24"/>
        </w:rPr>
        <w:t>) e</w:t>
      </w:r>
      <w:r w:rsidR="008D6B37" w:rsidRPr="00DD6966">
        <w:rPr>
          <w:szCs w:val="24"/>
        </w:rPr>
        <w:t>ntre</w:t>
      </w:r>
      <w:r w:rsidR="00EF1524" w:rsidRPr="00DD6966">
        <w:rPr>
          <w:szCs w:val="24"/>
        </w:rPr>
        <w:t xml:space="preserve"> </w:t>
      </w:r>
      <w:r w:rsidR="00EA3951" w:rsidRPr="00DD6966">
        <w:rPr>
          <w:szCs w:val="24"/>
        </w:rPr>
        <w:t>el nivel de satisfacción de las personas usuaria</w:t>
      </w:r>
      <w:r w:rsidR="007E63C8" w:rsidRPr="00DD6966">
        <w:rPr>
          <w:szCs w:val="24"/>
        </w:rPr>
        <w:t xml:space="preserve">s con el servicio </w:t>
      </w:r>
      <w:r w:rsidR="00EF1524" w:rsidRPr="00DD6966">
        <w:rPr>
          <w:szCs w:val="24"/>
        </w:rPr>
        <w:t>(</w:t>
      </w:r>
      <w:r w:rsidR="00EF1524" w:rsidRPr="00DD6966">
        <w:rPr>
          <w:szCs w:val="24"/>
        </w:rPr>
        <w:fldChar w:fldCharType="begin"/>
      </w:r>
      <w:r w:rsidR="00EF1524" w:rsidRPr="00DD6966">
        <w:rPr>
          <w:b/>
          <w:szCs w:val="24"/>
        </w:rPr>
        <w:instrText xml:space="preserve"> REF _Ref14115399 \h  \* MERGEFORMAT </w:instrText>
      </w:r>
      <w:r w:rsidR="00EF1524" w:rsidRPr="00DD6966">
        <w:rPr>
          <w:szCs w:val="24"/>
        </w:rPr>
      </w:r>
      <w:r w:rsidR="00EF1524" w:rsidRPr="00DD6966">
        <w:rPr>
          <w:b/>
          <w:szCs w:val="24"/>
        </w:rPr>
        <w:fldChar w:fldCharType="separate"/>
      </w:r>
      <w:r w:rsidR="009F5136" w:rsidRPr="00DD6966">
        <w:rPr>
          <w:b/>
          <w:bCs/>
          <w:szCs w:val="24"/>
        </w:rPr>
        <w:t>Figura 3</w:t>
      </w:r>
      <w:r w:rsidR="00EF1524" w:rsidRPr="00DD6966">
        <w:rPr>
          <w:szCs w:val="24"/>
        </w:rPr>
        <w:fldChar w:fldCharType="end"/>
      </w:r>
      <w:r w:rsidR="00EF1524" w:rsidRPr="00DD6966">
        <w:rPr>
          <w:szCs w:val="24"/>
        </w:rPr>
        <w:t xml:space="preserve">) y </w:t>
      </w:r>
      <w:r w:rsidR="007E63C8" w:rsidRPr="00DD6966">
        <w:rPr>
          <w:szCs w:val="24"/>
        </w:rPr>
        <w:t>su continuidad</w:t>
      </w:r>
      <w:r w:rsidR="00EF1524" w:rsidRPr="00DD6966">
        <w:rPr>
          <w:szCs w:val="24"/>
        </w:rPr>
        <w:t xml:space="preserve"> (</w:t>
      </w:r>
      <w:r w:rsidR="00EF1524" w:rsidRPr="00DD6966">
        <w:rPr>
          <w:szCs w:val="24"/>
        </w:rPr>
        <w:fldChar w:fldCharType="begin"/>
      </w:r>
      <w:r w:rsidR="00EF1524" w:rsidRPr="00DD6966">
        <w:rPr>
          <w:b/>
          <w:szCs w:val="24"/>
        </w:rPr>
        <w:instrText xml:space="preserve"> REF _Ref14167661 \h  \* MERGEFORMAT </w:instrText>
      </w:r>
      <w:r w:rsidR="00EF1524" w:rsidRPr="00DD6966">
        <w:rPr>
          <w:szCs w:val="24"/>
        </w:rPr>
      </w:r>
      <w:r w:rsidR="00EF1524" w:rsidRPr="00DD6966">
        <w:rPr>
          <w:b/>
          <w:szCs w:val="24"/>
        </w:rPr>
        <w:fldChar w:fldCharType="separate"/>
      </w:r>
      <w:r w:rsidR="009F5136" w:rsidRPr="00DD6966">
        <w:rPr>
          <w:b/>
          <w:bCs/>
          <w:szCs w:val="24"/>
        </w:rPr>
        <w:t>Figura 5</w:t>
      </w:r>
      <w:r w:rsidR="00EF1524" w:rsidRPr="00DD6966">
        <w:rPr>
          <w:szCs w:val="24"/>
        </w:rPr>
        <w:fldChar w:fldCharType="end"/>
      </w:r>
      <w:r w:rsidR="00EF1524" w:rsidRPr="00DD6966">
        <w:rPr>
          <w:szCs w:val="24"/>
        </w:rPr>
        <w:t>)</w:t>
      </w:r>
      <w:r w:rsidRPr="00DD6966">
        <w:rPr>
          <w:szCs w:val="24"/>
        </w:rPr>
        <w:t>, se</w:t>
      </w:r>
      <w:r w:rsidR="00EF1524" w:rsidRPr="00DD6966">
        <w:rPr>
          <w:szCs w:val="24"/>
        </w:rPr>
        <w:t xml:space="preserve"> determinó que habría una relación estadísticamente significativa </w:t>
      </w:r>
      <w:r w:rsidR="000D533B" w:rsidRPr="00DD6966">
        <w:rPr>
          <w:szCs w:val="24"/>
        </w:rPr>
        <w:t>entre ambas variables</w:t>
      </w:r>
      <w:r w:rsidR="00EF1524" w:rsidRPr="00DD6966">
        <w:rPr>
          <w:szCs w:val="24"/>
        </w:rPr>
        <w:t xml:space="preserve">. </w:t>
      </w:r>
      <w:r w:rsidR="000D533B" w:rsidRPr="00DD6966">
        <w:rPr>
          <w:szCs w:val="24"/>
        </w:rPr>
        <w:t>Esta s</w:t>
      </w:r>
      <w:r w:rsidR="00EF1524" w:rsidRPr="00DD6966">
        <w:rPr>
          <w:szCs w:val="24"/>
        </w:rPr>
        <w:t xml:space="preserve">ituación </w:t>
      </w:r>
      <w:r w:rsidR="000D533B" w:rsidRPr="00DD6966">
        <w:rPr>
          <w:szCs w:val="24"/>
        </w:rPr>
        <w:t>era</w:t>
      </w:r>
      <w:r w:rsidR="00EF1524" w:rsidRPr="00DD6966">
        <w:rPr>
          <w:szCs w:val="24"/>
        </w:rPr>
        <w:t xml:space="preserve"> de esperarse, pues la población contempla como parte de la satisfacción con el servicio que e</w:t>
      </w:r>
      <w:r w:rsidR="00CA21A3">
        <w:rPr>
          <w:szCs w:val="24"/>
        </w:rPr>
        <w:t>ste</w:t>
      </w:r>
      <w:r w:rsidR="00EF1524" w:rsidRPr="00DD6966">
        <w:rPr>
          <w:szCs w:val="24"/>
        </w:rPr>
        <w:t xml:space="preserve"> sea </w:t>
      </w:r>
      <w:r w:rsidR="003C179B" w:rsidRPr="00DD6966">
        <w:rPr>
          <w:szCs w:val="24"/>
        </w:rPr>
        <w:t>contin</w:t>
      </w:r>
      <w:r w:rsidR="00CA21A3">
        <w:rPr>
          <w:szCs w:val="24"/>
        </w:rPr>
        <w:t>u</w:t>
      </w:r>
      <w:r w:rsidR="003C179B" w:rsidRPr="00DD6966">
        <w:rPr>
          <w:szCs w:val="24"/>
        </w:rPr>
        <w:t>o</w:t>
      </w:r>
      <w:r w:rsidR="00EF1524" w:rsidRPr="00DD6966">
        <w:rPr>
          <w:szCs w:val="24"/>
        </w:rPr>
        <w:t xml:space="preserve">. </w:t>
      </w:r>
    </w:p>
    <w:p w14:paraId="0DDF577B" w14:textId="77777777" w:rsidR="00C44DB1" w:rsidRPr="00DD6966" w:rsidRDefault="00C44DB1" w:rsidP="00E71527">
      <w:pPr>
        <w:spacing w:after="0"/>
        <w:jc w:val="both"/>
        <w:rPr>
          <w:szCs w:val="24"/>
        </w:rPr>
      </w:pPr>
    </w:p>
    <w:p w14:paraId="263A0FFC" w14:textId="2CE2B68A" w:rsidR="009426EA" w:rsidRPr="00DD6966" w:rsidRDefault="00904BEF" w:rsidP="00E71527">
      <w:pPr>
        <w:spacing w:after="0"/>
        <w:jc w:val="both"/>
        <w:rPr>
          <w:szCs w:val="24"/>
        </w:rPr>
      </w:pPr>
      <w:r w:rsidRPr="00DD6966">
        <w:rPr>
          <w:szCs w:val="24"/>
        </w:rPr>
        <w:t>Cuando se analizaron</w:t>
      </w:r>
      <w:r w:rsidR="009426EA" w:rsidRPr="00DD6966">
        <w:rPr>
          <w:szCs w:val="24"/>
        </w:rPr>
        <w:t xml:space="preserve"> los problemas más comunes que </w:t>
      </w:r>
      <w:r w:rsidR="00EA3951" w:rsidRPr="00DD6966">
        <w:rPr>
          <w:szCs w:val="24"/>
        </w:rPr>
        <w:t>estas personas</w:t>
      </w:r>
      <w:r w:rsidR="009426EA" w:rsidRPr="00DD6966">
        <w:rPr>
          <w:szCs w:val="24"/>
        </w:rPr>
        <w:t xml:space="preserve"> percibieron en el servicio de agua de su comunidad (</w:t>
      </w:r>
      <w:r w:rsidR="009426EA" w:rsidRPr="00DD6966">
        <w:rPr>
          <w:szCs w:val="24"/>
        </w:rPr>
        <w:fldChar w:fldCharType="begin"/>
      </w:r>
      <w:r w:rsidR="009426EA" w:rsidRPr="00DD6966">
        <w:rPr>
          <w:b/>
          <w:szCs w:val="24"/>
        </w:rPr>
        <w:instrText xml:space="preserve"> REF _Ref14167715 \h  \* MERGEFORMAT </w:instrText>
      </w:r>
      <w:r w:rsidR="009426EA" w:rsidRPr="00DD6966">
        <w:rPr>
          <w:szCs w:val="24"/>
        </w:rPr>
      </w:r>
      <w:r w:rsidR="009426EA" w:rsidRPr="00DD6966">
        <w:rPr>
          <w:b/>
          <w:szCs w:val="24"/>
        </w:rPr>
        <w:fldChar w:fldCharType="separate"/>
      </w:r>
      <w:r w:rsidR="009F5136" w:rsidRPr="00DD6966">
        <w:rPr>
          <w:b/>
          <w:bCs/>
          <w:szCs w:val="24"/>
        </w:rPr>
        <w:t>Figura 6</w:t>
      </w:r>
      <w:r w:rsidR="009426EA" w:rsidRPr="00DD6966">
        <w:rPr>
          <w:szCs w:val="24"/>
        </w:rPr>
        <w:fldChar w:fldCharType="end"/>
      </w:r>
      <w:r w:rsidR="009426EA" w:rsidRPr="00DD6966">
        <w:rPr>
          <w:szCs w:val="24"/>
        </w:rPr>
        <w:t xml:space="preserve">), </w:t>
      </w:r>
      <w:r w:rsidR="007A50FC" w:rsidRPr="00DD6966">
        <w:rPr>
          <w:szCs w:val="24"/>
        </w:rPr>
        <w:t xml:space="preserve">pudo constatarse que </w:t>
      </w:r>
      <w:r w:rsidR="00065F30" w:rsidRPr="00DD6966">
        <w:rPr>
          <w:szCs w:val="24"/>
        </w:rPr>
        <w:t>“el sabor a cloro” y el “ol</w:t>
      </w:r>
      <w:r w:rsidR="009E2687" w:rsidRPr="00DD6966">
        <w:rPr>
          <w:szCs w:val="24"/>
        </w:rPr>
        <w:t>or a cloro” se reportaron en 28.</w:t>
      </w:r>
      <w:r w:rsidR="00065F30" w:rsidRPr="00DD6966">
        <w:rPr>
          <w:szCs w:val="24"/>
        </w:rPr>
        <w:t>7</w:t>
      </w:r>
      <w:r w:rsidR="009E2687" w:rsidRPr="00DD6966">
        <w:rPr>
          <w:szCs w:val="24"/>
        </w:rPr>
        <w:t xml:space="preserve"> </w:t>
      </w:r>
      <w:r w:rsidR="00065F30" w:rsidRPr="00DD6966">
        <w:rPr>
          <w:szCs w:val="24"/>
        </w:rPr>
        <w:t>% y 20</w:t>
      </w:r>
      <w:r w:rsidR="009E2687" w:rsidRPr="00DD6966">
        <w:rPr>
          <w:szCs w:val="24"/>
        </w:rPr>
        <w:t xml:space="preserve"> </w:t>
      </w:r>
      <w:r w:rsidR="00065F30" w:rsidRPr="00DD6966">
        <w:rPr>
          <w:szCs w:val="24"/>
        </w:rPr>
        <w:t>% de la población encuestada total</w:t>
      </w:r>
      <w:r w:rsidR="00681844" w:rsidRPr="00DD6966">
        <w:rPr>
          <w:szCs w:val="24"/>
        </w:rPr>
        <w:t>, respectivamente</w:t>
      </w:r>
      <w:r w:rsidR="00065F30" w:rsidRPr="00DD6966">
        <w:rPr>
          <w:szCs w:val="24"/>
        </w:rPr>
        <w:t xml:space="preserve">. </w:t>
      </w:r>
      <w:r w:rsidR="00EA3951" w:rsidRPr="00DD6966">
        <w:rPr>
          <w:szCs w:val="24"/>
        </w:rPr>
        <w:t>Sin embargo</w:t>
      </w:r>
      <w:r w:rsidR="00DE4564" w:rsidRPr="00DD6966">
        <w:rPr>
          <w:szCs w:val="24"/>
        </w:rPr>
        <w:t>,</w:t>
      </w:r>
      <w:r w:rsidR="00EA3951" w:rsidRPr="00DD6966">
        <w:rPr>
          <w:szCs w:val="24"/>
        </w:rPr>
        <w:t xml:space="preserve"> cuando se contrasta con los datos de muestras de cloro residua</w:t>
      </w:r>
      <w:r w:rsidR="00AE448A" w:rsidRPr="00DD6966">
        <w:rPr>
          <w:szCs w:val="24"/>
        </w:rPr>
        <w:t>l, se ve c</w:t>
      </w:r>
      <w:r w:rsidR="00CA21A3">
        <w:rPr>
          <w:szCs w:val="24"/>
        </w:rPr>
        <w:t>ó</w:t>
      </w:r>
      <w:r w:rsidR="00AE448A" w:rsidRPr="00DD6966">
        <w:rPr>
          <w:szCs w:val="24"/>
        </w:rPr>
        <w:t>mo</w:t>
      </w:r>
      <w:r w:rsidR="00CA21A3">
        <w:rPr>
          <w:szCs w:val="24"/>
        </w:rPr>
        <w:t>,</w:t>
      </w:r>
      <w:r w:rsidR="00AE448A" w:rsidRPr="00DD6966">
        <w:rPr>
          <w:szCs w:val="24"/>
        </w:rPr>
        <w:t xml:space="preserve"> en algunos casos</w:t>
      </w:r>
      <w:r w:rsidR="00CA21A3">
        <w:rPr>
          <w:szCs w:val="24"/>
        </w:rPr>
        <w:t>,</w:t>
      </w:r>
      <w:r w:rsidR="00AE448A" w:rsidRPr="00DD6966">
        <w:rPr>
          <w:szCs w:val="24"/>
        </w:rPr>
        <w:t xml:space="preserve"> esta es una deficiencia de los sistemas municipales (Retomar </w:t>
      </w:r>
      <w:r w:rsidR="00AE448A" w:rsidRPr="00DD6966">
        <w:rPr>
          <w:b/>
          <w:szCs w:val="24"/>
        </w:rPr>
        <w:t>Cuadro 1</w:t>
      </w:r>
      <w:r w:rsidR="00AE448A" w:rsidRPr="00DD6966">
        <w:rPr>
          <w:szCs w:val="24"/>
        </w:rPr>
        <w:t>).</w:t>
      </w:r>
    </w:p>
    <w:p w14:paraId="389D6242" w14:textId="4146F13B" w:rsidR="001F5056" w:rsidRPr="00DD6966" w:rsidRDefault="008C1EE6" w:rsidP="00E71527">
      <w:pPr>
        <w:spacing w:after="120"/>
        <w:jc w:val="center"/>
        <w:rPr>
          <w:szCs w:val="24"/>
        </w:rPr>
      </w:pPr>
      <w:r w:rsidRPr="00DD6966">
        <w:rPr>
          <w:noProof/>
          <w:szCs w:val="24"/>
          <w:lang w:val="es-ES" w:eastAsia="es-ES"/>
        </w:rPr>
        <w:lastRenderedPageBreak/>
        <w:drawing>
          <wp:inline distT="0" distB="0" distL="0" distR="0" wp14:anchorId="59A13CFF" wp14:editId="3BF74B2A">
            <wp:extent cx="4835769" cy="3068516"/>
            <wp:effectExtent l="0" t="0" r="3175" b="17780"/>
            <wp:docPr id="5" name="Gráfico 5">
              <a:extLst xmlns:a="http://schemas.openxmlformats.org/drawingml/2006/main">
                <a:ext uri="{FF2B5EF4-FFF2-40B4-BE49-F238E27FC236}">
                  <a16:creationId xmlns:a16="http://schemas.microsoft.com/office/drawing/2014/main" id="{8B7D1E57-DABC-4B15-913B-B7F4F0E2B4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9DB5B7" w14:textId="2E6416C8" w:rsidR="00FD6C7A" w:rsidRPr="007A4FE8" w:rsidRDefault="00FD6C7A" w:rsidP="007A4FE8">
      <w:pPr>
        <w:pStyle w:val="Descripcin"/>
        <w:spacing w:after="0"/>
        <w:rPr>
          <w:i w:val="0"/>
          <w:iCs w:val="0"/>
          <w:color w:val="auto"/>
          <w:sz w:val="24"/>
          <w:szCs w:val="24"/>
        </w:rPr>
      </w:pPr>
      <w:bookmarkStart w:id="10" w:name="_Ref14167715"/>
      <w:r w:rsidRPr="007A4FE8">
        <w:rPr>
          <w:b/>
          <w:i w:val="0"/>
          <w:iCs w:val="0"/>
          <w:color w:val="auto"/>
          <w:sz w:val="24"/>
          <w:szCs w:val="24"/>
        </w:rPr>
        <w:t xml:space="preserve">Figura </w:t>
      </w:r>
      <w:r w:rsidRPr="007A4FE8">
        <w:rPr>
          <w:b/>
          <w:i w:val="0"/>
          <w:iCs w:val="0"/>
          <w:color w:val="auto"/>
          <w:sz w:val="24"/>
          <w:szCs w:val="24"/>
        </w:rPr>
        <w:fldChar w:fldCharType="begin"/>
      </w:r>
      <w:r w:rsidRPr="007A4FE8">
        <w:rPr>
          <w:b/>
          <w:i w:val="0"/>
          <w:iCs w:val="0"/>
          <w:color w:val="auto"/>
          <w:sz w:val="24"/>
          <w:szCs w:val="24"/>
        </w:rPr>
        <w:instrText xml:space="preserve"> SEQ Figura \* ARABIC </w:instrText>
      </w:r>
      <w:r w:rsidRPr="007A4FE8">
        <w:rPr>
          <w:b/>
          <w:i w:val="0"/>
          <w:iCs w:val="0"/>
          <w:color w:val="auto"/>
          <w:sz w:val="24"/>
          <w:szCs w:val="24"/>
        </w:rPr>
        <w:fldChar w:fldCharType="separate"/>
      </w:r>
      <w:r w:rsidR="009F5136" w:rsidRPr="007A4FE8">
        <w:rPr>
          <w:b/>
          <w:i w:val="0"/>
          <w:iCs w:val="0"/>
          <w:noProof/>
          <w:color w:val="auto"/>
          <w:sz w:val="24"/>
          <w:szCs w:val="24"/>
        </w:rPr>
        <w:t>6</w:t>
      </w:r>
      <w:r w:rsidRPr="007A4FE8">
        <w:rPr>
          <w:b/>
          <w:i w:val="0"/>
          <w:iCs w:val="0"/>
          <w:color w:val="auto"/>
          <w:sz w:val="24"/>
          <w:szCs w:val="24"/>
        </w:rPr>
        <w:fldChar w:fldCharType="end"/>
      </w:r>
      <w:bookmarkEnd w:id="10"/>
      <w:r w:rsidRPr="007A4FE8">
        <w:rPr>
          <w:b/>
          <w:i w:val="0"/>
          <w:iCs w:val="0"/>
          <w:color w:val="auto"/>
          <w:sz w:val="24"/>
          <w:szCs w:val="24"/>
        </w:rPr>
        <w:t>.</w:t>
      </w:r>
      <w:r w:rsidRPr="007A4FE8">
        <w:rPr>
          <w:i w:val="0"/>
          <w:iCs w:val="0"/>
          <w:color w:val="auto"/>
          <w:sz w:val="24"/>
          <w:szCs w:val="24"/>
        </w:rPr>
        <w:t xml:space="preserve"> Percepción de </w:t>
      </w:r>
      <w:r w:rsidR="004E61B1" w:rsidRPr="007A4FE8">
        <w:rPr>
          <w:i w:val="0"/>
          <w:iCs w:val="0"/>
          <w:color w:val="auto"/>
          <w:sz w:val="24"/>
          <w:szCs w:val="24"/>
        </w:rPr>
        <w:t xml:space="preserve">los </w:t>
      </w:r>
      <w:r w:rsidRPr="007A4FE8">
        <w:rPr>
          <w:i w:val="0"/>
          <w:iCs w:val="0"/>
          <w:color w:val="auto"/>
          <w:sz w:val="24"/>
          <w:szCs w:val="24"/>
        </w:rPr>
        <w:t>principales problemas del servicio de agua</w:t>
      </w:r>
      <w:r w:rsidR="00CA21A3" w:rsidRPr="007A4FE8">
        <w:rPr>
          <w:i w:val="0"/>
          <w:iCs w:val="0"/>
          <w:color w:val="auto"/>
          <w:sz w:val="24"/>
          <w:szCs w:val="24"/>
        </w:rPr>
        <w:t>,</w:t>
      </w:r>
      <w:r w:rsidRPr="007A4FE8">
        <w:rPr>
          <w:i w:val="0"/>
          <w:iCs w:val="0"/>
          <w:color w:val="auto"/>
          <w:sz w:val="24"/>
          <w:szCs w:val="24"/>
        </w:rPr>
        <w:t xml:space="preserve"> </w:t>
      </w:r>
      <w:r w:rsidR="006504DF" w:rsidRPr="007A4FE8">
        <w:rPr>
          <w:i w:val="0"/>
          <w:iCs w:val="0"/>
          <w:color w:val="auto"/>
          <w:sz w:val="24"/>
          <w:szCs w:val="24"/>
        </w:rPr>
        <w:t>por cantón</w:t>
      </w:r>
      <w:r w:rsidR="00336EAE" w:rsidRPr="007A4FE8">
        <w:rPr>
          <w:i w:val="0"/>
          <w:iCs w:val="0"/>
          <w:color w:val="auto"/>
          <w:sz w:val="24"/>
          <w:szCs w:val="24"/>
        </w:rPr>
        <w:t>.</w:t>
      </w:r>
    </w:p>
    <w:p w14:paraId="203EF053" w14:textId="27BD7FE8" w:rsidR="006504DF" w:rsidRPr="00DD6966" w:rsidRDefault="006504DF" w:rsidP="007A4FE8">
      <w:pPr>
        <w:spacing w:after="120"/>
        <w:rPr>
          <w:szCs w:val="24"/>
          <w:lang w:val="en-US"/>
        </w:rPr>
      </w:pPr>
      <w:r w:rsidRPr="00DD6966">
        <w:rPr>
          <w:b/>
          <w:szCs w:val="24"/>
          <w:lang w:val="en-US"/>
        </w:rPr>
        <w:t xml:space="preserve">Figure 6. </w:t>
      </w:r>
      <w:r w:rsidRPr="00DD6966">
        <w:rPr>
          <w:szCs w:val="24"/>
          <w:lang w:val="en-US"/>
        </w:rPr>
        <w:t xml:space="preserve">Perception of the water service-related problems in their community by </w:t>
      </w:r>
      <w:r w:rsidR="00253215">
        <w:rPr>
          <w:szCs w:val="24"/>
          <w:lang w:val="en-US"/>
        </w:rPr>
        <w:t>county</w:t>
      </w:r>
      <w:r w:rsidR="00336EAE" w:rsidRPr="00DD6966">
        <w:rPr>
          <w:szCs w:val="24"/>
          <w:lang w:val="en-US"/>
        </w:rPr>
        <w:t>.</w:t>
      </w:r>
    </w:p>
    <w:p w14:paraId="4B9CA438" w14:textId="77777777" w:rsidR="00C44DB1" w:rsidRPr="00DD6966" w:rsidRDefault="00C44DB1" w:rsidP="007A4FE8">
      <w:pPr>
        <w:spacing w:after="0"/>
        <w:rPr>
          <w:szCs w:val="24"/>
          <w:lang w:val="en-US"/>
        </w:rPr>
      </w:pPr>
    </w:p>
    <w:p w14:paraId="671CECF5" w14:textId="54B5A213" w:rsidR="00276028" w:rsidRPr="00DD6966" w:rsidRDefault="00276028" w:rsidP="007A4FE8">
      <w:pPr>
        <w:spacing w:after="0"/>
        <w:jc w:val="both"/>
        <w:rPr>
          <w:szCs w:val="24"/>
        </w:rPr>
      </w:pPr>
      <w:r w:rsidRPr="00DD6966">
        <w:rPr>
          <w:szCs w:val="24"/>
        </w:rPr>
        <w:t xml:space="preserve">En relación </w:t>
      </w:r>
      <w:r w:rsidR="00CA21A3">
        <w:rPr>
          <w:szCs w:val="24"/>
        </w:rPr>
        <w:t>con</w:t>
      </w:r>
      <w:r w:rsidRPr="00DD6966">
        <w:rPr>
          <w:szCs w:val="24"/>
        </w:rPr>
        <w:t xml:space="preserve"> este parámetro, es importante recordar que una concentración de cloro residual entre 0</w:t>
      </w:r>
      <w:r w:rsidR="009E2687" w:rsidRPr="00DD6966">
        <w:rPr>
          <w:szCs w:val="24"/>
        </w:rPr>
        <w:t>.</w:t>
      </w:r>
      <w:r w:rsidRPr="00DD6966">
        <w:rPr>
          <w:szCs w:val="24"/>
        </w:rPr>
        <w:t>3 y 0</w:t>
      </w:r>
      <w:r w:rsidR="009E2687" w:rsidRPr="00DD6966">
        <w:rPr>
          <w:szCs w:val="24"/>
        </w:rPr>
        <w:t>.</w:t>
      </w:r>
      <w:r w:rsidR="00F43F61" w:rsidRPr="00DD6966">
        <w:rPr>
          <w:szCs w:val="24"/>
        </w:rPr>
        <w:t>6</w:t>
      </w:r>
      <w:r w:rsidRPr="00DD6966">
        <w:rPr>
          <w:szCs w:val="24"/>
        </w:rPr>
        <w:t xml:space="preserve"> mg</w:t>
      </w:r>
      <w:r w:rsidRPr="00DD6966">
        <w:rPr>
          <w:rFonts w:cs="Times New Roman"/>
          <w:szCs w:val="24"/>
        </w:rPr>
        <w:t>·</w:t>
      </w:r>
      <w:r w:rsidRPr="00DD6966">
        <w:rPr>
          <w:szCs w:val="24"/>
        </w:rPr>
        <w:t>L</w:t>
      </w:r>
      <w:r w:rsidRPr="00DD6966">
        <w:rPr>
          <w:szCs w:val="24"/>
          <w:vertAlign w:val="superscript"/>
        </w:rPr>
        <w:t>-1</w:t>
      </w:r>
      <w:r w:rsidR="00F43F61" w:rsidRPr="00DD6966">
        <w:rPr>
          <w:szCs w:val="24"/>
        </w:rPr>
        <w:t xml:space="preserve"> </w:t>
      </w:r>
      <w:r w:rsidR="007B0704" w:rsidRPr="00DD6966">
        <w:rPr>
          <w:szCs w:val="24"/>
        </w:rPr>
        <w:t>es requerida</w:t>
      </w:r>
      <w:r w:rsidRPr="00DD6966">
        <w:rPr>
          <w:szCs w:val="24"/>
        </w:rPr>
        <w:t xml:space="preserve"> en </w:t>
      </w:r>
      <w:r w:rsidR="00904BEF" w:rsidRPr="00DD6966">
        <w:rPr>
          <w:szCs w:val="24"/>
        </w:rPr>
        <w:t>cualquier punto de</w:t>
      </w:r>
      <w:r w:rsidRPr="00DD6966">
        <w:rPr>
          <w:szCs w:val="24"/>
        </w:rPr>
        <w:t xml:space="preserve"> la red de distribución de agua potable</w:t>
      </w:r>
      <w:r w:rsidR="00F43F61" w:rsidRPr="00DD6966">
        <w:rPr>
          <w:szCs w:val="24"/>
        </w:rPr>
        <w:t xml:space="preserve"> </w:t>
      </w:r>
      <w:r w:rsidRPr="00DD6966">
        <w:rPr>
          <w:szCs w:val="24"/>
        </w:rPr>
        <w:fldChar w:fldCharType="begin" w:fldLock="1"/>
      </w:r>
      <w:r w:rsidR="00863A85" w:rsidRPr="00DD6966">
        <w:rPr>
          <w:szCs w:val="24"/>
        </w:rPr>
        <w:instrText>ADDIN CSL_CITATION {"citationItems":[{"id":"ITEM-1","itemData":{"ISBN":"2015055290","author":[{"dropping-particle":"","family":"38924-S","given":"","non-dropping-particle":"DE","parse-names":false,"suffix":""}],"container-title":"Diario Oficial La Gaceta","id":"ITEM-1","issued":{"date-parts":[["2015"]]},"number-of-pages":"pp. 124","publisher":"Poder Ejecutio de Costa Rica","publisher-place":"San José, Costa Rica","title":"Reglamento para la Calidad del Agua Potable","type":"book","volume":"170"},"uris":["http://www.mendeley.com/documents/?uuid=91f51718-cbbd-40a6-a569-3dc166e077a6"]}],"mendeley":{"formattedCitation":"(DE 38924-S, 2015)","plainTextFormattedCitation":"(DE 38924-S, 2015)","previouslyFormattedCitation":"(DE 38924-S, 2015)"},"properties":{"noteIndex":0},"schema":"https://github.com/citation-style-language/schema/raw/master/csl-citation.json"}</w:instrText>
      </w:r>
      <w:r w:rsidRPr="00DD6966">
        <w:rPr>
          <w:szCs w:val="24"/>
        </w:rPr>
        <w:fldChar w:fldCharType="separate"/>
      </w:r>
      <w:r w:rsidRPr="00DD6966">
        <w:rPr>
          <w:noProof/>
          <w:szCs w:val="24"/>
        </w:rPr>
        <w:t>(</w:t>
      </w:r>
      <w:r w:rsidRPr="00DD6966">
        <w:rPr>
          <w:noProof/>
          <w:color w:val="365F91" w:themeColor="accent1" w:themeShade="BF"/>
          <w:szCs w:val="24"/>
        </w:rPr>
        <w:t>DE 38924-S, 2015</w:t>
      </w:r>
      <w:r w:rsidRPr="00DD6966">
        <w:rPr>
          <w:noProof/>
          <w:szCs w:val="24"/>
        </w:rPr>
        <w:t>)</w:t>
      </w:r>
      <w:r w:rsidRPr="00DD6966">
        <w:rPr>
          <w:szCs w:val="24"/>
        </w:rPr>
        <w:fldChar w:fldCharType="end"/>
      </w:r>
      <w:r w:rsidR="007B0704" w:rsidRPr="00DD6966">
        <w:rPr>
          <w:szCs w:val="24"/>
        </w:rPr>
        <w:t xml:space="preserve">. Es posible que la población de esta área de estudio sea especialmente sensible al sabor </w:t>
      </w:r>
      <w:r w:rsidR="007C52EA" w:rsidRPr="00DD6966">
        <w:rPr>
          <w:szCs w:val="24"/>
        </w:rPr>
        <w:t>u</w:t>
      </w:r>
      <w:r w:rsidR="007B0704" w:rsidRPr="00DD6966">
        <w:rPr>
          <w:szCs w:val="24"/>
        </w:rPr>
        <w:t xml:space="preserve"> olor a cloro</w:t>
      </w:r>
      <w:r w:rsidR="00735485" w:rsidRPr="00DD6966">
        <w:rPr>
          <w:szCs w:val="24"/>
        </w:rPr>
        <w:t>,</w:t>
      </w:r>
      <w:r w:rsidR="007B0704" w:rsidRPr="00DD6966">
        <w:rPr>
          <w:szCs w:val="24"/>
        </w:rPr>
        <w:t xml:space="preserve"> ya que hasta hace pocos años </w:t>
      </w:r>
      <w:r w:rsidR="000D533B" w:rsidRPr="00DD6966">
        <w:rPr>
          <w:szCs w:val="24"/>
        </w:rPr>
        <w:t xml:space="preserve">la cloración del agua </w:t>
      </w:r>
      <w:r w:rsidR="007B0704" w:rsidRPr="00DD6966">
        <w:rPr>
          <w:szCs w:val="24"/>
        </w:rPr>
        <w:t>no estaba estandarizada en esta zona</w:t>
      </w:r>
      <w:r w:rsidR="000D533B" w:rsidRPr="00DD6966">
        <w:rPr>
          <w:szCs w:val="24"/>
        </w:rPr>
        <w:t xml:space="preserve"> (</w:t>
      </w:r>
      <w:r w:rsidR="000D533B" w:rsidRPr="00DD6966">
        <w:rPr>
          <w:color w:val="365F91" w:themeColor="accent1" w:themeShade="BF"/>
          <w:szCs w:val="24"/>
        </w:rPr>
        <w:t>CGR, 2016</w:t>
      </w:r>
      <w:r w:rsidR="000D533B" w:rsidRPr="00DD6966">
        <w:rPr>
          <w:szCs w:val="24"/>
        </w:rPr>
        <w:t>)</w:t>
      </w:r>
      <w:r w:rsidR="007B0704" w:rsidRPr="00DD6966">
        <w:rPr>
          <w:szCs w:val="24"/>
        </w:rPr>
        <w:t xml:space="preserve">. </w:t>
      </w:r>
      <w:r w:rsidR="00863A85" w:rsidRPr="00DD6966">
        <w:rPr>
          <w:szCs w:val="24"/>
        </w:rPr>
        <w:t xml:space="preserve">Según la Organización Mundial de la Salud </w:t>
      </w:r>
      <w:r w:rsidR="00863A85" w:rsidRPr="00DD6966">
        <w:rPr>
          <w:szCs w:val="24"/>
        </w:rPr>
        <w:fldChar w:fldCharType="begin" w:fldLock="1"/>
      </w:r>
      <w:r w:rsidR="00630A2F" w:rsidRPr="00DD6966">
        <w:rPr>
          <w:szCs w:val="24"/>
        </w:rPr>
        <w:instrText>ADDIN CSL_CITATION {"citationItems":[{"id":"ITEM-1","itemData":{"DOI":"10.1016/S1462-0758(00)00006-6","ISBN":"9789241549950","ISSN":"14620758","PMID":"6485306","author":[{"dropping-particle":"","family":"OMS","given":"","non-dropping-particle":"","parse-names":false,"suffix":""}],"edition":"4ta","id":"ITEM-1","issued":{"date-parts":[["2017"]]},"number-of-pages":"1-631","publisher":"Organización Mundial de la Salud","publisher-place":"Ginebra, Suiza","title":"Guidelines for Drinking-water Quality","type":"book"},"uris":["http://www.mendeley.com/documents/?uuid=f741ca1e-5fe3-4e44-8335-683630e074ed"]}],"mendeley":{"formattedCitation":"(OMS, 2017)","plainTextFormattedCitation":"(OMS, 2017)","previouslyFormattedCitation":"(OMS, 2017)"},"properties":{"noteIndex":0},"schema":"https://github.com/citation-style-language/schema/raw/master/csl-citation.json"}</w:instrText>
      </w:r>
      <w:r w:rsidR="00863A85" w:rsidRPr="00DD6966">
        <w:rPr>
          <w:szCs w:val="24"/>
        </w:rPr>
        <w:fldChar w:fldCharType="separate"/>
      </w:r>
      <w:r w:rsidR="00863A85" w:rsidRPr="00253215">
        <w:rPr>
          <w:noProof/>
          <w:color w:val="4F81BD" w:themeColor="accent1"/>
          <w:szCs w:val="24"/>
        </w:rPr>
        <w:t>(OMS, 2017</w:t>
      </w:r>
      <w:r w:rsidR="00863A85" w:rsidRPr="00DD6966">
        <w:rPr>
          <w:noProof/>
          <w:szCs w:val="24"/>
        </w:rPr>
        <w:t>)</w:t>
      </w:r>
      <w:r w:rsidR="00863A85" w:rsidRPr="00DD6966">
        <w:rPr>
          <w:szCs w:val="24"/>
        </w:rPr>
        <w:fldChar w:fldCharType="end"/>
      </w:r>
      <w:r w:rsidR="00863A85" w:rsidRPr="00DD6966">
        <w:rPr>
          <w:szCs w:val="24"/>
        </w:rPr>
        <w:t xml:space="preserve">, el límite de detección del cloro a nivel de sabor y olor es de aproximadamente </w:t>
      </w:r>
      <w:r w:rsidR="000D533B" w:rsidRPr="00DD6966">
        <w:rPr>
          <w:szCs w:val="24"/>
        </w:rPr>
        <w:t xml:space="preserve">                    </w:t>
      </w:r>
      <w:r w:rsidR="00863A85" w:rsidRPr="00DD6966">
        <w:rPr>
          <w:szCs w:val="24"/>
        </w:rPr>
        <w:t>5</w:t>
      </w:r>
      <w:r w:rsidR="009E2687" w:rsidRPr="00DD6966">
        <w:rPr>
          <w:szCs w:val="24"/>
        </w:rPr>
        <w:t>.</w:t>
      </w:r>
      <w:r w:rsidR="00863A85" w:rsidRPr="00DD6966">
        <w:rPr>
          <w:szCs w:val="24"/>
        </w:rPr>
        <w:t>0 mg</w:t>
      </w:r>
      <w:r w:rsidR="00863A85" w:rsidRPr="00DD6966">
        <w:rPr>
          <w:rFonts w:cs="Times New Roman"/>
          <w:szCs w:val="24"/>
        </w:rPr>
        <w:t>·</w:t>
      </w:r>
      <w:r w:rsidR="00863A85" w:rsidRPr="00DD6966">
        <w:rPr>
          <w:szCs w:val="24"/>
        </w:rPr>
        <w:t>L</w:t>
      </w:r>
      <w:r w:rsidR="00863A85" w:rsidRPr="00DD6966">
        <w:rPr>
          <w:szCs w:val="24"/>
          <w:vertAlign w:val="superscript"/>
        </w:rPr>
        <w:t>-1</w:t>
      </w:r>
      <w:r w:rsidR="009E2687" w:rsidRPr="00DD6966">
        <w:rPr>
          <w:szCs w:val="24"/>
        </w:rPr>
        <w:t xml:space="preserve"> y 2.</w:t>
      </w:r>
      <w:r w:rsidR="00863A85" w:rsidRPr="00DD6966">
        <w:rPr>
          <w:szCs w:val="24"/>
        </w:rPr>
        <w:t>0 mg</w:t>
      </w:r>
      <w:r w:rsidR="00863A85" w:rsidRPr="00DD6966">
        <w:rPr>
          <w:rFonts w:cs="Times New Roman"/>
          <w:szCs w:val="24"/>
        </w:rPr>
        <w:t>·</w:t>
      </w:r>
      <w:r w:rsidR="00863A85" w:rsidRPr="00DD6966">
        <w:rPr>
          <w:szCs w:val="24"/>
        </w:rPr>
        <w:t>L</w:t>
      </w:r>
      <w:r w:rsidR="00863A85" w:rsidRPr="00DD6966">
        <w:rPr>
          <w:szCs w:val="24"/>
          <w:vertAlign w:val="superscript"/>
        </w:rPr>
        <w:t>-1</w:t>
      </w:r>
      <w:r w:rsidR="00CA4CB0" w:rsidRPr="00DD6966">
        <w:rPr>
          <w:szCs w:val="24"/>
        </w:rPr>
        <w:t>, respectivamente, aunque alguna</w:t>
      </w:r>
      <w:r w:rsidR="00863A85" w:rsidRPr="00DD6966">
        <w:rPr>
          <w:szCs w:val="24"/>
        </w:rPr>
        <w:t xml:space="preserve">s </w:t>
      </w:r>
      <w:r w:rsidR="00CA4CB0" w:rsidRPr="00DD6966">
        <w:rPr>
          <w:szCs w:val="24"/>
        </w:rPr>
        <w:t>personas</w:t>
      </w:r>
      <w:r w:rsidR="00863A85" w:rsidRPr="00DD6966">
        <w:rPr>
          <w:szCs w:val="24"/>
        </w:rPr>
        <w:t xml:space="preserve"> pueden percibir su sabor o su olor </w:t>
      </w:r>
      <w:r w:rsidR="00CA21A3">
        <w:rPr>
          <w:szCs w:val="24"/>
        </w:rPr>
        <w:t>en</w:t>
      </w:r>
      <w:r w:rsidR="00863A85" w:rsidRPr="00DD6966">
        <w:rPr>
          <w:szCs w:val="24"/>
        </w:rPr>
        <w:t xml:space="preserve"> c</w:t>
      </w:r>
      <w:r w:rsidR="009E2687" w:rsidRPr="00DD6966">
        <w:rPr>
          <w:szCs w:val="24"/>
        </w:rPr>
        <w:t>oncentraciones tan bajas como 0.</w:t>
      </w:r>
      <w:r w:rsidR="00863A85" w:rsidRPr="00DD6966">
        <w:rPr>
          <w:szCs w:val="24"/>
        </w:rPr>
        <w:t>3 mg</w:t>
      </w:r>
      <w:r w:rsidR="00863A85" w:rsidRPr="00DD6966">
        <w:rPr>
          <w:rFonts w:cs="Times New Roman"/>
          <w:szCs w:val="24"/>
        </w:rPr>
        <w:t>·</w:t>
      </w:r>
      <w:r w:rsidR="00863A85" w:rsidRPr="00DD6966">
        <w:rPr>
          <w:szCs w:val="24"/>
        </w:rPr>
        <w:t>L</w:t>
      </w:r>
      <w:r w:rsidR="00863A85" w:rsidRPr="00DD6966">
        <w:rPr>
          <w:szCs w:val="24"/>
          <w:vertAlign w:val="superscript"/>
        </w:rPr>
        <w:t>-1</w:t>
      </w:r>
      <w:r w:rsidR="00904BEF" w:rsidRPr="00DD6966">
        <w:rPr>
          <w:szCs w:val="24"/>
        </w:rPr>
        <w:t xml:space="preserve"> (</w:t>
      </w:r>
      <w:r w:rsidR="00904BEF" w:rsidRPr="00253215">
        <w:rPr>
          <w:color w:val="4F81BD" w:themeColor="accent1"/>
          <w:szCs w:val="24"/>
        </w:rPr>
        <w:t>OMS, 2017</w:t>
      </w:r>
      <w:r w:rsidR="00904BEF" w:rsidRPr="00DD6966">
        <w:rPr>
          <w:szCs w:val="24"/>
        </w:rPr>
        <w:t>).</w:t>
      </w:r>
      <w:r w:rsidR="00863A85" w:rsidRPr="00DD6966">
        <w:rPr>
          <w:szCs w:val="24"/>
        </w:rPr>
        <w:t xml:space="preserve"> </w:t>
      </w:r>
      <w:r w:rsidR="00630A2F" w:rsidRPr="00DD6966">
        <w:rPr>
          <w:szCs w:val="24"/>
        </w:rPr>
        <w:t xml:space="preserve">En una evaluación realizada por la </w:t>
      </w:r>
      <w:r w:rsidR="00CA4CB0" w:rsidRPr="00DD6966">
        <w:rPr>
          <w:szCs w:val="24"/>
        </w:rPr>
        <w:t>CGR</w:t>
      </w:r>
      <w:r w:rsidR="00630A2F" w:rsidRPr="00DD6966">
        <w:rPr>
          <w:szCs w:val="24"/>
        </w:rPr>
        <w:t xml:space="preserve"> </w:t>
      </w:r>
      <w:r w:rsidR="00630A2F" w:rsidRPr="00DD6966">
        <w:rPr>
          <w:szCs w:val="24"/>
        </w:rPr>
        <w:fldChar w:fldCharType="begin" w:fldLock="1"/>
      </w:r>
      <w:r w:rsidR="0085014F" w:rsidRPr="00DD6966">
        <w:rPr>
          <w:szCs w:val="24"/>
        </w:rPr>
        <w:instrText>ADDIN CSL_CITATION {"citationItems":[{"id":"ITEM-1","itemData":{"author":[{"dropping-particle":"","family":"CGR","given":"","non-dropping-particle":"","parse-names":false,"suffix":""}],"id":"ITEM-1","issued":{"date-parts":[["2016"]]},"number-of-pages":"72 pp.","publisher-place":"San José, Costa Rica","title":"Auditoría operativa. Informe acerca del servicio de abastecimiento de agua potable brindado por los acueductos municipales de la provincia de Cartago","type":"report"},"uris":["http://www.mendeley.com/documents/?uuid=a6e0c15d-c986-4a82-b937-9d24406a6646"]}],"mendeley":{"formattedCitation":"(CGR, 2016)","plainTextFormattedCitation":"(CGR, 2016)","previouslyFormattedCitation":"(CGR, 2016)"},"properties":{"noteIndex":0},"schema":"https://github.com/citation-style-language/schema/raw/master/csl-citation.json"}</w:instrText>
      </w:r>
      <w:r w:rsidR="00630A2F" w:rsidRPr="00DD6966">
        <w:rPr>
          <w:szCs w:val="24"/>
        </w:rPr>
        <w:fldChar w:fldCharType="separate"/>
      </w:r>
      <w:r w:rsidR="00630A2F" w:rsidRPr="00DD6966">
        <w:rPr>
          <w:noProof/>
          <w:szCs w:val="24"/>
        </w:rPr>
        <w:t>(</w:t>
      </w:r>
      <w:r w:rsidR="00630A2F" w:rsidRPr="00DD6966">
        <w:rPr>
          <w:noProof/>
          <w:color w:val="365F91" w:themeColor="accent1" w:themeShade="BF"/>
          <w:szCs w:val="24"/>
        </w:rPr>
        <w:t>CGR, 2016</w:t>
      </w:r>
      <w:r w:rsidR="00630A2F" w:rsidRPr="00DD6966">
        <w:rPr>
          <w:noProof/>
          <w:szCs w:val="24"/>
        </w:rPr>
        <w:t>)</w:t>
      </w:r>
      <w:r w:rsidR="00630A2F" w:rsidRPr="00DD6966">
        <w:rPr>
          <w:szCs w:val="24"/>
        </w:rPr>
        <w:fldChar w:fldCharType="end"/>
      </w:r>
      <w:r w:rsidR="00630A2F" w:rsidRPr="00DD6966">
        <w:rPr>
          <w:szCs w:val="24"/>
        </w:rPr>
        <w:t xml:space="preserve"> para los sistemas de abastecimiento de agua potable de la provincia de Cartago, </w:t>
      </w:r>
      <w:r w:rsidR="00EE7F01" w:rsidRPr="00DD6966">
        <w:rPr>
          <w:szCs w:val="24"/>
        </w:rPr>
        <w:t>esa institución concluyó que para los cantones de Turrialba, Oreamuno, Jiménez y Alvarado no hubo ni un solo reporte de cloro residual por encima de 0</w:t>
      </w:r>
      <w:r w:rsidR="009E2687" w:rsidRPr="00DD6966">
        <w:rPr>
          <w:szCs w:val="24"/>
        </w:rPr>
        <w:t>.</w:t>
      </w:r>
      <w:r w:rsidR="00EE7F01" w:rsidRPr="00DD6966">
        <w:rPr>
          <w:szCs w:val="24"/>
        </w:rPr>
        <w:t>6 mg</w:t>
      </w:r>
      <w:r w:rsidR="00EE7F01" w:rsidRPr="00DD6966">
        <w:rPr>
          <w:rFonts w:cs="Times New Roman"/>
          <w:szCs w:val="24"/>
        </w:rPr>
        <w:t>·</w:t>
      </w:r>
      <w:r w:rsidR="00EE7F01" w:rsidRPr="00DD6966">
        <w:rPr>
          <w:szCs w:val="24"/>
        </w:rPr>
        <w:t>L</w:t>
      </w:r>
      <w:r w:rsidR="00EE7F01" w:rsidRPr="00DD6966">
        <w:rPr>
          <w:szCs w:val="24"/>
          <w:vertAlign w:val="superscript"/>
        </w:rPr>
        <w:t>-1</w:t>
      </w:r>
      <w:r w:rsidR="00EE7F01" w:rsidRPr="00DD6966">
        <w:rPr>
          <w:szCs w:val="24"/>
        </w:rPr>
        <w:t xml:space="preserve"> para un total de 385 muestras tomadas </w:t>
      </w:r>
      <w:r w:rsidR="009A391E" w:rsidRPr="00DD6966">
        <w:rPr>
          <w:szCs w:val="24"/>
        </w:rPr>
        <w:t>durante</w:t>
      </w:r>
      <w:r w:rsidR="00EE7F01" w:rsidRPr="00DD6966">
        <w:rPr>
          <w:szCs w:val="24"/>
        </w:rPr>
        <w:t xml:space="preserve"> el año 2015. Según ese estudio, </w:t>
      </w:r>
      <w:r w:rsidR="00D85EEE" w:rsidRPr="00DD6966">
        <w:rPr>
          <w:szCs w:val="24"/>
        </w:rPr>
        <w:t xml:space="preserve">el problema mayoritariamente encontrado en los acueductos de esos cantones fue </w:t>
      </w:r>
      <w:r w:rsidR="00904BEF" w:rsidRPr="00DD6966">
        <w:rPr>
          <w:szCs w:val="24"/>
        </w:rPr>
        <w:t xml:space="preserve">precisamente </w:t>
      </w:r>
      <w:r w:rsidR="00D85EEE" w:rsidRPr="00DD6966">
        <w:rPr>
          <w:szCs w:val="24"/>
        </w:rPr>
        <w:t>el opuesto</w:t>
      </w:r>
      <w:r w:rsidR="00EE7F01" w:rsidRPr="00DD6966">
        <w:rPr>
          <w:szCs w:val="24"/>
        </w:rPr>
        <w:t xml:space="preserve">, </w:t>
      </w:r>
      <w:r w:rsidR="00185CA6" w:rsidRPr="00DD6966">
        <w:rPr>
          <w:szCs w:val="24"/>
        </w:rPr>
        <w:t>pues se obtuvo</w:t>
      </w:r>
      <w:r w:rsidR="00EE7F01" w:rsidRPr="00DD6966">
        <w:rPr>
          <w:szCs w:val="24"/>
        </w:rPr>
        <w:t xml:space="preserve"> un 36</w:t>
      </w:r>
      <w:r w:rsidR="009E2687" w:rsidRPr="00DD6966">
        <w:rPr>
          <w:szCs w:val="24"/>
        </w:rPr>
        <w:t xml:space="preserve"> </w:t>
      </w:r>
      <w:r w:rsidR="00EE7F01" w:rsidRPr="00DD6966">
        <w:rPr>
          <w:szCs w:val="24"/>
        </w:rPr>
        <w:t xml:space="preserve">% de </w:t>
      </w:r>
      <w:r w:rsidR="00185CA6" w:rsidRPr="00DD6966">
        <w:rPr>
          <w:szCs w:val="24"/>
        </w:rPr>
        <w:t xml:space="preserve">las </w:t>
      </w:r>
      <w:r w:rsidR="00EE7F01" w:rsidRPr="00DD6966">
        <w:rPr>
          <w:szCs w:val="24"/>
        </w:rPr>
        <w:t xml:space="preserve">muestras </w:t>
      </w:r>
      <w:r w:rsidR="00185CA6" w:rsidRPr="00DD6966">
        <w:rPr>
          <w:szCs w:val="24"/>
        </w:rPr>
        <w:t xml:space="preserve">de esos cantones </w:t>
      </w:r>
      <w:r w:rsidR="00EE7F01" w:rsidRPr="00DD6966">
        <w:rPr>
          <w:szCs w:val="24"/>
        </w:rPr>
        <w:t>con una concentración</w:t>
      </w:r>
      <w:r w:rsidR="009E2687" w:rsidRPr="00DD6966">
        <w:rPr>
          <w:szCs w:val="24"/>
        </w:rPr>
        <w:t xml:space="preserve"> de cloro residual inferior a 0.</w:t>
      </w:r>
      <w:r w:rsidR="0085014F" w:rsidRPr="00DD6966">
        <w:rPr>
          <w:szCs w:val="24"/>
        </w:rPr>
        <w:t>1 mg</w:t>
      </w:r>
      <w:r w:rsidR="00EE7F01" w:rsidRPr="00DD6966">
        <w:rPr>
          <w:rFonts w:cs="Times New Roman"/>
          <w:szCs w:val="24"/>
        </w:rPr>
        <w:t>·</w:t>
      </w:r>
      <w:r w:rsidR="00EE7F01" w:rsidRPr="00DD6966">
        <w:rPr>
          <w:szCs w:val="24"/>
        </w:rPr>
        <w:t>L</w:t>
      </w:r>
      <w:r w:rsidR="00EE7F01" w:rsidRPr="00DD6966">
        <w:rPr>
          <w:szCs w:val="24"/>
          <w:vertAlign w:val="superscript"/>
        </w:rPr>
        <w:t>-1</w:t>
      </w:r>
      <w:r w:rsidR="00CA4CB0" w:rsidRPr="00DD6966">
        <w:rPr>
          <w:szCs w:val="24"/>
          <w:vertAlign w:val="superscript"/>
        </w:rPr>
        <w:t xml:space="preserve"> </w:t>
      </w:r>
      <w:r w:rsidR="00CA4CB0" w:rsidRPr="00DD6966">
        <w:rPr>
          <w:szCs w:val="24"/>
        </w:rPr>
        <w:t xml:space="preserve">(Retomar </w:t>
      </w:r>
      <w:r w:rsidR="00CA4CB0" w:rsidRPr="00DD6966">
        <w:rPr>
          <w:b/>
          <w:szCs w:val="24"/>
        </w:rPr>
        <w:t>Cuadro 1</w:t>
      </w:r>
      <w:r w:rsidR="00CA4CB0" w:rsidRPr="00DD6966">
        <w:rPr>
          <w:szCs w:val="24"/>
        </w:rPr>
        <w:t>).</w:t>
      </w:r>
      <w:r w:rsidR="00EE7F01" w:rsidRPr="00DD6966">
        <w:rPr>
          <w:szCs w:val="24"/>
        </w:rPr>
        <w:t xml:space="preserve"> </w:t>
      </w:r>
    </w:p>
    <w:p w14:paraId="072F2A34" w14:textId="77777777" w:rsidR="002810B8" w:rsidRPr="00DD6966" w:rsidRDefault="002810B8" w:rsidP="007A4FE8">
      <w:pPr>
        <w:spacing w:after="0"/>
        <w:jc w:val="both"/>
        <w:rPr>
          <w:szCs w:val="24"/>
        </w:rPr>
      </w:pPr>
    </w:p>
    <w:p w14:paraId="3EF9EE48" w14:textId="57178C11" w:rsidR="00276028" w:rsidRPr="00DD6966" w:rsidRDefault="009E2687" w:rsidP="007A4FE8">
      <w:pPr>
        <w:spacing w:after="0"/>
        <w:jc w:val="both"/>
        <w:rPr>
          <w:szCs w:val="24"/>
        </w:rPr>
      </w:pPr>
      <w:r w:rsidRPr="00DD6966">
        <w:rPr>
          <w:szCs w:val="24"/>
        </w:rPr>
        <w:t>Paralelamente</w:t>
      </w:r>
      <w:r w:rsidR="00206D4A" w:rsidRPr="00DD6966">
        <w:rPr>
          <w:szCs w:val="24"/>
        </w:rPr>
        <w:t xml:space="preserve">, </w:t>
      </w:r>
      <w:r w:rsidR="00E57EA6" w:rsidRPr="00DD6966">
        <w:rPr>
          <w:szCs w:val="24"/>
        </w:rPr>
        <w:t xml:space="preserve">otros problemas mencionados por la población encuestada fueron “presión insuficiente del agua”, “elevada turbidez” (o barro en el agua), “otro sabor” (principalmente sabor ácido o alcalino) y presencia de larvas. Los cantones que presentaron una mayor proporción de su muestra con problemas de “presión insuficiente” y “elevada turbidez” fueron Oreamuno </w:t>
      </w:r>
      <w:r w:rsidR="00013C5B" w:rsidRPr="00DD6966">
        <w:rPr>
          <w:szCs w:val="24"/>
        </w:rPr>
        <w:t>(27 y 23</w:t>
      </w:r>
      <w:r w:rsidR="00106AEF" w:rsidRPr="00DD6966">
        <w:rPr>
          <w:szCs w:val="24"/>
        </w:rPr>
        <w:t xml:space="preserve"> </w:t>
      </w:r>
      <w:r w:rsidR="00013C5B" w:rsidRPr="00DD6966">
        <w:rPr>
          <w:szCs w:val="24"/>
        </w:rPr>
        <w:t xml:space="preserve">%, respectivamente) </w:t>
      </w:r>
      <w:r w:rsidR="00E57EA6" w:rsidRPr="00DD6966">
        <w:rPr>
          <w:szCs w:val="24"/>
        </w:rPr>
        <w:t>y Alvarado</w:t>
      </w:r>
      <w:r w:rsidR="00013C5B" w:rsidRPr="00DD6966">
        <w:rPr>
          <w:szCs w:val="24"/>
        </w:rPr>
        <w:t xml:space="preserve"> (14 y 19</w:t>
      </w:r>
      <w:r w:rsidR="00106AEF" w:rsidRPr="00DD6966">
        <w:rPr>
          <w:szCs w:val="24"/>
        </w:rPr>
        <w:t xml:space="preserve"> </w:t>
      </w:r>
      <w:r w:rsidR="00CA4CB0" w:rsidRPr="00DD6966">
        <w:rPr>
          <w:szCs w:val="24"/>
        </w:rPr>
        <w:t>%</w:t>
      </w:r>
      <w:r w:rsidR="00013C5B" w:rsidRPr="00DD6966">
        <w:rPr>
          <w:szCs w:val="24"/>
        </w:rPr>
        <w:t>)</w:t>
      </w:r>
      <w:r w:rsidR="00E57EA6" w:rsidRPr="00DD6966">
        <w:rPr>
          <w:szCs w:val="24"/>
        </w:rPr>
        <w:t xml:space="preserve">, mientras que Turrialba presentó </w:t>
      </w:r>
      <w:r w:rsidR="009A391E" w:rsidRPr="00DD6966">
        <w:rPr>
          <w:szCs w:val="24"/>
        </w:rPr>
        <w:t>proporciones de su población mayores a los otros cantones</w:t>
      </w:r>
      <w:r w:rsidR="00E57EA6" w:rsidRPr="00DD6966">
        <w:rPr>
          <w:szCs w:val="24"/>
        </w:rPr>
        <w:t xml:space="preserve"> con problemas de “larvas” </w:t>
      </w:r>
      <w:r w:rsidR="00013C5B" w:rsidRPr="00DD6966">
        <w:rPr>
          <w:szCs w:val="24"/>
        </w:rPr>
        <w:t>(</w:t>
      </w:r>
      <w:r w:rsidR="009B6C39" w:rsidRPr="00DD6966">
        <w:rPr>
          <w:szCs w:val="24"/>
        </w:rPr>
        <w:t>3</w:t>
      </w:r>
      <w:r w:rsidR="00106AEF" w:rsidRPr="00DD6966">
        <w:rPr>
          <w:szCs w:val="24"/>
        </w:rPr>
        <w:t xml:space="preserve"> </w:t>
      </w:r>
      <w:r w:rsidR="00013C5B" w:rsidRPr="00DD6966">
        <w:rPr>
          <w:szCs w:val="24"/>
        </w:rPr>
        <w:t xml:space="preserve">%) </w:t>
      </w:r>
      <w:r w:rsidR="00E57EA6" w:rsidRPr="00DD6966">
        <w:rPr>
          <w:szCs w:val="24"/>
        </w:rPr>
        <w:t>y “otro sabor”</w:t>
      </w:r>
      <w:r w:rsidR="009B6C39" w:rsidRPr="00DD6966">
        <w:rPr>
          <w:szCs w:val="24"/>
        </w:rPr>
        <w:t xml:space="preserve"> (8</w:t>
      </w:r>
      <w:r w:rsidR="00106AEF" w:rsidRPr="00DD6966">
        <w:rPr>
          <w:szCs w:val="24"/>
        </w:rPr>
        <w:t xml:space="preserve"> </w:t>
      </w:r>
      <w:r w:rsidR="009B6C39" w:rsidRPr="00DD6966">
        <w:rPr>
          <w:szCs w:val="24"/>
        </w:rPr>
        <w:t>%)</w:t>
      </w:r>
      <w:r w:rsidR="00E57EA6" w:rsidRPr="00DD6966">
        <w:rPr>
          <w:szCs w:val="24"/>
        </w:rPr>
        <w:t xml:space="preserve">. </w:t>
      </w:r>
      <w:r w:rsidR="000D32DB" w:rsidRPr="00DD6966">
        <w:rPr>
          <w:szCs w:val="24"/>
        </w:rPr>
        <w:t xml:space="preserve">El cantón con menor reporte de todos esos tipos de problemas fue Jiménez. </w:t>
      </w:r>
      <w:r w:rsidR="009B6C39" w:rsidRPr="00DD6966">
        <w:rPr>
          <w:szCs w:val="24"/>
        </w:rPr>
        <w:t xml:space="preserve">Para el caso del </w:t>
      </w:r>
      <w:r w:rsidR="00CA4CB0" w:rsidRPr="00DD6966">
        <w:rPr>
          <w:szCs w:val="24"/>
        </w:rPr>
        <w:t xml:space="preserve">cantón de Oreamuno, a partir del </w:t>
      </w:r>
      <w:r w:rsidR="00CA4CB0" w:rsidRPr="00DD6966">
        <w:rPr>
          <w:b/>
          <w:szCs w:val="24"/>
        </w:rPr>
        <w:t>Apéndice 3</w:t>
      </w:r>
      <w:r w:rsidR="000D32DB" w:rsidRPr="00DD6966">
        <w:rPr>
          <w:szCs w:val="24"/>
        </w:rPr>
        <w:t>,</w:t>
      </w:r>
      <w:r w:rsidR="009B6C39" w:rsidRPr="00DD6966">
        <w:rPr>
          <w:szCs w:val="24"/>
        </w:rPr>
        <w:t xml:space="preserve"> es posible deducir que la mayoría de esos problemas fueron reportados en el distrito de San Rafael.</w:t>
      </w:r>
      <w:r w:rsidR="007B4AC9" w:rsidRPr="00DD6966">
        <w:rPr>
          <w:szCs w:val="24"/>
        </w:rPr>
        <w:t xml:space="preserve"> </w:t>
      </w:r>
    </w:p>
    <w:p w14:paraId="3772BF8B" w14:textId="77777777" w:rsidR="002810B8" w:rsidRPr="00DD6966" w:rsidRDefault="002810B8" w:rsidP="007A4FE8">
      <w:pPr>
        <w:spacing w:after="0"/>
        <w:jc w:val="both"/>
        <w:rPr>
          <w:szCs w:val="24"/>
        </w:rPr>
      </w:pPr>
    </w:p>
    <w:p w14:paraId="16082C46" w14:textId="3D6547DC" w:rsidR="007B4AC9" w:rsidRPr="00DD6966" w:rsidRDefault="007B4AC9" w:rsidP="007A4FE8">
      <w:pPr>
        <w:spacing w:after="0"/>
        <w:jc w:val="both"/>
        <w:rPr>
          <w:szCs w:val="24"/>
        </w:rPr>
      </w:pPr>
      <w:r w:rsidRPr="00DD6966">
        <w:rPr>
          <w:szCs w:val="24"/>
        </w:rPr>
        <w:t>Al analizar las diferencias entr</w:t>
      </w:r>
      <w:r w:rsidR="00D75F20" w:rsidRPr="00DD6966">
        <w:rPr>
          <w:szCs w:val="24"/>
        </w:rPr>
        <w:t xml:space="preserve">e operadores municipales y </w:t>
      </w:r>
      <w:r w:rsidR="00A8083D" w:rsidRPr="00DD6966">
        <w:rPr>
          <w:szCs w:val="24"/>
        </w:rPr>
        <w:t xml:space="preserve">las </w:t>
      </w:r>
      <w:r w:rsidR="00D75F20" w:rsidRPr="00DD6966">
        <w:rPr>
          <w:szCs w:val="24"/>
        </w:rPr>
        <w:t>ASADA,</w:t>
      </w:r>
      <w:r w:rsidRPr="00DD6966">
        <w:rPr>
          <w:szCs w:val="24"/>
        </w:rPr>
        <w:t xml:space="preserve"> en </w:t>
      </w:r>
      <w:r w:rsidR="00CA21A3">
        <w:rPr>
          <w:szCs w:val="24"/>
        </w:rPr>
        <w:t xml:space="preserve">cuanto </w:t>
      </w:r>
      <w:r w:rsidRPr="00DD6966">
        <w:rPr>
          <w:szCs w:val="24"/>
        </w:rPr>
        <w:t>a los p</w:t>
      </w:r>
      <w:r w:rsidR="007D504A" w:rsidRPr="00DD6966">
        <w:rPr>
          <w:szCs w:val="24"/>
        </w:rPr>
        <w:t>roblemas detectados por las personas usuarias</w:t>
      </w:r>
      <w:r w:rsidRPr="00DD6966">
        <w:rPr>
          <w:szCs w:val="24"/>
        </w:rPr>
        <w:t xml:space="preserve"> en el área de estudio, pudo observarse que para el primer tipo de operador hubo mayor frecuencia del problema de presión insuficiente (18</w:t>
      </w:r>
      <w:r w:rsidR="00CA21A3">
        <w:rPr>
          <w:szCs w:val="24"/>
        </w:rPr>
        <w:t xml:space="preserve"> </w:t>
      </w:r>
      <w:r w:rsidRPr="00DD6966">
        <w:rPr>
          <w:szCs w:val="24"/>
        </w:rPr>
        <w:t xml:space="preserve">% </w:t>
      </w:r>
      <w:r w:rsidRPr="00DD6966">
        <w:rPr>
          <w:szCs w:val="24"/>
        </w:rPr>
        <w:lastRenderedPageBreak/>
        <w:t>de la población entrevis</w:t>
      </w:r>
      <w:r w:rsidR="00D75F20" w:rsidRPr="00DD6966">
        <w:rPr>
          <w:szCs w:val="24"/>
        </w:rPr>
        <w:t>tada contra 8</w:t>
      </w:r>
      <w:r w:rsidR="00CA21A3">
        <w:rPr>
          <w:szCs w:val="24"/>
        </w:rPr>
        <w:t xml:space="preserve"> </w:t>
      </w:r>
      <w:r w:rsidR="00D75F20" w:rsidRPr="00DD6966">
        <w:rPr>
          <w:szCs w:val="24"/>
        </w:rPr>
        <w:t>% en el caso de las</w:t>
      </w:r>
      <w:r w:rsidRPr="00DD6966">
        <w:rPr>
          <w:szCs w:val="24"/>
        </w:rPr>
        <w:t xml:space="preserve"> ASADA), y mayor frecuencia de elevada turbidez en el agua (18</w:t>
      </w:r>
      <w:r w:rsidR="00CA21A3">
        <w:rPr>
          <w:szCs w:val="24"/>
        </w:rPr>
        <w:t xml:space="preserve"> </w:t>
      </w:r>
      <w:r w:rsidRPr="00DD6966">
        <w:rPr>
          <w:szCs w:val="24"/>
        </w:rPr>
        <w:t>% contra 9</w:t>
      </w:r>
      <w:r w:rsidR="00CA21A3">
        <w:rPr>
          <w:szCs w:val="24"/>
        </w:rPr>
        <w:t xml:space="preserve"> </w:t>
      </w:r>
      <w:r w:rsidRPr="00DD6966">
        <w:rPr>
          <w:szCs w:val="24"/>
        </w:rPr>
        <w:t>%). Los otros problemas presentaron porcentajes de respuesta casi idénticos: 28 y 29</w:t>
      </w:r>
      <w:r w:rsidR="00CA21A3">
        <w:rPr>
          <w:szCs w:val="24"/>
        </w:rPr>
        <w:t xml:space="preserve"> </w:t>
      </w:r>
      <w:r w:rsidRPr="00DD6966">
        <w:rPr>
          <w:szCs w:val="24"/>
        </w:rPr>
        <w:t>% para sabor a cloro, 20</w:t>
      </w:r>
      <w:r w:rsidR="00CA21A3">
        <w:rPr>
          <w:szCs w:val="24"/>
        </w:rPr>
        <w:t xml:space="preserve"> </w:t>
      </w:r>
      <w:r w:rsidRPr="00DD6966">
        <w:rPr>
          <w:szCs w:val="24"/>
        </w:rPr>
        <w:t>% en ambos casos para olor a cloro, 5</w:t>
      </w:r>
      <w:r w:rsidR="00CA21A3">
        <w:rPr>
          <w:szCs w:val="24"/>
        </w:rPr>
        <w:t xml:space="preserve"> </w:t>
      </w:r>
      <w:r w:rsidRPr="00DD6966">
        <w:rPr>
          <w:szCs w:val="24"/>
        </w:rPr>
        <w:t xml:space="preserve">% en ambos casos para otros sabores en el agua y 1 y 2 % para presencia de larvas en el agua. </w:t>
      </w:r>
    </w:p>
    <w:p w14:paraId="6A59C482" w14:textId="77777777" w:rsidR="001C4931" w:rsidRPr="00DD6966" w:rsidRDefault="001C4931" w:rsidP="007A4FE8">
      <w:pPr>
        <w:spacing w:after="0"/>
        <w:jc w:val="both"/>
        <w:rPr>
          <w:szCs w:val="24"/>
        </w:rPr>
      </w:pPr>
    </w:p>
    <w:p w14:paraId="7904E6B2" w14:textId="3F471592" w:rsidR="002810B8" w:rsidRPr="00DD6966" w:rsidRDefault="00CA21A3" w:rsidP="007A4FE8">
      <w:pPr>
        <w:spacing w:after="0"/>
        <w:jc w:val="both"/>
        <w:rPr>
          <w:szCs w:val="24"/>
        </w:rPr>
      </w:pPr>
      <w:r>
        <w:rPr>
          <w:szCs w:val="24"/>
        </w:rPr>
        <w:t>Respecto</w:t>
      </w:r>
      <w:r w:rsidR="47840DA5" w:rsidRPr="00DD6966">
        <w:rPr>
          <w:szCs w:val="24"/>
        </w:rPr>
        <w:t xml:space="preserve"> a la presencia de elevada turbidez en el agua recibida, es posible que ese problema se relacione con la discontinuidad del servicio (</w:t>
      </w:r>
      <w:r w:rsidR="47840DA5" w:rsidRPr="00DD6966">
        <w:rPr>
          <w:color w:val="365F91" w:themeColor="accent1" w:themeShade="BF"/>
          <w:szCs w:val="24"/>
        </w:rPr>
        <w:t>OMS, 2017</w:t>
      </w:r>
      <w:r w:rsidR="47840DA5" w:rsidRPr="00DD6966">
        <w:rPr>
          <w:szCs w:val="24"/>
        </w:rPr>
        <w:t>), al arrastrarse lodo o partículas sólidas hacia el interior de la red cada vez que se corta</w:t>
      </w:r>
      <w:r>
        <w:rPr>
          <w:szCs w:val="24"/>
        </w:rPr>
        <w:t xml:space="preserve"> este</w:t>
      </w:r>
      <w:r w:rsidR="47840DA5" w:rsidRPr="00DD6966">
        <w:rPr>
          <w:szCs w:val="24"/>
        </w:rPr>
        <w:t xml:space="preserve">. Al analizar los datos para el cantón de Oreamuno, </w:t>
      </w:r>
      <w:r w:rsidR="007C52EA" w:rsidRPr="00DD6966">
        <w:rPr>
          <w:szCs w:val="24"/>
        </w:rPr>
        <w:t xml:space="preserve">que fue el que presentó mayor proporción de </w:t>
      </w:r>
      <w:r w:rsidR="47840DA5" w:rsidRPr="00DD6966">
        <w:rPr>
          <w:szCs w:val="24"/>
        </w:rPr>
        <w:t xml:space="preserve">problemas de interrupción del servicio, </w:t>
      </w:r>
      <w:r w:rsidR="007C52EA" w:rsidRPr="00DD6966">
        <w:rPr>
          <w:szCs w:val="24"/>
        </w:rPr>
        <w:t xml:space="preserve">pudo observarse que fue </w:t>
      </w:r>
      <w:r w:rsidR="47840DA5" w:rsidRPr="00DD6966">
        <w:rPr>
          <w:szCs w:val="24"/>
        </w:rPr>
        <w:t xml:space="preserve">también </w:t>
      </w:r>
      <w:r w:rsidR="007C52EA" w:rsidRPr="00DD6966">
        <w:rPr>
          <w:szCs w:val="24"/>
        </w:rPr>
        <w:t>el cantón que presentó</w:t>
      </w:r>
      <w:r w:rsidR="47840DA5" w:rsidRPr="00DD6966">
        <w:rPr>
          <w:szCs w:val="24"/>
        </w:rPr>
        <w:t xml:space="preserve"> </w:t>
      </w:r>
      <w:r w:rsidR="002577D4" w:rsidRPr="00DD6966">
        <w:rPr>
          <w:szCs w:val="24"/>
        </w:rPr>
        <w:t>mayor proporción de problemas de elevada turbidez (</w:t>
      </w:r>
      <w:r w:rsidR="00CA4CB0" w:rsidRPr="00DD6966">
        <w:rPr>
          <w:b/>
          <w:szCs w:val="24"/>
        </w:rPr>
        <w:t>Apéndice 3</w:t>
      </w:r>
      <w:r w:rsidR="002577D4" w:rsidRPr="00DD6966">
        <w:rPr>
          <w:szCs w:val="24"/>
        </w:rPr>
        <w:t>)</w:t>
      </w:r>
      <w:r w:rsidR="47840DA5" w:rsidRPr="00DD6966">
        <w:rPr>
          <w:szCs w:val="24"/>
        </w:rPr>
        <w:t xml:space="preserve">. </w:t>
      </w:r>
      <w:r w:rsidR="002577D4" w:rsidRPr="00DD6966">
        <w:rPr>
          <w:szCs w:val="24"/>
        </w:rPr>
        <w:t>A partir de la evaluación de</w:t>
      </w:r>
      <w:r w:rsidR="47840DA5" w:rsidRPr="00DD6966">
        <w:rPr>
          <w:szCs w:val="24"/>
        </w:rPr>
        <w:t xml:space="preserve"> la independencia entre ambas variables</w:t>
      </w:r>
      <w:r w:rsidR="002577D4" w:rsidRPr="00DD6966">
        <w:rPr>
          <w:szCs w:val="24"/>
        </w:rPr>
        <w:t xml:space="preserve"> (</w:t>
      </w:r>
      <w:r w:rsidR="001C4931" w:rsidRPr="00DD6966">
        <w:rPr>
          <w:szCs w:val="24"/>
        </w:rPr>
        <w:fldChar w:fldCharType="begin"/>
      </w:r>
      <w:r w:rsidR="001C4931" w:rsidRPr="00DD6966">
        <w:rPr>
          <w:szCs w:val="24"/>
        </w:rPr>
        <w:instrText xml:space="preserve"> REF _Ref15474364 \h </w:instrText>
      </w:r>
      <w:r w:rsidR="00DD6966">
        <w:rPr>
          <w:szCs w:val="24"/>
        </w:rPr>
        <w:instrText xml:space="preserve"> \* MERGEFORMAT </w:instrText>
      </w:r>
      <w:r w:rsidR="001C4931" w:rsidRPr="00DD6966">
        <w:rPr>
          <w:szCs w:val="24"/>
        </w:rPr>
      </w:r>
      <w:r w:rsidR="001C4931" w:rsidRPr="00DD6966">
        <w:rPr>
          <w:szCs w:val="24"/>
        </w:rPr>
        <w:fldChar w:fldCharType="separate"/>
      </w:r>
      <w:r w:rsidR="001C4931" w:rsidRPr="00DD6966">
        <w:rPr>
          <w:b/>
          <w:szCs w:val="24"/>
        </w:rPr>
        <w:t xml:space="preserve">Apéndice </w:t>
      </w:r>
      <w:r w:rsidR="001C4931" w:rsidRPr="00DD6966">
        <w:rPr>
          <w:b/>
          <w:noProof/>
          <w:szCs w:val="24"/>
        </w:rPr>
        <w:t>4</w:t>
      </w:r>
      <w:r w:rsidR="001C4931" w:rsidRPr="00DD6966">
        <w:rPr>
          <w:szCs w:val="24"/>
        </w:rPr>
        <w:fldChar w:fldCharType="end"/>
      </w:r>
      <w:r w:rsidR="002577D4" w:rsidRPr="00DD6966">
        <w:rPr>
          <w:szCs w:val="24"/>
        </w:rPr>
        <w:t>)</w:t>
      </w:r>
      <w:r w:rsidR="47840DA5" w:rsidRPr="00DD6966">
        <w:rPr>
          <w:szCs w:val="24"/>
        </w:rPr>
        <w:t xml:space="preserve">, </w:t>
      </w:r>
      <w:r w:rsidR="002577D4" w:rsidRPr="00DD6966">
        <w:rPr>
          <w:szCs w:val="24"/>
        </w:rPr>
        <w:t xml:space="preserve">se determinó que existe una relación de dependencia entre </w:t>
      </w:r>
      <w:r w:rsidR="00013F70" w:rsidRPr="00DD6966">
        <w:rPr>
          <w:szCs w:val="24"/>
        </w:rPr>
        <w:t>ellas</w:t>
      </w:r>
      <w:r w:rsidR="47840DA5" w:rsidRPr="00DD6966">
        <w:rPr>
          <w:szCs w:val="24"/>
        </w:rPr>
        <w:t xml:space="preserve">. </w:t>
      </w:r>
      <w:r w:rsidR="00B309E0" w:rsidRPr="00DD6966">
        <w:rPr>
          <w:szCs w:val="24"/>
        </w:rPr>
        <w:t xml:space="preserve"> </w:t>
      </w:r>
      <w:r w:rsidR="002577D4" w:rsidRPr="00DD6966">
        <w:rPr>
          <w:szCs w:val="24"/>
        </w:rPr>
        <w:t xml:space="preserve">Del mismo modo, el </w:t>
      </w:r>
      <w:r w:rsidR="001C4931" w:rsidRPr="00DD6966">
        <w:rPr>
          <w:szCs w:val="24"/>
        </w:rPr>
        <w:fldChar w:fldCharType="begin"/>
      </w:r>
      <w:r w:rsidR="001C4931" w:rsidRPr="00DD6966">
        <w:rPr>
          <w:szCs w:val="24"/>
        </w:rPr>
        <w:instrText xml:space="preserve"> REF _Ref15474364 \h </w:instrText>
      </w:r>
      <w:r w:rsidR="00DD6966">
        <w:rPr>
          <w:szCs w:val="24"/>
        </w:rPr>
        <w:instrText xml:space="preserve"> \* MERGEFORMAT </w:instrText>
      </w:r>
      <w:r w:rsidR="001C4931" w:rsidRPr="00DD6966">
        <w:rPr>
          <w:szCs w:val="24"/>
        </w:rPr>
      </w:r>
      <w:r w:rsidR="001C4931" w:rsidRPr="00DD6966">
        <w:rPr>
          <w:szCs w:val="24"/>
        </w:rPr>
        <w:fldChar w:fldCharType="separate"/>
      </w:r>
      <w:r w:rsidR="001C4931" w:rsidRPr="00DD6966">
        <w:rPr>
          <w:b/>
          <w:szCs w:val="24"/>
        </w:rPr>
        <w:t xml:space="preserve">Apéndice </w:t>
      </w:r>
      <w:r w:rsidR="001C4931" w:rsidRPr="00DD6966">
        <w:rPr>
          <w:b/>
          <w:noProof/>
          <w:szCs w:val="24"/>
        </w:rPr>
        <w:t>4</w:t>
      </w:r>
      <w:r w:rsidR="001C4931" w:rsidRPr="00DD6966">
        <w:rPr>
          <w:szCs w:val="24"/>
        </w:rPr>
        <w:fldChar w:fldCharType="end"/>
      </w:r>
      <w:r w:rsidR="002577D4" w:rsidRPr="00DD6966">
        <w:rPr>
          <w:szCs w:val="24"/>
        </w:rPr>
        <w:t xml:space="preserve"> permite concluir que parece existir una relación de dependencia estadísticamente significativa entre la calidad del servicio percibido y cada uno de los problemas que fueron identificados</w:t>
      </w:r>
      <w:r w:rsidR="00CA4CB0" w:rsidRPr="00DD6966">
        <w:rPr>
          <w:szCs w:val="24"/>
        </w:rPr>
        <w:t xml:space="preserve"> por la población</w:t>
      </w:r>
      <w:r w:rsidR="002577D4" w:rsidRPr="00DD6966">
        <w:rPr>
          <w:szCs w:val="24"/>
        </w:rPr>
        <w:t>.</w:t>
      </w:r>
    </w:p>
    <w:p w14:paraId="4908BA18" w14:textId="4C133CD0" w:rsidR="002577D4" w:rsidRPr="00DD6966" w:rsidRDefault="002577D4" w:rsidP="007A4FE8">
      <w:pPr>
        <w:spacing w:after="0"/>
        <w:jc w:val="both"/>
        <w:rPr>
          <w:szCs w:val="24"/>
        </w:rPr>
      </w:pPr>
      <w:r w:rsidRPr="00DD6966">
        <w:rPr>
          <w:szCs w:val="24"/>
        </w:rPr>
        <w:tab/>
      </w:r>
    </w:p>
    <w:p w14:paraId="0C035549" w14:textId="2E055B1B" w:rsidR="005208C0" w:rsidRPr="00DD6966" w:rsidRDefault="00CA21A3" w:rsidP="007A4FE8">
      <w:pPr>
        <w:spacing w:after="0"/>
        <w:jc w:val="both"/>
        <w:rPr>
          <w:szCs w:val="24"/>
        </w:rPr>
      </w:pPr>
      <w:r>
        <w:rPr>
          <w:szCs w:val="24"/>
        </w:rPr>
        <w:t>Sobre</w:t>
      </w:r>
      <w:r w:rsidR="47840DA5" w:rsidRPr="00DD6966">
        <w:rPr>
          <w:szCs w:val="24"/>
        </w:rPr>
        <w:t xml:space="preserve"> las condiciones estéticas y organolépticas del agua para consumo humano, la </w:t>
      </w:r>
      <w:r w:rsidR="47840DA5" w:rsidRPr="00DD6966">
        <w:rPr>
          <w:color w:val="365F91" w:themeColor="accent1" w:themeShade="BF"/>
          <w:szCs w:val="24"/>
        </w:rPr>
        <w:t>OMS (2017)</w:t>
      </w:r>
      <w:r w:rsidR="47840DA5" w:rsidRPr="00DD6966">
        <w:rPr>
          <w:szCs w:val="24"/>
        </w:rPr>
        <w:t xml:space="preserve"> expresa </w:t>
      </w:r>
      <w:r w:rsidR="00CA4CB0" w:rsidRPr="00DD6966">
        <w:rPr>
          <w:szCs w:val="24"/>
        </w:rPr>
        <w:t>necesario</w:t>
      </w:r>
      <w:r w:rsidR="47840DA5" w:rsidRPr="00DD6966">
        <w:rPr>
          <w:szCs w:val="24"/>
        </w:rPr>
        <w:t xml:space="preserve"> que cuente con las condiciones necesarias de aceptabilidad en la población, de modo que esta haga uso del servicio y </w:t>
      </w:r>
      <w:r w:rsidR="00CA4CB0" w:rsidRPr="00DD6966">
        <w:rPr>
          <w:szCs w:val="24"/>
        </w:rPr>
        <w:t xml:space="preserve">no busque otras fuentes </w:t>
      </w:r>
      <w:r w:rsidR="47840DA5" w:rsidRPr="00DD6966">
        <w:rPr>
          <w:szCs w:val="24"/>
        </w:rPr>
        <w:t>que podrían presentar mejor aspecto y olor, pero no ser de calidad potable. En el caso de la población encuestada, en general muy poc</w:t>
      </w:r>
      <w:r>
        <w:rPr>
          <w:szCs w:val="24"/>
        </w:rPr>
        <w:t>a</w:t>
      </w:r>
      <w:r w:rsidR="47840DA5" w:rsidRPr="00DD6966">
        <w:rPr>
          <w:szCs w:val="24"/>
        </w:rPr>
        <w:t xml:space="preserve">s </w:t>
      </w:r>
      <w:r>
        <w:rPr>
          <w:szCs w:val="24"/>
        </w:rPr>
        <w:t xml:space="preserve">personas </w:t>
      </w:r>
      <w:r w:rsidR="47840DA5" w:rsidRPr="00DD6966">
        <w:rPr>
          <w:szCs w:val="24"/>
        </w:rPr>
        <w:t xml:space="preserve">mencionaron tener un sistema propio de abastecimiento de agua (pozo). </w:t>
      </w:r>
      <w:r w:rsidR="00CA4CB0" w:rsidRPr="00DD6966">
        <w:rPr>
          <w:szCs w:val="24"/>
        </w:rPr>
        <w:t xml:space="preserve">Dentro de las preguntas realizadas se contemplaban algunas que ayudaron a determinar el grado de conocimiento de las personas del acueducto; lo que en su mayoría reflejaba un conocimiento </w:t>
      </w:r>
      <w:r w:rsidR="005208C0" w:rsidRPr="00DD6966">
        <w:rPr>
          <w:szCs w:val="24"/>
        </w:rPr>
        <w:t>general de cada sistema.</w:t>
      </w:r>
    </w:p>
    <w:p w14:paraId="14991C4B" w14:textId="77777777" w:rsidR="001C4931" w:rsidRPr="00DD6966" w:rsidRDefault="001C4931" w:rsidP="007A4FE8">
      <w:pPr>
        <w:spacing w:after="0"/>
        <w:jc w:val="both"/>
        <w:rPr>
          <w:szCs w:val="24"/>
        </w:rPr>
      </w:pPr>
    </w:p>
    <w:p w14:paraId="52B441E0" w14:textId="6CFDDDBC" w:rsidR="003D2C0F" w:rsidRPr="00DD6966" w:rsidRDefault="47840DA5" w:rsidP="007A4FE8">
      <w:pPr>
        <w:pStyle w:val="Prrafodelista"/>
        <w:numPr>
          <w:ilvl w:val="1"/>
          <w:numId w:val="4"/>
        </w:numPr>
        <w:spacing w:after="0"/>
        <w:ind w:left="426" w:hanging="426"/>
        <w:jc w:val="both"/>
        <w:rPr>
          <w:b/>
          <w:szCs w:val="24"/>
        </w:rPr>
      </w:pPr>
      <w:r w:rsidRPr="00DD6966">
        <w:rPr>
          <w:b/>
          <w:szCs w:val="24"/>
        </w:rPr>
        <w:t>Acciones adoptadas por l</w:t>
      </w:r>
      <w:r w:rsidR="00CA21A3">
        <w:rPr>
          <w:b/>
          <w:szCs w:val="24"/>
        </w:rPr>
        <w:t>a población</w:t>
      </w:r>
      <w:r w:rsidRPr="00DD6966">
        <w:rPr>
          <w:b/>
          <w:szCs w:val="24"/>
        </w:rPr>
        <w:t xml:space="preserve"> usuari</w:t>
      </w:r>
      <w:r w:rsidR="00CA21A3">
        <w:rPr>
          <w:b/>
          <w:szCs w:val="24"/>
        </w:rPr>
        <w:t>a</w:t>
      </w:r>
      <w:r w:rsidRPr="00DD6966">
        <w:rPr>
          <w:b/>
          <w:szCs w:val="24"/>
        </w:rPr>
        <w:t xml:space="preserve"> para remediar los problemas del servicio de agua potable</w:t>
      </w:r>
    </w:p>
    <w:p w14:paraId="50DF2FAE" w14:textId="77777777" w:rsidR="001C4931" w:rsidRPr="00DD6966" w:rsidRDefault="001C4931" w:rsidP="007A4FE8">
      <w:pPr>
        <w:pStyle w:val="Prrafodelista"/>
        <w:spacing w:after="0"/>
        <w:ind w:left="426"/>
        <w:jc w:val="both"/>
        <w:rPr>
          <w:b/>
          <w:szCs w:val="24"/>
        </w:rPr>
      </w:pPr>
    </w:p>
    <w:p w14:paraId="3A0CF9FE" w14:textId="74D6E6C0" w:rsidR="00554398" w:rsidRPr="00DD6966" w:rsidRDefault="00013F70" w:rsidP="007A4FE8">
      <w:pPr>
        <w:spacing w:after="0"/>
        <w:jc w:val="both"/>
        <w:rPr>
          <w:szCs w:val="24"/>
        </w:rPr>
      </w:pPr>
      <w:r w:rsidRPr="00DD6966">
        <w:rPr>
          <w:szCs w:val="24"/>
        </w:rPr>
        <w:t>E</w:t>
      </w:r>
      <w:r w:rsidR="47840DA5" w:rsidRPr="00DD6966">
        <w:rPr>
          <w:szCs w:val="24"/>
        </w:rPr>
        <w:t xml:space="preserve">n el instrumento de consulta </w:t>
      </w:r>
      <w:r w:rsidRPr="00DD6966">
        <w:rPr>
          <w:szCs w:val="24"/>
        </w:rPr>
        <w:t xml:space="preserve">se incluyó </w:t>
      </w:r>
      <w:r w:rsidR="47840DA5" w:rsidRPr="00DD6966">
        <w:rPr>
          <w:szCs w:val="24"/>
        </w:rPr>
        <w:t xml:space="preserve">una sección de preguntas </w:t>
      </w:r>
      <w:r w:rsidRPr="00DD6966">
        <w:rPr>
          <w:szCs w:val="24"/>
        </w:rPr>
        <w:t>dirigidas</w:t>
      </w:r>
      <w:r w:rsidR="47840DA5" w:rsidRPr="00DD6966">
        <w:rPr>
          <w:szCs w:val="24"/>
        </w:rPr>
        <w:t xml:space="preserve"> a conocer las </w:t>
      </w:r>
      <w:r w:rsidRPr="00DD6966">
        <w:rPr>
          <w:szCs w:val="24"/>
        </w:rPr>
        <w:t>acciones individuales</w:t>
      </w:r>
      <w:r w:rsidR="47840DA5" w:rsidRPr="00DD6966">
        <w:rPr>
          <w:szCs w:val="24"/>
        </w:rPr>
        <w:t xml:space="preserve"> que l</w:t>
      </w:r>
      <w:r w:rsidR="00CA21A3">
        <w:rPr>
          <w:szCs w:val="24"/>
        </w:rPr>
        <w:t>a</w:t>
      </w:r>
      <w:r w:rsidR="47840DA5" w:rsidRPr="00DD6966">
        <w:rPr>
          <w:szCs w:val="24"/>
        </w:rPr>
        <w:t>s pobla</w:t>
      </w:r>
      <w:r w:rsidR="00CA21A3">
        <w:rPr>
          <w:szCs w:val="24"/>
        </w:rPr>
        <w:t>cion</w:t>
      </w:r>
      <w:r w:rsidR="47840DA5" w:rsidRPr="00DD6966">
        <w:rPr>
          <w:szCs w:val="24"/>
        </w:rPr>
        <w:t>es utilizaban para mejorar su acceso a agua de calidad.  Los resultados de esta sección evidenciaron que en respuesta a los distintos problemas de la red de suministro del agua (cantidad insuficiente o calidad del líquid</w:t>
      </w:r>
      <w:r w:rsidR="005208C0" w:rsidRPr="00DD6966">
        <w:rPr>
          <w:szCs w:val="24"/>
        </w:rPr>
        <w:t xml:space="preserve">o dudosa), las personas usuarias </w:t>
      </w:r>
      <w:r w:rsidR="47840DA5" w:rsidRPr="00DD6966">
        <w:rPr>
          <w:szCs w:val="24"/>
        </w:rPr>
        <w:t xml:space="preserve">tienden a implementar sistemas de almacenamiento y de tratamiento complementario en sus casas. </w:t>
      </w:r>
    </w:p>
    <w:p w14:paraId="1D34F629" w14:textId="77777777" w:rsidR="001C4931" w:rsidRPr="00DD6966" w:rsidRDefault="001C4931" w:rsidP="007A4FE8">
      <w:pPr>
        <w:spacing w:after="0"/>
        <w:jc w:val="both"/>
        <w:rPr>
          <w:szCs w:val="24"/>
        </w:rPr>
      </w:pPr>
    </w:p>
    <w:p w14:paraId="77997F92" w14:textId="735F39F3" w:rsidR="00554398" w:rsidRPr="00DD6966" w:rsidRDefault="47840DA5" w:rsidP="007A4FE8">
      <w:pPr>
        <w:spacing w:after="0"/>
        <w:jc w:val="both"/>
        <w:rPr>
          <w:szCs w:val="24"/>
        </w:rPr>
      </w:pPr>
      <w:r w:rsidRPr="00CA21A3">
        <w:rPr>
          <w:szCs w:val="24"/>
        </w:rPr>
        <w:t xml:space="preserve">Según </w:t>
      </w:r>
      <w:r w:rsidR="005208C0" w:rsidRPr="00CA21A3">
        <w:rPr>
          <w:szCs w:val="24"/>
        </w:rPr>
        <w:t>los resultados</w:t>
      </w:r>
      <w:r w:rsidRPr="00CA21A3">
        <w:rPr>
          <w:szCs w:val="24"/>
        </w:rPr>
        <w:t>, los tanques de almacenamiento de agua son una de las opciones más utilizadas</w:t>
      </w:r>
      <w:r w:rsidRPr="00DD6966">
        <w:rPr>
          <w:szCs w:val="24"/>
        </w:rPr>
        <w:t xml:space="preserve"> (existentes en 12</w:t>
      </w:r>
      <w:r w:rsidR="00106AEF" w:rsidRPr="00DD6966">
        <w:rPr>
          <w:szCs w:val="24"/>
        </w:rPr>
        <w:t>.</w:t>
      </w:r>
      <w:r w:rsidRPr="00DD6966">
        <w:rPr>
          <w:szCs w:val="24"/>
        </w:rPr>
        <w:t>3</w:t>
      </w:r>
      <w:r w:rsidR="00106AEF" w:rsidRPr="00DD6966">
        <w:rPr>
          <w:szCs w:val="24"/>
        </w:rPr>
        <w:t xml:space="preserve"> </w:t>
      </w:r>
      <w:r w:rsidRPr="00DD6966">
        <w:rPr>
          <w:szCs w:val="24"/>
        </w:rPr>
        <w:t xml:space="preserve">% de la muestra total). </w:t>
      </w:r>
      <w:r w:rsidR="005208C0" w:rsidRPr="00DD6966">
        <w:rPr>
          <w:szCs w:val="24"/>
        </w:rPr>
        <w:t>Las personas</w:t>
      </w:r>
      <w:r w:rsidRPr="00DD6966">
        <w:rPr>
          <w:szCs w:val="24"/>
        </w:rPr>
        <w:t xml:space="preserve"> que cuentan con tanque indicaron que la mayoría son aéreos (80</w:t>
      </w:r>
      <w:r w:rsidR="00106AEF" w:rsidRPr="00DD6966">
        <w:rPr>
          <w:szCs w:val="24"/>
        </w:rPr>
        <w:t>.</w:t>
      </w:r>
      <w:r w:rsidRPr="00DD6966">
        <w:rPr>
          <w:szCs w:val="24"/>
        </w:rPr>
        <w:t>6</w:t>
      </w:r>
      <w:r w:rsidR="00106AEF" w:rsidRPr="00DD6966">
        <w:rPr>
          <w:szCs w:val="24"/>
        </w:rPr>
        <w:t xml:space="preserve"> </w:t>
      </w:r>
      <w:r w:rsidRPr="00DD6966">
        <w:rPr>
          <w:szCs w:val="24"/>
        </w:rPr>
        <w:t>% de los casos), y en mucho menor caso se usan los subterráneos (19</w:t>
      </w:r>
      <w:r w:rsidR="00106AEF" w:rsidRPr="00DD6966">
        <w:rPr>
          <w:szCs w:val="24"/>
        </w:rPr>
        <w:t>.</w:t>
      </w:r>
      <w:r w:rsidRPr="00DD6966">
        <w:rPr>
          <w:szCs w:val="24"/>
        </w:rPr>
        <w:t>4</w:t>
      </w:r>
      <w:r w:rsidR="00106AEF" w:rsidRPr="00DD6966">
        <w:rPr>
          <w:szCs w:val="24"/>
        </w:rPr>
        <w:t xml:space="preserve"> </w:t>
      </w:r>
      <w:r w:rsidRPr="00DD6966">
        <w:rPr>
          <w:szCs w:val="24"/>
        </w:rPr>
        <w:t xml:space="preserve">%). Cuando se cuenta con sistemas de almacenamiento de agua, es indispensable la limpieza de </w:t>
      </w:r>
      <w:r w:rsidR="00CA21A3">
        <w:rPr>
          <w:szCs w:val="24"/>
        </w:rPr>
        <w:t>est</w:t>
      </w:r>
      <w:r w:rsidRPr="00DD6966">
        <w:rPr>
          <w:szCs w:val="24"/>
        </w:rPr>
        <w:t xml:space="preserve">os para garantizar la calidad del líquido, también es importante </w:t>
      </w:r>
      <w:r w:rsidR="008B15CB" w:rsidRPr="00DD6966">
        <w:rPr>
          <w:szCs w:val="24"/>
        </w:rPr>
        <w:t xml:space="preserve">renovar frecuentemente </w:t>
      </w:r>
      <w:r w:rsidRPr="00DD6966">
        <w:rPr>
          <w:szCs w:val="24"/>
        </w:rPr>
        <w:t>el agua almacenada, para lo cual se aconseja tener un sistema que sea de paso obligatorio del suministro y no solo de almacenamiento temporal. Cuando se consultó respecto a la frecuencia de limpieza, la porción de la muestra que tiene tanque indicó que esta varía entre una vez al día ha</w:t>
      </w:r>
      <w:r w:rsidR="005208C0" w:rsidRPr="00DD6966">
        <w:rPr>
          <w:szCs w:val="24"/>
        </w:rPr>
        <w:t>sta un</w:t>
      </w:r>
      <w:r w:rsidR="00BF1272" w:rsidRPr="00DD6966">
        <w:rPr>
          <w:szCs w:val="24"/>
        </w:rPr>
        <w:t xml:space="preserve">a vez al año. Algunas personas </w:t>
      </w:r>
      <w:r w:rsidR="005208C0" w:rsidRPr="00DD6966">
        <w:rPr>
          <w:szCs w:val="24"/>
        </w:rPr>
        <w:t>encuestada</w:t>
      </w:r>
      <w:r w:rsidRPr="00DD6966">
        <w:rPr>
          <w:szCs w:val="24"/>
        </w:rPr>
        <w:t xml:space="preserve">s manifestaron no limpiar el tanque (3 casos) y en 5 casos </w:t>
      </w:r>
      <w:r w:rsidR="005208C0" w:rsidRPr="00DD6966">
        <w:rPr>
          <w:szCs w:val="24"/>
        </w:rPr>
        <w:t>se des</w:t>
      </w:r>
      <w:r w:rsidRPr="00DD6966">
        <w:rPr>
          <w:szCs w:val="24"/>
        </w:rPr>
        <w:t xml:space="preserve">conocía la frecuencia de limpieza de su tanque de agua. </w:t>
      </w:r>
      <w:r w:rsidR="00BF1272" w:rsidRPr="00DD6966">
        <w:rPr>
          <w:szCs w:val="24"/>
        </w:rPr>
        <w:t>Esto puede ser un problema</w:t>
      </w:r>
      <w:r w:rsidR="00A862E2">
        <w:rPr>
          <w:szCs w:val="24"/>
        </w:rPr>
        <w:t>,</w:t>
      </w:r>
      <w:r w:rsidR="00BF1272" w:rsidRPr="00DD6966">
        <w:rPr>
          <w:szCs w:val="24"/>
        </w:rPr>
        <w:t xml:space="preserve"> debido a que la falta de limpieza puede contaminar el agua que se está almacenando. </w:t>
      </w:r>
    </w:p>
    <w:p w14:paraId="13D45578" w14:textId="77777777" w:rsidR="001C4931" w:rsidRPr="00DD6966" w:rsidRDefault="001C4931" w:rsidP="007A4FE8">
      <w:pPr>
        <w:spacing w:after="0"/>
        <w:jc w:val="both"/>
        <w:rPr>
          <w:szCs w:val="24"/>
        </w:rPr>
      </w:pPr>
    </w:p>
    <w:p w14:paraId="6850FDB4" w14:textId="3A4EA8E1" w:rsidR="00554398" w:rsidRPr="00DD6966" w:rsidRDefault="47840DA5" w:rsidP="007A4FE8">
      <w:pPr>
        <w:spacing w:after="0"/>
        <w:jc w:val="both"/>
        <w:rPr>
          <w:szCs w:val="24"/>
        </w:rPr>
      </w:pPr>
      <w:r w:rsidRPr="00DD6966">
        <w:rPr>
          <w:szCs w:val="24"/>
        </w:rPr>
        <w:t xml:space="preserve">En relación </w:t>
      </w:r>
      <w:r w:rsidR="00A862E2">
        <w:rPr>
          <w:szCs w:val="24"/>
        </w:rPr>
        <w:t>con e</w:t>
      </w:r>
      <w:r w:rsidRPr="00DD6966">
        <w:rPr>
          <w:szCs w:val="24"/>
        </w:rPr>
        <w:t>l sistema domiciliar de tratamiento del agua (filtro</w:t>
      </w:r>
      <w:r w:rsidR="005208C0" w:rsidRPr="00DD6966">
        <w:rPr>
          <w:szCs w:val="24"/>
        </w:rPr>
        <w:t>), la mayoría de la</w:t>
      </w:r>
      <w:r w:rsidRPr="00DD6966">
        <w:rPr>
          <w:szCs w:val="24"/>
        </w:rPr>
        <w:t>s</w:t>
      </w:r>
      <w:r w:rsidR="005208C0" w:rsidRPr="00DD6966">
        <w:rPr>
          <w:szCs w:val="24"/>
        </w:rPr>
        <w:t xml:space="preserve"> personas</w:t>
      </w:r>
      <w:r w:rsidRPr="00DD6966">
        <w:rPr>
          <w:szCs w:val="24"/>
        </w:rPr>
        <w:t xml:space="preserve"> encue</w:t>
      </w:r>
      <w:r w:rsidR="005208C0" w:rsidRPr="00DD6966">
        <w:rPr>
          <w:szCs w:val="24"/>
        </w:rPr>
        <w:t>stada</w:t>
      </w:r>
      <w:r w:rsidR="00106AEF" w:rsidRPr="00DD6966">
        <w:rPr>
          <w:szCs w:val="24"/>
        </w:rPr>
        <w:t>s que poseen un sistema (6.</w:t>
      </w:r>
      <w:r w:rsidRPr="00DD6966">
        <w:rPr>
          <w:szCs w:val="24"/>
        </w:rPr>
        <w:t>9</w:t>
      </w:r>
      <w:r w:rsidR="00106AEF" w:rsidRPr="00DD6966">
        <w:rPr>
          <w:szCs w:val="24"/>
        </w:rPr>
        <w:t xml:space="preserve"> </w:t>
      </w:r>
      <w:r w:rsidRPr="00DD6966">
        <w:rPr>
          <w:szCs w:val="24"/>
        </w:rPr>
        <w:t xml:space="preserve">% de la muestra) respondió que tienen el dispositivo </w:t>
      </w:r>
      <w:r w:rsidRPr="00DD6966">
        <w:rPr>
          <w:szCs w:val="24"/>
        </w:rPr>
        <w:lastRenderedPageBreak/>
        <w:t>en la cachera de la cocina (70</w:t>
      </w:r>
      <w:r w:rsidR="00106AEF" w:rsidRPr="00DD6966">
        <w:rPr>
          <w:szCs w:val="24"/>
        </w:rPr>
        <w:t>.</w:t>
      </w:r>
      <w:r w:rsidRPr="00DD6966">
        <w:rPr>
          <w:szCs w:val="24"/>
        </w:rPr>
        <w:t>6</w:t>
      </w:r>
      <w:r w:rsidR="00106AEF" w:rsidRPr="00DD6966">
        <w:rPr>
          <w:szCs w:val="24"/>
        </w:rPr>
        <w:t xml:space="preserve"> </w:t>
      </w:r>
      <w:r w:rsidRPr="00DD6966">
        <w:rPr>
          <w:szCs w:val="24"/>
        </w:rPr>
        <w:t>%), mientras que un 11</w:t>
      </w:r>
      <w:r w:rsidR="00106AEF" w:rsidRPr="00DD6966">
        <w:rPr>
          <w:szCs w:val="24"/>
        </w:rPr>
        <w:t>.</w:t>
      </w:r>
      <w:r w:rsidRPr="00DD6966">
        <w:rPr>
          <w:szCs w:val="24"/>
        </w:rPr>
        <w:t>6</w:t>
      </w:r>
      <w:r w:rsidR="00106AEF" w:rsidRPr="00DD6966">
        <w:rPr>
          <w:szCs w:val="24"/>
        </w:rPr>
        <w:t xml:space="preserve"> </w:t>
      </w:r>
      <w:r w:rsidRPr="00DD6966">
        <w:rPr>
          <w:szCs w:val="24"/>
        </w:rPr>
        <w:t>% dijo tener un sistema en cada grifo de la casa y un 5</w:t>
      </w:r>
      <w:r w:rsidR="00106AEF" w:rsidRPr="00DD6966">
        <w:rPr>
          <w:szCs w:val="24"/>
        </w:rPr>
        <w:t>.</w:t>
      </w:r>
      <w:r w:rsidRPr="00DD6966">
        <w:rPr>
          <w:szCs w:val="24"/>
        </w:rPr>
        <w:t>5</w:t>
      </w:r>
      <w:r w:rsidR="00106AEF" w:rsidRPr="00DD6966">
        <w:rPr>
          <w:szCs w:val="24"/>
        </w:rPr>
        <w:t xml:space="preserve"> </w:t>
      </w:r>
      <w:r w:rsidRPr="00DD6966">
        <w:rPr>
          <w:szCs w:val="24"/>
        </w:rPr>
        <w:t>% respondió que el sistema de tratamiento está en la entrada al tanque de almacenamiento. Cuando se les preguntó sobre la frecuencia de remplazo o de limpieza de ese dispositivo, las respuestas variaron de entre algunas semanas hasta cada 5 años</w:t>
      </w:r>
      <w:r w:rsidR="00A862E2">
        <w:rPr>
          <w:szCs w:val="24"/>
        </w:rPr>
        <w:t xml:space="preserve">; </w:t>
      </w:r>
      <w:r w:rsidR="00106AEF" w:rsidRPr="00DD6966">
        <w:rPr>
          <w:szCs w:val="24"/>
        </w:rPr>
        <w:t>6 meses</w:t>
      </w:r>
      <w:r w:rsidR="00A862E2">
        <w:rPr>
          <w:szCs w:val="24"/>
        </w:rPr>
        <w:t xml:space="preserve"> resultó ser</w:t>
      </w:r>
      <w:r w:rsidR="00106AEF" w:rsidRPr="00DD6966">
        <w:rPr>
          <w:szCs w:val="24"/>
        </w:rPr>
        <w:t xml:space="preserve"> el valor más usual (14.</w:t>
      </w:r>
      <w:r w:rsidRPr="00DD6966">
        <w:rPr>
          <w:szCs w:val="24"/>
        </w:rPr>
        <w:t>7</w:t>
      </w:r>
      <w:r w:rsidR="00106AEF" w:rsidRPr="00DD6966">
        <w:rPr>
          <w:szCs w:val="24"/>
        </w:rPr>
        <w:t xml:space="preserve"> </w:t>
      </w:r>
      <w:r w:rsidRPr="00DD6966">
        <w:rPr>
          <w:szCs w:val="24"/>
        </w:rPr>
        <w:t xml:space="preserve">% de los casos). </w:t>
      </w:r>
      <w:r w:rsidR="005208C0" w:rsidRPr="00DD6966">
        <w:rPr>
          <w:szCs w:val="24"/>
        </w:rPr>
        <w:t xml:space="preserve">La recomendación para estos dispositivos en general es no propiciar su uso, pues los hábitos de reemplazo y limpieza pueden estar contaminando el agua a su paso más que limpiándola. </w:t>
      </w:r>
      <w:r w:rsidRPr="00DD6966">
        <w:rPr>
          <w:szCs w:val="24"/>
        </w:rPr>
        <w:t xml:space="preserve">En relación </w:t>
      </w:r>
      <w:r w:rsidR="00A862E2">
        <w:rPr>
          <w:szCs w:val="24"/>
        </w:rPr>
        <w:t>con</w:t>
      </w:r>
      <w:r w:rsidRPr="00DD6966">
        <w:rPr>
          <w:szCs w:val="24"/>
        </w:rPr>
        <w:t xml:space="preserve"> la práctica de hervir el agua que es consumida (para tomar o para </w:t>
      </w:r>
      <w:r w:rsidR="00106AEF" w:rsidRPr="00DD6966">
        <w:rPr>
          <w:szCs w:val="24"/>
        </w:rPr>
        <w:t>la cocción de alimentos), el 78.</w:t>
      </w:r>
      <w:r w:rsidRPr="00DD6966">
        <w:rPr>
          <w:szCs w:val="24"/>
        </w:rPr>
        <w:t>0</w:t>
      </w:r>
      <w:r w:rsidR="00106AEF" w:rsidRPr="00DD6966">
        <w:rPr>
          <w:szCs w:val="24"/>
        </w:rPr>
        <w:t xml:space="preserve"> </w:t>
      </w:r>
      <w:r w:rsidRPr="00DD6966">
        <w:rPr>
          <w:szCs w:val="24"/>
        </w:rPr>
        <w:t xml:space="preserve">% de </w:t>
      </w:r>
      <w:r w:rsidR="005208C0" w:rsidRPr="00DD6966">
        <w:rPr>
          <w:szCs w:val="24"/>
        </w:rPr>
        <w:t>las personas</w:t>
      </w:r>
      <w:r w:rsidRPr="00DD6966">
        <w:rPr>
          <w:szCs w:val="24"/>
        </w:rPr>
        <w:t xml:space="preserve"> que practican esa actividad (18</w:t>
      </w:r>
      <w:r w:rsidR="00106AEF" w:rsidRPr="00DD6966">
        <w:rPr>
          <w:szCs w:val="24"/>
        </w:rPr>
        <w:t>.</w:t>
      </w:r>
      <w:r w:rsidRPr="00DD6966">
        <w:rPr>
          <w:szCs w:val="24"/>
        </w:rPr>
        <w:t>3</w:t>
      </w:r>
      <w:r w:rsidR="00106AEF" w:rsidRPr="00DD6966">
        <w:rPr>
          <w:szCs w:val="24"/>
        </w:rPr>
        <w:t xml:space="preserve"> </w:t>
      </w:r>
      <w:r w:rsidRPr="00DD6966">
        <w:rPr>
          <w:szCs w:val="24"/>
        </w:rPr>
        <w:t>% de la muestra) dijo hervi</w:t>
      </w:r>
      <w:r w:rsidR="005208C0" w:rsidRPr="00DD6966">
        <w:rPr>
          <w:szCs w:val="24"/>
        </w:rPr>
        <w:t>r un volumen de 1 a 3 L diarios</w:t>
      </w:r>
      <w:r w:rsidRPr="00DD6966">
        <w:rPr>
          <w:szCs w:val="24"/>
        </w:rPr>
        <w:t>. Esta práctica se evidenció más frecuente en el cantón de Oreamuno, donde</w:t>
      </w:r>
      <w:r w:rsidR="00A862E2">
        <w:rPr>
          <w:szCs w:val="24"/>
        </w:rPr>
        <w:t>,</w:t>
      </w:r>
      <w:r w:rsidRPr="00DD6966">
        <w:rPr>
          <w:szCs w:val="24"/>
        </w:rPr>
        <w:t xml:space="preserve"> como se vio en la sección </w:t>
      </w:r>
      <w:r w:rsidR="00380833" w:rsidRPr="00DD6966">
        <w:rPr>
          <w:szCs w:val="24"/>
        </w:rPr>
        <w:t>4</w:t>
      </w:r>
      <w:r w:rsidRPr="00DD6966">
        <w:rPr>
          <w:szCs w:val="24"/>
        </w:rPr>
        <w:t>.</w:t>
      </w:r>
      <w:r w:rsidR="00380833" w:rsidRPr="00DD6966">
        <w:rPr>
          <w:szCs w:val="24"/>
        </w:rPr>
        <w:t>2</w:t>
      </w:r>
      <w:r w:rsidR="00A862E2">
        <w:rPr>
          <w:szCs w:val="24"/>
        </w:rPr>
        <w:t>,</w:t>
      </w:r>
      <w:r w:rsidRPr="00DD6966">
        <w:rPr>
          <w:szCs w:val="24"/>
        </w:rPr>
        <w:t xml:space="preserve"> </w:t>
      </w:r>
      <w:r w:rsidR="00380833" w:rsidRPr="00DD6966">
        <w:rPr>
          <w:szCs w:val="24"/>
        </w:rPr>
        <w:t>hubo</w:t>
      </w:r>
      <w:r w:rsidRPr="00DD6966">
        <w:rPr>
          <w:szCs w:val="24"/>
        </w:rPr>
        <w:t xml:space="preserve"> menor satisfacción con </w:t>
      </w:r>
      <w:r w:rsidR="00013F70" w:rsidRPr="00DD6966">
        <w:rPr>
          <w:szCs w:val="24"/>
        </w:rPr>
        <w:t>el</w:t>
      </w:r>
      <w:r w:rsidRPr="00DD6966">
        <w:rPr>
          <w:szCs w:val="24"/>
        </w:rPr>
        <w:t xml:space="preserve"> servicio </w:t>
      </w:r>
      <w:r w:rsidR="00013F70" w:rsidRPr="00DD6966">
        <w:rPr>
          <w:szCs w:val="24"/>
        </w:rPr>
        <w:t>de</w:t>
      </w:r>
      <w:r w:rsidRPr="00DD6966">
        <w:rPr>
          <w:szCs w:val="24"/>
        </w:rPr>
        <w:t xml:space="preserve"> agua.</w:t>
      </w:r>
    </w:p>
    <w:p w14:paraId="2B922B8D" w14:textId="77777777" w:rsidR="00A316B2" w:rsidRPr="00DD6966" w:rsidRDefault="00A316B2" w:rsidP="007A4FE8">
      <w:pPr>
        <w:spacing w:after="0"/>
        <w:jc w:val="both"/>
        <w:rPr>
          <w:szCs w:val="24"/>
        </w:rPr>
      </w:pPr>
    </w:p>
    <w:p w14:paraId="6B68627E" w14:textId="5E36EF0B" w:rsidR="00E70BD7" w:rsidRDefault="007529C6" w:rsidP="007A4FE8">
      <w:pPr>
        <w:spacing w:after="0"/>
        <w:jc w:val="both"/>
        <w:rPr>
          <w:szCs w:val="24"/>
        </w:rPr>
      </w:pPr>
      <w:r w:rsidRPr="00DD6966">
        <w:rPr>
          <w:szCs w:val="24"/>
        </w:rPr>
        <w:t xml:space="preserve">La </w:t>
      </w:r>
      <w:r w:rsidRPr="00DD6966">
        <w:rPr>
          <w:szCs w:val="24"/>
        </w:rPr>
        <w:fldChar w:fldCharType="begin"/>
      </w:r>
      <w:r w:rsidRPr="00DD6966">
        <w:rPr>
          <w:szCs w:val="24"/>
        </w:rPr>
        <w:instrText xml:space="preserve"> REF _Ref14197997 \h </w:instrText>
      </w:r>
      <w:r w:rsidR="00DD6966">
        <w:rPr>
          <w:szCs w:val="24"/>
        </w:rPr>
        <w:instrText xml:space="preserve"> \* MERGEFORMAT </w:instrText>
      </w:r>
      <w:r w:rsidRPr="00DD6966">
        <w:rPr>
          <w:szCs w:val="24"/>
        </w:rPr>
      </w:r>
      <w:r w:rsidRPr="00DD6966">
        <w:rPr>
          <w:szCs w:val="24"/>
        </w:rPr>
        <w:fldChar w:fldCharType="separate"/>
      </w:r>
      <w:r w:rsidR="009F5136" w:rsidRPr="00DD6966">
        <w:rPr>
          <w:b/>
          <w:szCs w:val="24"/>
        </w:rPr>
        <w:t xml:space="preserve">Figura </w:t>
      </w:r>
      <w:r w:rsidR="009F5136" w:rsidRPr="00DD6966">
        <w:rPr>
          <w:b/>
          <w:noProof/>
          <w:szCs w:val="24"/>
        </w:rPr>
        <w:t>7</w:t>
      </w:r>
      <w:r w:rsidRPr="00DD6966">
        <w:rPr>
          <w:szCs w:val="24"/>
        </w:rPr>
        <w:fldChar w:fldCharType="end"/>
      </w:r>
      <w:r w:rsidRPr="00DD6966">
        <w:rPr>
          <w:szCs w:val="24"/>
        </w:rPr>
        <w:t xml:space="preserve"> muestra las distintas </w:t>
      </w:r>
      <w:r w:rsidR="007B28FE" w:rsidRPr="00DD6966">
        <w:rPr>
          <w:szCs w:val="24"/>
        </w:rPr>
        <w:t xml:space="preserve">acciones </w:t>
      </w:r>
      <w:r w:rsidRPr="00DD6966">
        <w:rPr>
          <w:szCs w:val="24"/>
        </w:rPr>
        <w:t>que la población encuestada manifestó emplear en su casa</w:t>
      </w:r>
      <w:r w:rsidR="007B28FE" w:rsidRPr="00DD6966">
        <w:rPr>
          <w:szCs w:val="24"/>
        </w:rPr>
        <w:t xml:space="preserve"> para lidiar con los problemas </w:t>
      </w:r>
      <w:r w:rsidR="005208C0" w:rsidRPr="00DD6966">
        <w:rPr>
          <w:szCs w:val="24"/>
        </w:rPr>
        <w:t>que percibe en</w:t>
      </w:r>
      <w:r w:rsidR="00523E5B" w:rsidRPr="00DD6966">
        <w:rPr>
          <w:szCs w:val="24"/>
        </w:rPr>
        <w:t xml:space="preserve"> </w:t>
      </w:r>
      <w:r w:rsidR="007B28FE" w:rsidRPr="00DD6966">
        <w:rPr>
          <w:szCs w:val="24"/>
        </w:rPr>
        <w:t>el servicio de agua potable de su comunidad</w:t>
      </w:r>
      <w:r w:rsidRPr="00DD6966">
        <w:rPr>
          <w:szCs w:val="24"/>
        </w:rPr>
        <w:t>.</w:t>
      </w:r>
    </w:p>
    <w:p w14:paraId="7C7D5D66" w14:textId="77777777" w:rsidR="00253215" w:rsidRPr="00DD6966" w:rsidRDefault="00253215" w:rsidP="007A4FE8">
      <w:pPr>
        <w:spacing w:after="0"/>
        <w:jc w:val="both"/>
        <w:rPr>
          <w:szCs w:val="24"/>
        </w:rPr>
      </w:pPr>
    </w:p>
    <w:p w14:paraId="0ECAFA87" w14:textId="31686CAB" w:rsidR="00AD1587" w:rsidRPr="00DD6966" w:rsidRDefault="009D3206" w:rsidP="007A4FE8">
      <w:pPr>
        <w:jc w:val="both"/>
        <w:rPr>
          <w:szCs w:val="24"/>
        </w:rPr>
      </w:pPr>
      <w:r w:rsidRPr="00DD6966">
        <w:rPr>
          <w:noProof/>
          <w:szCs w:val="24"/>
          <w:lang w:val="es-ES" w:eastAsia="es-ES"/>
        </w:rPr>
        <w:drawing>
          <wp:inline distT="0" distB="0" distL="0" distR="0" wp14:anchorId="0E1DB969" wp14:editId="42CB57A2">
            <wp:extent cx="5759450" cy="2628000"/>
            <wp:effectExtent l="0" t="0" r="12700" b="1270"/>
            <wp:docPr id="6" name="Gráfico 6">
              <a:extLst xmlns:a="http://schemas.openxmlformats.org/drawingml/2006/main">
                <a:ext uri="{FF2B5EF4-FFF2-40B4-BE49-F238E27FC236}">
                  <a16:creationId xmlns:a16="http://schemas.microsoft.com/office/drawing/2014/main" id="{FD590515-E0ED-4D64-B86D-26BDCDA403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CC97CB5" w14:textId="5DD613A6" w:rsidR="008C1EE6" w:rsidRPr="007A4FE8" w:rsidRDefault="008C1EE6" w:rsidP="007A4FE8">
      <w:pPr>
        <w:spacing w:after="0"/>
        <w:jc w:val="both"/>
        <w:rPr>
          <w:iCs/>
          <w:szCs w:val="24"/>
        </w:rPr>
      </w:pPr>
      <w:bookmarkStart w:id="11" w:name="_Ref14197997"/>
      <w:r w:rsidRPr="007A4FE8">
        <w:rPr>
          <w:b/>
          <w:iCs/>
          <w:szCs w:val="24"/>
        </w:rPr>
        <w:t xml:space="preserve">Figura </w:t>
      </w:r>
      <w:r w:rsidR="00727D03" w:rsidRPr="007A4FE8">
        <w:rPr>
          <w:b/>
          <w:iCs/>
          <w:noProof/>
          <w:szCs w:val="24"/>
        </w:rPr>
        <w:fldChar w:fldCharType="begin"/>
      </w:r>
      <w:r w:rsidR="00727D03" w:rsidRPr="007A4FE8">
        <w:rPr>
          <w:b/>
          <w:iCs/>
          <w:noProof/>
          <w:szCs w:val="24"/>
        </w:rPr>
        <w:instrText xml:space="preserve"> SEQ Figura \* ARABIC </w:instrText>
      </w:r>
      <w:r w:rsidR="00727D03" w:rsidRPr="007A4FE8">
        <w:rPr>
          <w:b/>
          <w:iCs/>
          <w:noProof/>
          <w:szCs w:val="24"/>
        </w:rPr>
        <w:fldChar w:fldCharType="separate"/>
      </w:r>
      <w:r w:rsidR="009F5136" w:rsidRPr="007A4FE8">
        <w:rPr>
          <w:b/>
          <w:iCs/>
          <w:noProof/>
          <w:szCs w:val="24"/>
        </w:rPr>
        <w:t>7</w:t>
      </w:r>
      <w:r w:rsidR="00727D03" w:rsidRPr="007A4FE8">
        <w:rPr>
          <w:b/>
          <w:iCs/>
          <w:noProof/>
          <w:szCs w:val="24"/>
        </w:rPr>
        <w:fldChar w:fldCharType="end"/>
      </w:r>
      <w:bookmarkEnd w:id="11"/>
      <w:r w:rsidRPr="007A4FE8">
        <w:rPr>
          <w:b/>
          <w:iCs/>
          <w:szCs w:val="24"/>
        </w:rPr>
        <w:t>.</w:t>
      </w:r>
      <w:r w:rsidRPr="007A4FE8">
        <w:rPr>
          <w:iCs/>
          <w:szCs w:val="24"/>
        </w:rPr>
        <w:t xml:space="preserve"> </w:t>
      </w:r>
      <w:r w:rsidR="007B28FE" w:rsidRPr="007A4FE8">
        <w:rPr>
          <w:iCs/>
          <w:szCs w:val="24"/>
        </w:rPr>
        <w:t>Acciones</w:t>
      </w:r>
      <w:r w:rsidR="007529C6" w:rsidRPr="007A4FE8">
        <w:rPr>
          <w:iCs/>
          <w:szCs w:val="24"/>
        </w:rPr>
        <w:t xml:space="preserve"> individuales</w:t>
      </w:r>
      <w:r w:rsidR="009D3206" w:rsidRPr="007A4FE8">
        <w:rPr>
          <w:iCs/>
          <w:szCs w:val="24"/>
        </w:rPr>
        <w:t xml:space="preserve"> adoptadas por los usuarios </w:t>
      </w:r>
      <w:r w:rsidR="007B28FE" w:rsidRPr="007A4FE8">
        <w:rPr>
          <w:iCs/>
          <w:szCs w:val="24"/>
        </w:rPr>
        <w:t>para afrontar los problemas del servicio de agua potable</w:t>
      </w:r>
      <w:r w:rsidR="009D3206" w:rsidRPr="007A4FE8">
        <w:rPr>
          <w:iCs/>
          <w:szCs w:val="24"/>
        </w:rPr>
        <w:t>, por cantón</w:t>
      </w:r>
      <w:r w:rsidR="00E21F15" w:rsidRPr="007A4FE8">
        <w:rPr>
          <w:iCs/>
          <w:szCs w:val="24"/>
        </w:rPr>
        <w:t>.</w:t>
      </w:r>
    </w:p>
    <w:p w14:paraId="0DBE7BA7" w14:textId="67609F50" w:rsidR="006504DF" w:rsidRPr="00253215" w:rsidRDefault="006504DF" w:rsidP="007A4FE8">
      <w:pPr>
        <w:jc w:val="both"/>
        <w:rPr>
          <w:b/>
          <w:i/>
          <w:iCs/>
          <w:szCs w:val="24"/>
          <w:lang w:val="en-US"/>
        </w:rPr>
      </w:pPr>
      <w:r w:rsidRPr="00253215">
        <w:rPr>
          <w:b/>
          <w:i/>
          <w:iCs/>
          <w:szCs w:val="24"/>
          <w:lang w:val="en-US"/>
        </w:rPr>
        <w:t xml:space="preserve">Figure 7. </w:t>
      </w:r>
      <w:r w:rsidRPr="00253215">
        <w:rPr>
          <w:i/>
          <w:iCs/>
          <w:szCs w:val="24"/>
          <w:lang w:val="en-US"/>
        </w:rPr>
        <w:t xml:space="preserve">Individual actions adopted by users to address the water-related problems by </w:t>
      </w:r>
      <w:r w:rsidR="00253215" w:rsidRPr="00253215">
        <w:rPr>
          <w:i/>
          <w:iCs/>
          <w:szCs w:val="24"/>
          <w:lang w:val="en-US"/>
        </w:rPr>
        <w:t>county</w:t>
      </w:r>
      <w:r w:rsidR="00E21F15" w:rsidRPr="00253215">
        <w:rPr>
          <w:i/>
          <w:iCs/>
          <w:szCs w:val="24"/>
          <w:lang w:val="en-US"/>
        </w:rPr>
        <w:t>.</w:t>
      </w:r>
    </w:p>
    <w:p w14:paraId="39E8B402" w14:textId="6A5A3496" w:rsidR="007529C6" w:rsidRPr="00DD6966" w:rsidRDefault="00554398" w:rsidP="007A4FE8">
      <w:pPr>
        <w:spacing w:after="0"/>
        <w:jc w:val="both"/>
        <w:rPr>
          <w:szCs w:val="24"/>
        </w:rPr>
      </w:pPr>
      <w:r w:rsidRPr="00056149">
        <w:rPr>
          <w:szCs w:val="24"/>
        </w:rPr>
        <w:t>A</w:t>
      </w:r>
      <w:r w:rsidR="00C141EE" w:rsidRPr="00056149">
        <w:rPr>
          <w:szCs w:val="24"/>
        </w:rPr>
        <w:t xml:space="preserve"> partir de la </w:t>
      </w:r>
      <w:r w:rsidR="00C141EE" w:rsidRPr="00056149">
        <w:rPr>
          <w:szCs w:val="24"/>
        </w:rPr>
        <w:fldChar w:fldCharType="begin"/>
      </w:r>
      <w:r w:rsidR="00C141EE" w:rsidRPr="006C7223">
        <w:rPr>
          <w:szCs w:val="24"/>
        </w:rPr>
        <w:instrText xml:space="preserve"> REF _Ref14197997 \h </w:instrText>
      </w:r>
      <w:r w:rsidR="00DD6966" w:rsidRPr="006C7223">
        <w:rPr>
          <w:szCs w:val="24"/>
        </w:rPr>
        <w:instrText xml:space="preserve"> \* MERGEFORMAT </w:instrText>
      </w:r>
      <w:r w:rsidR="00C141EE" w:rsidRPr="00056149">
        <w:rPr>
          <w:szCs w:val="24"/>
        </w:rPr>
      </w:r>
      <w:r w:rsidR="00C141EE" w:rsidRPr="007A4FE8">
        <w:rPr>
          <w:szCs w:val="24"/>
          <w:lang w:val="pt-BR"/>
        </w:rPr>
        <w:fldChar w:fldCharType="separate"/>
      </w:r>
      <w:r w:rsidR="009F5136" w:rsidRPr="00056149">
        <w:rPr>
          <w:b/>
          <w:szCs w:val="24"/>
        </w:rPr>
        <w:t xml:space="preserve">Figura </w:t>
      </w:r>
      <w:r w:rsidR="009F5136" w:rsidRPr="00056149">
        <w:rPr>
          <w:b/>
          <w:noProof/>
          <w:szCs w:val="24"/>
        </w:rPr>
        <w:t>7</w:t>
      </w:r>
      <w:r w:rsidR="00C141EE" w:rsidRPr="00056149">
        <w:rPr>
          <w:szCs w:val="24"/>
        </w:rPr>
        <w:fldChar w:fldCharType="end"/>
      </w:r>
      <w:r w:rsidR="00C141EE" w:rsidRPr="00056149">
        <w:rPr>
          <w:szCs w:val="24"/>
        </w:rPr>
        <w:t xml:space="preserve"> es posible inferir que el cantón de Oreamuno es el que cuenta con mayor proporción de </w:t>
      </w:r>
      <w:r w:rsidR="007B28FE" w:rsidRPr="00056149">
        <w:rPr>
          <w:szCs w:val="24"/>
        </w:rPr>
        <w:t>acciones</w:t>
      </w:r>
      <w:r w:rsidR="00C141EE" w:rsidRPr="00056149">
        <w:rPr>
          <w:szCs w:val="24"/>
        </w:rPr>
        <w:t xml:space="preserve"> individuales para atender </w:t>
      </w:r>
      <w:r w:rsidR="00857815" w:rsidRPr="00056149">
        <w:rPr>
          <w:szCs w:val="24"/>
        </w:rPr>
        <w:t xml:space="preserve">posibles </w:t>
      </w:r>
      <w:r w:rsidR="00C141EE" w:rsidRPr="00056149">
        <w:rPr>
          <w:szCs w:val="24"/>
        </w:rPr>
        <w:t>problemas en el suministro del agua, en cada una de las catego</w:t>
      </w:r>
      <w:r w:rsidR="00C141EE" w:rsidRPr="00D42396">
        <w:rPr>
          <w:szCs w:val="24"/>
        </w:rPr>
        <w:t>rías analizadas</w:t>
      </w:r>
      <w:r w:rsidR="00C141EE" w:rsidRPr="00DD6966">
        <w:rPr>
          <w:szCs w:val="24"/>
        </w:rPr>
        <w:t xml:space="preserve">. Al </w:t>
      </w:r>
      <w:r w:rsidR="00392DB1" w:rsidRPr="00DD6966">
        <w:rPr>
          <w:szCs w:val="24"/>
        </w:rPr>
        <w:t>revisar</w:t>
      </w:r>
      <w:r w:rsidR="00C141EE" w:rsidRPr="00DD6966">
        <w:rPr>
          <w:szCs w:val="24"/>
        </w:rPr>
        <w:t xml:space="preserve"> el </w:t>
      </w:r>
      <w:r w:rsidR="000257E7" w:rsidRPr="00DD6966">
        <w:rPr>
          <w:b/>
          <w:bCs/>
          <w:noProof/>
          <w:szCs w:val="24"/>
        </w:rPr>
        <w:t>Apéndice</w:t>
      </w:r>
      <w:r w:rsidR="000257E7" w:rsidRPr="00DD6966">
        <w:rPr>
          <w:b/>
          <w:szCs w:val="24"/>
        </w:rPr>
        <w:t xml:space="preserve"> </w:t>
      </w:r>
      <w:r w:rsidR="00C141EE" w:rsidRPr="00DD6966">
        <w:rPr>
          <w:b/>
          <w:szCs w:val="24"/>
        </w:rPr>
        <w:fldChar w:fldCharType="begin"/>
      </w:r>
      <w:r w:rsidR="00C141EE" w:rsidRPr="00DD6966">
        <w:rPr>
          <w:b/>
          <w:szCs w:val="24"/>
        </w:rPr>
        <w:instrText xml:space="preserve"> REF _Ref14113647 \h </w:instrText>
      </w:r>
      <w:r w:rsidR="00523E5B" w:rsidRPr="00DD6966">
        <w:rPr>
          <w:b/>
          <w:szCs w:val="24"/>
        </w:rPr>
        <w:instrText xml:space="preserve"> \* MERGEFORMAT </w:instrText>
      </w:r>
      <w:r w:rsidR="00C141EE" w:rsidRPr="00DD6966">
        <w:rPr>
          <w:b/>
          <w:szCs w:val="24"/>
        </w:rPr>
      </w:r>
      <w:r w:rsidR="00C141EE" w:rsidRPr="00DD6966">
        <w:rPr>
          <w:b/>
          <w:szCs w:val="24"/>
        </w:rPr>
        <w:fldChar w:fldCharType="end"/>
      </w:r>
      <w:r w:rsidR="00523E5B" w:rsidRPr="00DD6966">
        <w:rPr>
          <w:b/>
          <w:szCs w:val="24"/>
        </w:rPr>
        <w:t>3</w:t>
      </w:r>
      <w:r w:rsidR="00C141EE" w:rsidRPr="00DD6966">
        <w:rPr>
          <w:szCs w:val="24"/>
        </w:rPr>
        <w:t>, puede verificarse que, en el caso de ese cantón, la mayoría de esos dispositivos se encuentran instalados en el distrito de San Rafael (89</w:t>
      </w:r>
      <w:r w:rsidR="00560209" w:rsidRPr="00DD6966">
        <w:rPr>
          <w:szCs w:val="24"/>
        </w:rPr>
        <w:t xml:space="preserve"> </w:t>
      </w:r>
      <w:r w:rsidR="00C141EE" w:rsidRPr="00DD6966">
        <w:rPr>
          <w:szCs w:val="24"/>
        </w:rPr>
        <w:t>% de los sistemas de almacenamiento de agua, 94</w:t>
      </w:r>
      <w:r w:rsidR="00560209" w:rsidRPr="00DD6966">
        <w:rPr>
          <w:szCs w:val="24"/>
        </w:rPr>
        <w:t xml:space="preserve"> </w:t>
      </w:r>
      <w:r w:rsidR="00C141EE" w:rsidRPr="00DD6966">
        <w:rPr>
          <w:szCs w:val="24"/>
        </w:rPr>
        <w:t>% de los sistemas de bombeo, 97</w:t>
      </w:r>
      <w:r w:rsidR="00560209" w:rsidRPr="00DD6966">
        <w:rPr>
          <w:szCs w:val="24"/>
        </w:rPr>
        <w:t xml:space="preserve"> </w:t>
      </w:r>
      <w:r w:rsidR="00C141EE" w:rsidRPr="00DD6966">
        <w:rPr>
          <w:szCs w:val="24"/>
        </w:rPr>
        <w:t>% de los sistemas de tratamiento del agua y 72</w:t>
      </w:r>
      <w:r w:rsidR="00560209" w:rsidRPr="00DD6966">
        <w:rPr>
          <w:szCs w:val="24"/>
        </w:rPr>
        <w:t xml:space="preserve"> </w:t>
      </w:r>
      <w:r w:rsidR="00C141EE" w:rsidRPr="00DD6966">
        <w:rPr>
          <w:szCs w:val="24"/>
        </w:rPr>
        <w:t xml:space="preserve">% de los casos de personas que hierven el agua antes de consumirla). Esta situación </w:t>
      </w:r>
      <w:r w:rsidR="00245443" w:rsidRPr="00DD6966">
        <w:rPr>
          <w:szCs w:val="24"/>
        </w:rPr>
        <w:t>es</w:t>
      </w:r>
      <w:r w:rsidR="00C141EE" w:rsidRPr="00DD6966">
        <w:rPr>
          <w:szCs w:val="24"/>
        </w:rPr>
        <w:t xml:space="preserve"> congruente con </w:t>
      </w:r>
      <w:r w:rsidR="007B28FE" w:rsidRPr="00DD6966">
        <w:rPr>
          <w:szCs w:val="24"/>
        </w:rPr>
        <w:t>el nivel de satisfacción de l</w:t>
      </w:r>
      <w:r w:rsidR="00523E5B" w:rsidRPr="00DD6966">
        <w:rPr>
          <w:szCs w:val="24"/>
        </w:rPr>
        <w:t>a</w:t>
      </w:r>
      <w:r w:rsidR="007B28FE" w:rsidRPr="00DD6966">
        <w:rPr>
          <w:szCs w:val="24"/>
        </w:rPr>
        <w:t>s</w:t>
      </w:r>
      <w:r w:rsidR="00523E5B" w:rsidRPr="00DD6966">
        <w:rPr>
          <w:szCs w:val="24"/>
        </w:rPr>
        <w:t xml:space="preserve"> personas usuaria</w:t>
      </w:r>
      <w:r w:rsidR="007B28FE" w:rsidRPr="00DD6966">
        <w:rPr>
          <w:szCs w:val="24"/>
        </w:rPr>
        <w:t xml:space="preserve">s con </w:t>
      </w:r>
      <w:r w:rsidR="00C141EE" w:rsidRPr="00DD6966">
        <w:rPr>
          <w:szCs w:val="24"/>
        </w:rPr>
        <w:t xml:space="preserve">el servicio de agua y con los problemas que ellos </w:t>
      </w:r>
      <w:r w:rsidR="007B28FE" w:rsidRPr="00DD6966">
        <w:rPr>
          <w:szCs w:val="24"/>
        </w:rPr>
        <w:t xml:space="preserve">identificaron, según </w:t>
      </w:r>
      <w:r w:rsidR="00C141EE" w:rsidRPr="00DD6966">
        <w:rPr>
          <w:szCs w:val="24"/>
        </w:rPr>
        <w:t>se expuso en los apartados anteriores.</w:t>
      </w:r>
      <w:r w:rsidR="006513B5" w:rsidRPr="00DD6966">
        <w:rPr>
          <w:szCs w:val="24"/>
        </w:rPr>
        <w:t xml:space="preserve"> </w:t>
      </w:r>
      <w:r w:rsidR="00B50924" w:rsidRPr="00DD6966">
        <w:rPr>
          <w:szCs w:val="24"/>
        </w:rPr>
        <w:t>Similarmente</w:t>
      </w:r>
      <w:r w:rsidR="006513B5" w:rsidRPr="00DD6966">
        <w:rPr>
          <w:szCs w:val="24"/>
        </w:rPr>
        <w:t xml:space="preserve">, los cantones de Jiménez y de Turrialba </w:t>
      </w:r>
      <w:r w:rsidR="007B28FE" w:rsidRPr="00DD6966">
        <w:rPr>
          <w:szCs w:val="24"/>
        </w:rPr>
        <w:t>presentaron una menor proporción de su muestra aplicando algún tipo de acción privada relacionada con la calidad del agua</w:t>
      </w:r>
      <w:r w:rsidR="00523E5B" w:rsidRPr="00DD6966">
        <w:rPr>
          <w:szCs w:val="24"/>
        </w:rPr>
        <w:t>, lo que</w:t>
      </w:r>
      <w:r w:rsidR="006513B5" w:rsidRPr="00DD6966">
        <w:rPr>
          <w:szCs w:val="24"/>
        </w:rPr>
        <w:t xml:space="preserve"> es congruente con lo analizado anteriormente </w:t>
      </w:r>
      <w:r w:rsidR="00523E5B" w:rsidRPr="00DD6966">
        <w:rPr>
          <w:szCs w:val="24"/>
        </w:rPr>
        <w:t>para la satisfacción de</w:t>
      </w:r>
      <w:r w:rsidR="00056149">
        <w:rPr>
          <w:szCs w:val="24"/>
        </w:rPr>
        <w:t xml:space="preserve">l público </w:t>
      </w:r>
      <w:r w:rsidR="00523E5B" w:rsidRPr="00DD6966">
        <w:rPr>
          <w:szCs w:val="24"/>
        </w:rPr>
        <w:t>usuari</w:t>
      </w:r>
      <w:r w:rsidR="00056149">
        <w:rPr>
          <w:szCs w:val="24"/>
        </w:rPr>
        <w:t>o</w:t>
      </w:r>
      <w:r w:rsidR="006513B5" w:rsidRPr="00DD6966">
        <w:rPr>
          <w:szCs w:val="24"/>
        </w:rPr>
        <w:t xml:space="preserve"> y los problemas identificados en esos cantones. </w:t>
      </w:r>
    </w:p>
    <w:p w14:paraId="3DA5F6C0" w14:textId="77777777" w:rsidR="000257E7" w:rsidRPr="00DD6966" w:rsidRDefault="000257E7" w:rsidP="007A4FE8">
      <w:pPr>
        <w:spacing w:after="0"/>
        <w:jc w:val="both"/>
        <w:rPr>
          <w:szCs w:val="24"/>
        </w:rPr>
      </w:pPr>
    </w:p>
    <w:p w14:paraId="6774A904" w14:textId="65942ADA" w:rsidR="00D7395D" w:rsidRPr="00DD6966" w:rsidRDefault="00FC5F58" w:rsidP="007A4FE8">
      <w:pPr>
        <w:spacing w:after="0"/>
        <w:jc w:val="both"/>
        <w:rPr>
          <w:szCs w:val="24"/>
        </w:rPr>
      </w:pPr>
      <w:r w:rsidRPr="00DD6966">
        <w:rPr>
          <w:szCs w:val="24"/>
        </w:rPr>
        <w:t xml:space="preserve">Al analizar las acciones de las personas usuarias de los sistemas </w:t>
      </w:r>
      <w:r w:rsidR="00D7395D" w:rsidRPr="00DD6966">
        <w:rPr>
          <w:szCs w:val="24"/>
        </w:rPr>
        <w:t xml:space="preserve">según el tipo de operador, </w:t>
      </w:r>
      <w:r w:rsidRPr="00DD6966">
        <w:rPr>
          <w:szCs w:val="24"/>
        </w:rPr>
        <w:t xml:space="preserve">pudo observarse que para </w:t>
      </w:r>
      <w:r w:rsidR="00D7395D" w:rsidRPr="00DD6966">
        <w:rPr>
          <w:szCs w:val="24"/>
        </w:rPr>
        <w:t>los sistemas municipales el uso de tanques de almacenamiento (18</w:t>
      </w:r>
      <w:r w:rsidR="00056149">
        <w:rPr>
          <w:szCs w:val="24"/>
        </w:rPr>
        <w:t xml:space="preserve"> </w:t>
      </w:r>
      <w:r w:rsidR="00D7395D" w:rsidRPr="00DD6966">
        <w:rPr>
          <w:szCs w:val="24"/>
        </w:rPr>
        <w:t xml:space="preserve">% de </w:t>
      </w:r>
      <w:r w:rsidR="00D7395D" w:rsidRPr="00DD6966">
        <w:rPr>
          <w:szCs w:val="24"/>
        </w:rPr>
        <w:lastRenderedPageBreak/>
        <w:t>los casos) es más común que para los sistemas operados por ASADA (5</w:t>
      </w:r>
      <w:r w:rsidR="00056149">
        <w:rPr>
          <w:szCs w:val="24"/>
        </w:rPr>
        <w:t xml:space="preserve"> </w:t>
      </w:r>
      <w:r w:rsidR="00D7395D" w:rsidRPr="00DD6966">
        <w:rPr>
          <w:szCs w:val="24"/>
        </w:rPr>
        <w:t>% de los casos). Similarmente, una proporción mayor de las personas encuestadas atendidas por sistemas municipales poseen un sistema de purificación del agua en sus casas (9</w:t>
      </w:r>
      <w:r w:rsidR="00056149">
        <w:rPr>
          <w:szCs w:val="24"/>
        </w:rPr>
        <w:t xml:space="preserve"> </w:t>
      </w:r>
      <w:r w:rsidR="00D7395D" w:rsidRPr="00DD6966">
        <w:rPr>
          <w:szCs w:val="24"/>
        </w:rPr>
        <w:t>%) y hierven el agua antes de consumirla (23</w:t>
      </w:r>
      <w:r w:rsidR="00056149">
        <w:rPr>
          <w:szCs w:val="24"/>
        </w:rPr>
        <w:t xml:space="preserve"> </w:t>
      </w:r>
      <w:r w:rsidR="00D7395D" w:rsidRPr="00DD6966">
        <w:rPr>
          <w:szCs w:val="24"/>
        </w:rPr>
        <w:t xml:space="preserve">%), al comparar su frecuencia con la medida en </w:t>
      </w:r>
      <w:r w:rsidR="00D75F20" w:rsidRPr="00DD6966">
        <w:rPr>
          <w:szCs w:val="24"/>
        </w:rPr>
        <w:t>los sistemas operados por ASADA</w:t>
      </w:r>
      <w:r w:rsidR="00D7395D" w:rsidRPr="00DD6966">
        <w:rPr>
          <w:szCs w:val="24"/>
        </w:rPr>
        <w:t xml:space="preserve"> (4 y 11</w:t>
      </w:r>
      <w:r w:rsidR="00056149">
        <w:rPr>
          <w:szCs w:val="24"/>
        </w:rPr>
        <w:t xml:space="preserve"> </w:t>
      </w:r>
      <w:r w:rsidR="00D7395D" w:rsidRPr="00DD6966">
        <w:rPr>
          <w:szCs w:val="24"/>
        </w:rPr>
        <w:t>% respectivamente).</w:t>
      </w:r>
    </w:p>
    <w:p w14:paraId="219D80D0" w14:textId="77777777" w:rsidR="00A316B2" w:rsidRPr="00DD6966" w:rsidRDefault="00A316B2" w:rsidP="007A4FE8">
      <w:pPr>
        <w:spacing w:after="0"/>
        <w:jc w:val="both"/>
        <w:rPr>
          <w:szCs w:val="24"/>
        </w:rPr>
      </w:pPr>
    </w:p>
    <w:p w14:paraId="3637EDB0" w14:textId="21A03EDA" w:rsidR="00245443" w:rsidRPr="00DD6966" w:rsidRDefault="002577D4" w:rsidP="007A4FE8">
      <w:pPr>
        <w:jc w:val="both"/>
        <w:rPr>
          <w:szCs w:val="24"/>
        </w:rPr>
      </w:pPr>
      <w:r w:rsidRPr="00DD6966">
        <w:rPr>
          <w:szCs w:val="24"/>
        </w:rPr>
        <w:t xml:space="preserve">De este modo, y según se observa a partir del </w:t>
      </w:r>
      <w:r w:rsidR="00253215" w:rsidRPr="00253215">
        <w:rPr>
          <w:b/>
          <w:bCs/>
          <w:szCs w:val="24"/>
        </w:rPr>
        <w:t>Apéndice 4</w:t>
      </w:r>
      <w:r w:rsidRPr="00DD6966">
        <w:rPr>
          <w:szCs w:val="24"/>
        </w:rPr>
        <w:fldChar w:fldCharType="begin"/>
      </w:r>
      <w:r w:rsidRPr="00DD6966">
        <w:rPr>
          <w:szCs w:val="24"/>
        </w:rPr>
        <w:instrText xml:space="preserve"> REF _Ref15474364 \h </w:instrText>
      </w:r>
      <w:r w:rsidR="00931454" w:rsidRPr="00DD6966">
        <w:rPr>
          <w:szCs w:val="24"/>
        </w:rPr>
        <w:instrText xml:space="preserve"> \* MERGEFORMAT </w:instrText>
      </w:r>
      <w:r w:rsidRPr="00DD6966">
        <w:rPr>
          <w:szCs w:val="24"/>
        </w:rPr>
      </w:r>
      <w:r w:rsidRPr="00DD6966">
        <w:rPr>
          <w:szCs w:val="24"/>
        </w:rPr>
        <w:fldChar w:fldCharType="end"/>
      </w:r>
      <w:r w:rsidRPr="00DD6966">
        <w:rPr>
          <w:szCs w:val="24"/>
        </w:rPr>
        <w:t xml:space="preserve">, </w:t>
      </w:r>
      <w:r w:rsidR="0084495E" w:rsidRPr="00DD6966">
        <w:rPr>
          <w:szCs w:val="24"/>
        </w:rPr>
        <w:t>la relación entre el nivel del servicio percibido</w:t>
      </w:r>
      <w:r w:rsidR="00523E5B" w:rsidRPr="00DD6966">
        <w:rPr>
          <w:szCs w:val="24"/>
        </w:rPr>
        <w:t>, los problemas</w:t>
      </w:r>
      <w:r w:rsidR="0084495E" w:rsidRPr="00DD6966">
        <w:rPr>
          <w:szCs w:val="24"/>
        </w:rPr>
        <w:t xml:space="preserve"> identifica</w:t>
      </w:r>
      <w:r w:rsidR="00523E5B" w:rsidRPr="00DD6966">
        <w:rPr>
          <w:szCs w:val="24"/>
        </w:rPr>
        <w:t>dos</w:t>
      </w:r>
      <w:r w:rsidR="0084495E" w:rsidRPr="00DD6966">
        <w:rPr>
          <w:szCs w:val="24"/>
        </w:rPr>
        <w:t xml:space="preserve"> en el servicio de agua y </w:t>
      </w:r>
      <w:r w:rsidR="00ED249F" w:rsidRPr="00DD6966">
        <w:rPr>
          <w:szCs w:val="24"/>
        </w:rPr>
        <w:t>las acciones</w:t>
      </w:r>
      <w:r w:rsidR="00523E5B" w:rsidRPr="00DD6966">
        <w:rPr>
          <w:szCs w:val="24"/>
        </w:rPr>
        <w:t xml:space="preserve"> personales</w:t>
      </w:r>
      <w:r w:rsidR="0084495E" w:rsidRPr="00DD6966">
        <w:rPr>
          <w:szCs w:val="24"/>
        </w:rPr>
        <w:t xml:space="preserve"> para anticiparlos, </w:t>
      </w:r>
      <w:r w:rsidR="00ED249F" w:rsidRPr="00DD6966">
        <w:rPr>
          <w:szCs w:val="24"/>
        </w:rPr>
        <w:t>estarían fuertemente asociados</w:t>
      </w:r>
      <w:r w:rsidR="0084495E" w:rsidRPr="00DD6966">
        <w:rPr>
          <w:szCs w:val="24"/>
        </w:rPr>
        <w:t>.</w:t>
      </w:r>
      <w:r w:rsidR="00906B9F" w:rsidRPr="00DD6966">
        <w:rPr>
          <w:szCs w:val="24"/>
        </w:rPr>
        <w:t xml:space="preserve"> A una conclusión similar llegó </w:t>
      </w:r>
      <w:r w:rsidR="00906B9F" w:rsidRPr="00DD6966">
        <w:rPr>
          <w:color w:val="365F91" w:themeColor="accent1" w:themeShade="BF"/>
          <w:szCs w:val="24"/>
        </w:rPr>
        <w:fldChar w:fldCharType="begin" w:fldLock="1"/>
      </w:r>
      <w:r w:rsidR="00791B91" w:rsidRPr="00DD6966">
        <w:rPr>
          <w:color w:val="365F91" w:themeColor="accent1" w:themeShade="BF"/>
          <w:szCs w:val="24"/>
        </w:rPr>
        <w:instrText>ADDIN CSL_CITATION {"citationItems":[{"id":"ITEM-1","itemData":{"ISSN":"20072422","author":[{"dropping-particle":"","family":"González-Villarreal","given":"Fernando","non-dropping-particle":"","parse-names":false,"suffix":""},{"dropping-particle":"","family":"Aguirre-Díaz","given":"Ramón","non-dropping-particle":"","parse-names":false,"suffix":""},{"dropping-particle":"","family":"Lartigue","given":"Cecilia","non-dropping-particle":"","parse-names":false,"suffix":""}],"container-title":"Tecnologia y Ciencias del Agua","id":"ITEM-1","issue":"6","issued":{"date-parts":[["2016"]]},"page":"41-56","title":"Percepciones, actitudes y conductas respecto al servicio de agua potable en la Ciudad de México","type":"article-journal","volume":"7"},"uris":["http://www.mendeley.com/documents/?uuid=907204f6-d565-472e-9472-1f0401b52346"]}],"mendeley":{"formattedCitation":"(González-Villarreal, Aguirre-Díaz, &amp; Lartigue, 2016)","manualFormatting":"González et al. (2016)","plainTextFormattedCitation":"(González-Villarreal, Aguirre-Díaz, &amp; Lartigue, 2016)","previouslyFormattedCitation":"(González-Villarreal, Aguirre-Díaz, &amp; Lartigue, 2016)"},"properties":{"noteIndex":0},"schema":"https://github.com/citation-style-language/schema/raw/master/csl-citation.json"}</w:instrText>
      </w:r>
      <w:r w:rsidR="00906B9F" w:rsidRPr="00DD6966">
        <w:rPr>
          <w:color w:val="365F91" w:themeColor="accent1" w:themeShade="BF"/>
          <w:szCs w:val="24"/>
        </w:rPr>
        <w:fldChar w:fldCharType="separate"/>
      </w:r>
      <w:r w:rsidR="00906B9F" w:rsidRPr="00DD6966">
        <w:rPr>
          <w:noProof/>
          <w:color w:val="365F91" w:themeColor="accent1" w:themeShade="BF"/>
          <w:szCs w:val="24"/>
        </w:rPr>
        <w:t>González</w:t>
      </w:r>
      <w:r w:rsidR="00253215">
        <w:rPr>
          <w:noProof/>
          <w:color w:val="365F91" w:themeColor="accent1" w:themeShade="BF"/>
          <w:szCs w:val="24"/>
        </w:rPr>
        <w:t>-Villarreal</w:t>
      </w:r>
      <w:r w:rsidR="00906B9F" w:rsidRPr="00DD6966">
        <w:rPr>
          <w:noProof/>
          <w:color w:val="365F91" w:themeColor="accent1" w:themeShade="BF"/>
          <w:szCs w:val="24"/>
        </w:rPr>
        <w:t xml:space="preserve"> </w:t>
      </w:r>
      <w:r w:rsidR="00906B9F" w:rsidRPr="00DD6966">
        <w:rPr>
          <w:i/>
          <w:iCs/>
          <w:noProof/>
          <w:color w:val="365F91" w:themeColor="accent1" w:themeShade="BF"/>
          <w:szCs w:val="24"/>
        </w:rPr>
        <w:t>et al.</w:t>
      </w:r>
      <w:r w:rsidR="00906B9F" w:rsidRPr="00DD6966">
        <w:rPr>
          <w:noProof/>
          <w:color w:val="365F91" w:themeColor="accent1" w:themeShade="BF"/>
          <w:szCs w:val="24"/>
        </w:rPr>
        <w:t xml:space="preserve"> (2016)</w:t>
      </w:r>
      <w:r w:rsidR="00906B9F" w:rsidRPr="00DD6966">
        <w:rPr>
          <w:color w:val="365F91" w:themeColor="accent1" w:themeShade="BF"/>
          <w:szCs w:val="24"/>
        </w:rPr>
        <w:fldChar w:fldCharType="end"/>
      </w:r>
      <w:r w:rsidR="00906B9F" w:rsidRPr="00DD6966">
        <w:rPr>
          <w:szCs w:val="24"/>
        </w:rPr>
        <w:t xml:space="preserve"> para el caso del sistema de agua potable en la ciudad de México, en donde los autores encontraron una dependencia estadísticamente significativa (p = 0</w:t>
      </w:r>
      <w:r w:rsidR="00560209" w:rsidRPr="00DD6966">
        <w:rPr>
          <w:szCs w:val="24"/>
        </w:rPr>
        <w:t>.</w:t>
      </w:r>
      <w:r w:rsidR="00906B9F" w:rsidRPr="00DD6966">
        <w:rPr>
          <w:szCs w:val="24"/>
        </w:rPr>
        <w:t xml:space="preserve">002 para prueba </w:t>
      </w:r>
      <w:r w:rsidR="00906B9F" w:rsidRPr="00DD6966">
        <w:rPr>
          <w:rFonts w:cs="Times New Roman"/>
          <w:szCs w:val="24"/>
        </w:rPr>
        <w:t>χ</w:t>
      </w:r>
      <w:r w:rsidR="00906B9F" w:rsidRPr="00DD6966">
        <w:rPr>
          <w:szCs w:val="24"/>
          <w:vertAlign w:val="superscript"/>
        </w:rPr>
        <w:t>2</w:t>
      </w:r>
      <w:r w:rsidR="00906B9F" w:rsidRPr="00DD6966">
        <w:rPr>
          <w:szCs w:val="24"/>
        </w:rPr>
        <w:t xml:space="preserve"> de contingencia con significancia de 5</w:t>
      </w:r>
      <w:r w:rsidR="00560209" w:rsidRPr="00DD6966">
        <w:rPr>
          <w:szCs w:val="24"/>
        </w:rPr>
        <w:t xml:space="preserve"> </w:t>
      </w:r>
      <w:r w:rsidR="00906B9F" w:rsidRPr="00DD6966">
        <w:rPr>
          <w:szCs w:val="24"/>
        </w:rPr>
        <w:t xml:space="preserve">%) entre la percepción de la calidad del servicio de agua en esa ciudad con el consumo de agua embotellada por parte de la población. </w:t>
      </w:r>
    </w:p>
    <w:p w14:paraId="1501295D" w14:textId="77777777" w:rsidR="00195DD5" w:rsidRPr="00DD6966" w:rsidRDefault="00195DD5" w:rsidP="007A4FE8">
      <w:pPr>
        <w:spacing w:after="0"/>
        <w:jc w:val="both"/>
        <w:rPr>
          <w:szCs w:val="24"/>
        </w:rPr>
      </w:pPr>
    </w:p>
    <w:p w14:paraId="10071A1F" w14:textId="2F6C3D18" w:rsidR="002577D4" w:rsidRPr="00DD6966" w:rsidRDefault="007A4FE8" w:rsidP="007A4FE8">
      <w:pPr>
        <w:jc w:val="both"/>
        <w:rPr>
          <w:szCs w:val="24"/>
        </w:rPr>
      </w:pPr>
      <w:r>
        <w:rPr>
          <w:szCs w:val="24"/>
        </w:rPr>
        <w:t>De acuerdo</w:t>
      </w:r>
      <w:r w:rsidR="47840DA5" w:rsidRPr="00DD6966">
        <w:rPr>
          <w:szCs w:val="24"/>
        </w:rPr>
        <w:t xml:space="preserve"> </w:t>
      </w:r>
      <w:r w:rsidR="00056149">
        <w:rPr>
          <w:szCs w:val="24"/>
        </w:rPr>
        <w:t>con e</w:t>
      </w:r>
      <w:r w:rsidR="47840DA5" w:rsidRPr="00DD6966">
        <w:rPr>
          <w:szCs w:val="24"/>
        </w:rPr>
        <w:t>l uso de sistemas de almacenamiento del agua o de tratamiento</w:t>
      </w:r>
      <w:r w:rsidR="00B27F52" w:rsidRPr="00DD6966">
        <w:rPr>
          <w:szCs w:val="24"/>
        </w:rPr>
        <w:t>s</w:t>
      </w:r>
      <w:r w:rsidR="47840DA5" w:rsidRPr="00DD6966">
        <w:rPr>
          <w:szCs w:val="24"/>
        </w:rPr>
        <w:t xml:space="preserve"> domiciliares, la </w:t>
      </w:r>
      <w:r w:rsidR="47840DA5" w:rsidRPr="00DD6966">
        <w:rPr>
          <w:color w:val="365F91" w:themeColor="accent1" w:themeShade="BF"/>
          <w:szCs w:val="24"/>
        </w:rPr>
        <w:t xml:space="preserve">OMS (2017) </w:t>
      </w:r>
      <w:r w:rsidR="47840DA5" w:rsidRPr="00DD6966">
        <w:rPr>
          <w:szCs w:val="24"/>
        </w:rPr>
        <w:t xml:space="preserve">advierte sobre el riesgo que esa práctica supone al tratarse de elementos no monitoreados por los prestadores del servicio, ni por alguna autoridad del Estado, </w:t>
      </w:r>
      <w:r w:rsidR="00056149">
        <w:rPr>
          <w:szCs w:val="24"/>
        </w:rPr>
        <w:t xml:space="preserve">por lo cual su </w:t>
      </w:r>
      <w:r w:rsidR="47840DA5" w:rsidRPr="00DD6966">
        <w:rPr>
          <w:szCs w:val="24"/>
        </w:rPr>
        <w:t>adecuada operación y mantenimie</w:t>
      </w:r>
      <w:r w:rsidR="00523E5B" w:rsidRPr="00DD6966">
        <w:rPr>
          <w:szCs w:val="24"/>
        </w:rPr>
        <w:t xml:space="preserve">nto </w:t>
      </w:r>
      <w:r w:rsidR="00056149">
        <w:rPr>
          <w:szCs w:val="24"/>
        </w:rPr>
        <w:t xml:space="preserve">queda </w:t>
      </w:r>
      <w:r w:rsidR="00523E5B" w:rsidRPr="00DD6966">
        <w:rPr>
          <w:szCs w:val="24"/>
        </w:rPr>
        <w:t>bajo la responsabilidad de la población</w:t>
      </w:r>
      <w:r w:rsidR="47840DA5" w:rsidRPr="00DD6966">
        <w:rPr>
          <w:szCs w:val="24"/>
        </w:rPr>
        <w:t xml:space="preserve">. </w:t>
      </w:r>
      <w:r w:rsidR="002577D4" w:rsidRPr="00DD6966">
        <w:rPr>
          <w:szCs w:val="24"/>
        </w:rPr>
        <w:t xml:space="preserve">La evaluación de la independencia </w:t>
      </w:r>
      <w:r w:rsidR="00E54F47" w:rsidRPr="00DD6966">
        <w:rPr>
          <w:szCs w:val="24"/>
        </w:rPr>
        <w:t>entre la tenencia de un tanque de almacenamiento y la presencia de larvas en el agua (</w:t>
      </w:r>
      <w:r w:rsidR="001B38A2" w:rsidRPr="00DD6966">
        <w:rPr>
          <w:szCs w:val="24"/>
        </w:rPr>
        <w:fldChar w:fldCharType="begin"/>
      </w:r>
      <w:r w:rsidR="001B38A2" w:rsidRPr="00DD6966">
        <w:rPr>
          <w:szCs w:val="24"/>
        </w:rPr>
        <w:instrText xml:space="preserve"> REF _Ref15474364 \h </w:instrText>
      </w:r>
      <w:r w:rsidR="00DD6966">
        <w:rPr>
          <w:szCs w:val="24"/>
        </w:rPr>
        <w:instrText xml:space="preserve"> \* MERGEFORMAT </w:instrText>
      </w:r>
      <w:r w:rsidR="001B38A2" w:rsidRPr="00DD6966">
        <w:rPr>
          <w:szCs w:val="24"/>
        </w:rPr>
      </w:r>
      <w:r w:rsidR="001B38A2" w:rsidRPr="00DD6966">
        <w:rPr>
          <w:szCs w:val="24"/>
        </w:rPr>
        <w:fldChar w:fldCharType="separate"/>
      </w:r>
      <w:r w:rsidR="001B38A2" w:rsidRPr="00DD6966">
        <w:rPr>
          <w:b/>
          <w:noProof/>
          <w:szCs w:val="24"/>
        </w:rPr>
        <w:t>Apéndice 4</w:t>
      </w:r>
      <w:r w:rsidR="001B38A2" w:rsidRPr="00DD6966">
        <w:rPr>
          <w:szCs w:val="24"/>
        </w:rPr>
        <w:fldChar w:fldCharType="end"/>
      </w:r>
      <w:r w:rsidR="00E54F47" w:rsidRPr="00DD6966">
        <w:rPr>
          <w:szCs w:val="24"/>
        </w:rPr>
        <w:t>)</w:t>
      </w:r>
      <w:r w:rsidR="00056149">
        <w:rPr>
          <w:szCs w:val="24"/>
        </w:rPr>
        <w:t>,</w:t>
      </w:r>
      <w:r w:rsidR="00013F70" w:rsidRPr="00DD6966">
        <w:rPr>
          <w:szCs w:val="24"/>
        </w:rPr>
        <w:t xml:space="preserve"> en este estudio</w:t>
      </w:r>
      <w:r w:rsidR="00056149">
        <w:rPr>
          <w:szCs w:val="24"/>
        </w:rPr>
        <w:t>,</w:t>
      </w:r>
      <w:r w:rsidR="00E54F47" w:rsidRPr="00DD6966">
        <w:rPr>
          <w:szCs w:val="24"/>
        </w:rPr>
        <w:t xml:space="preserve"> permitió concluir que ambas variables son independientes (p = 0</w:t>
      </w:r>
      <w:r w:rsidR="00253215">
        <w:rPr>
          <w:szCs w:val="24"/>
        </w:rPr>
        <w:t>.</w:t>
      </w:r>
      <w:r w:rsidR="00E54F47" w:rsidRPr="00DD6966">
        <w:rPr>
          <w:szCs w:val="24"/>
        </w:rPr>
        <w:t>80). Por lo tanto, la presencia de larvas no estaría asociada a la tenencia de tanques de almacenamient</w:t>
      </w:r>
      <w:r w:rsidR="00523E5B" w:rsidRPr="00DD6966">
        <w:rPr>
          <w:szCs w:val="24"/>
        </w:rPr>
        <w:t>o en este caso. Por otro lado</w:t>
      </w:r>
      <w:r w:rsidR="00E54F47" w:rsidRPr="00DD6966">
        <w:rPr>
          <w:szCs w:val="24"/>
        </w:rPr>
        <w:t>, la tenencia de tanque de almacenamiento domiciliar y la percepción de elevada turbidez en el agua de la red sí estarían relacionadas entre sí (</w:t>
      </w:r>
      <w:r w:rsidR="00DD6966" w:rsidRPr="00DD6966">
        <w:rPr>
          <w:szCs w:val="24"/>
        </w:rPr>
        <w:fldChar w:fldCharType="begin"/>
      </w:r>
      <w:r w:rsidR="00DD6966" w:rsidRPr="00DD6966">
        <w:rPr>
          <w:szCs w:val="24"/>
        </w:rPr>
        <w:instrText xml:space="preserve"> REF _Ref15474364 \h </w:instrText>
      </w:r>
      <w:r w:rsidR="00DD6966">
        <w:rPr>
          <w:szCs w:val="24"/>
        </w:rPr>
        <w:instrText xml:space="preserve"> \* MERGEFORMAT </w:instrText>
      </w:r>
      <w:r w:rsidR="00DD6966" w:rsidRPr="00DD6966">
        <w:rPr>
          <w:szCs w:val="24"/>
        </w:rPr>
      </w:r>
      <w:r w:rsidR="00DD6966" w:rsidRPr="00DD6966">
        <w:rPr>
          <w:szCs w:val="24"/>
        </w:rPr>
        <w:fldChar w:fldCharType="separate"/>
      </w:r>
      <w:r w:rsidR="001B38A2" w:rsidRPr="00DD6966">
        <w:rPr>
          <w:szCs w:val="24"/>
        </w:rPr>
        <w:fldChar w:fldCharType="begin"/>
      </w:r>
      <w:r w:rsidR="001B38A2" w:rsidRPr="00DD6966">
        <w:rPr>
          <w:szCs w:val="24"/>
        </w:rPr>
        <w:instrText xml:space="preserve"> REF _Ref15474364 \h </w:instrText>
      </w:r>
      <w:r w:rsidR="001B38A2" w:rsidRPr="00DD6966">
        <w:rPr>
          <w:szCs w:val="24"/>
        </w:rPr>
      </w:r>
      <w:r w:rsidR="00B36B1D">
        <w:rPr>
          <w:szCs w:val="24"/>
        </w:rPr>
        <w:instrText xml:space="preserve"> \* MERGEFORMAT </w:instrText>
      </w:r>
      <w:r w:rsidR="001B38A2" w:rsidRPr="00DD6966">
        <w:rPr>
          <w:szCs w:val="24"/>
        </w:rPr>
        <w:fldChar w:fldCharType="separate"/>
      </w:r>
      <w:r w:rsidR="001B38A2" w:rsidRPr="00DD6966">
        <w:rPr>
          <w:b/>
          <w:noProof/>
          <w:szCs w:val="24"/>
        </w:rPr>
        <w:t>Apéndice 4</w:t>
      </w:r>
      <w:r w:rsidR="001B38A2" w:rsidRPr="00DD6966">
        <w:rPr>
          <w:b/>
          <w:noProof/>
          <w:szCs w:val="24"/>
        </w:rPr>
        <w:fldChar w:fldCharType="end"/>
      </w:r>
      <w:r w:rsidR="00DD6966" w:rsidRPr="00DD6966">
        <w:rPr>
          <w:szCs w:val="24"/>
        </w:rPr>
        <w:fldChar w:fldCharType="end"/>
      </w:r>
      <w:r w:rsidR="00E54F47" w:rsidRPr="00DD6966">
        <w:rPr>
          <w:szCs w:val="24"/>
        </w:rPr>
        <w:t xml:space="preserve">).  En ese sentido, es necesario profundizar en este tema por medio de análisis de calidad del agua en los tanques </w:t>
      </w:r>
      <w:r w:rsidR="00523E5B" w:rsidRPr="00DD6966">
        <w:rPr>
          <w:szCs w:val="24"/>
        </w:rPr>
        <w:t>domiciliares</w:t>
      </w:r>
      <w:r w:rsidR="00E54F47" w:rsidRPr="00DD6966">
        <w:rPr>
          <w:szCs w:val="24"/>
        </w:rPr>
        <w:t xml:space="preserve"> para determinar</w:t>
      </w:r>
      <w:r w:rsidR="00056149">
        <w:rPr>
          <w:szCs w:val="24"/>
        </w:rPr>
        <w:t>,</w:t>
      </w:r>
      <w:r w:rsidR="00E54F47" w:rsidRPr="00DD6966">
        <w:rPr>
          <w:szCs w:val="24"/>
        </w:rPr>
        <w:t xml:space="preserve"> si las medidas de limpieza que ponen en práctica para sus sistemas son suficientes para garantizar su calidad a nivel de turbidez y otros parámetros físico-químicos. Por otro lado, al evaluar la independencia entre la continuidad del servicio y la tenencia de tanques de almacenamiento de agua domiciliares (</w:t>
      </w:r>
      <w:r w:rsidR="001B38A2" w:rsidRPr="00DD6966">
        <w:rPr>
          <w:szCs w:val="24"/>
        </w:rPr>
        <w:fldChar w:fldCharType="begin"/>
      </w:r>
      <w:r w:rsidR="001B38A2" w:rsidRPr="00DD6966">
        <w:rPr>
          <w:szCs w:val="24"/>
        </w:rPr>
        <w:instrText xml:space="preserve"> REF _Ref15474364 \h </w:instrText>
      </w:r>
      <w:r w:rsidR="00DD6966">
        <w:rPr>
          <w:szCs w:val="24"/>
        </w:rPr>
        <w:instrText xml:space="preserve"> \* MERGEFORMAT </w:instrText>
      </w:r>
      <w:r w:rsidR="001B38A2" w:rsidRPr="00DD6966">
        <w:rPr>
          <w:szCs w:val="24"/>
        </w:rPr>
      </w:r>
      <w:r w:rsidR="001B38A2" w:rsidRPr="00DD6966">
        <w:rPr>
          <w:szCs w:val="24"/>
        </w:rPr>
        <w:fldChar w:fldCharType="separate"/>
      </w:r>
      <w:r w:rsidR="001B38A2" w:rsidRPr="00DD6966">
        <w:rPr>
          <w:b/>
          <w:noProof/>
          <w:szCs w:val="24"/>
        </w:rPr>
        <w:t>Apéndice 4</w:t>
      </w:r>
      <w:r w:rsidR="001B38A2" w:rsidRPr="00DD6966">
        <w:rPr>
          <w:szCs w:val="24"/>
        </w:rPr>
        <w:fldChar w:fldCharType="end"/>
      </w:r>
      <w:r w:rsidR="00E54F47" w:rsidRPr="00DD6966">
        <w:rPr>
          <w:szCs w:val="24"/>
        </w:rPr>
        <w:t>) se concluyó que ambas condiciones est</w:t>
      </w:r>
      <w:r w:rsidR="00056149">
        <w:rPr>
          <w:szCs w:val="24"/>
        </w:rPr>
        <w:t>á</w:t>
      </w:r>
      <w:r w:rsidR="00E54F47" w:rsidRPr="00DD6966">
        <w:rPr>
          <w:szCs w:val="24"/>
        </w:rPr>
        <w:t>n relacionadas.</w:t>
      </w:r>
    </w:p>
    <w:p w14:paraId="7046CF74" w14:textId="55A6F78A" w:rsidR="007529C6" w:rsidRPr="00DD6966" w:rsidRDefault="47840DA5" w:rsidP="007A4FE8">
      <w:pPr>
        <w:jc w:val="both"/>
        <w:rPr>
          <w:szCs w:val="24"/>
        </w:rPr>
      </w:pPr>
      <w:r w:rsidRPr="00DD6966">
        <w:rPr>
          <w:szCs w:val="24"/>
        </w:rPr>
        <w:t xml:space="preserve">Con respecto a la práctica de hervir el agua antes de consumirla, la </w:t>
      </w:r>
      <w:r w:rsidRPr="00DD6966">
        <w:rPr>
          <w:color w:val="365F91" w:themeColor="accent1" w:themeShade="BF"/>
          <w:szCs w:val="24"/>
        </w:rPr>
        <w:t xml:space="preserve">OMS (2017) </w:t>
      </w:r>
      <w:r w:rsidRPr="00DD6966">
        <w:rPr>
          <w:szCs w:val="24"/>
        </w:rPr>
        <w:t xml:space="preserve">la considera adecuada para proteger la salud, una vez que la turbidez ha sido removida, para el caso de zonas en las que no exista certeza acerca de la calidad del agua que </w:t>
      </w:r>
      <w:r w:rsidR="00523E5B" w:rsidRPr="00DD6966">
        <w:rPr>
          <w:szCs w:val="24"/>
        </w:rPr>
        <w:t>se</w:t>
      </w:r>
      <w:r w:rsidRPr="00DD6966">
        <w:rPr>
          <w:szCs w:val="24"/>
        </w:rPr>
        <w:t xml:space="preserve"> recibe</w:t>
      </w:r>
      <w:r w:rsidR="00523E5B" w:rsidRPr="00DD6966">
        <w:rPr>
          <w:szCs w:val="24"/>
        </w:rPr>
        <w:t xml:space="preserve"> e</w:t>
      </w:r>
      <w:r w:rsidRPr="00DD6966">
        <w:rPr>
          <w:szCs w:val="24"/>
        </w:rPr>
        <w:t>n</w:t>
      </w:r>
      <w:r w:rsidR="00523E5B" w:rsidRPr="00DD6966">
        <w:rPr>
          <w:szCs w:val="24"/>
        </w:rPr>
        <w:t xml:space="preserve"> las casas</w:t>
      </w:r>
      <w:r w:rsidRPr="00DD6966">
        <w:rPr>
          <w:szCs w:val="24"/>
        </w:rPr>
        <w:t xml:space="preserve">. En ese sentido, hervir el agua puede considerarse una acción preventiva adecuada </w:t>
      </w:r>
      <w:r w:rsidR="00CD3AC7" w:rsidRPr="00DD6966">
        <w:rPr>
          <w:szCs w:val="24"/>
        </w:rPr>
        <w:t>para</w:t>
      </w:r>
      <w:r w:rsidRPr="00DD6966">
        <w:rPr>
          <w:szCs w:val="24"/>
        </w:rPr>
        <w:t xml:space="preserve"> las comunidades analizadas que presentaron más problemas en su servicio de agua. Aun así, esta práctica debería ser la excepción y no la norma</w:t>
      </w:r>
      <w:r w:rsidR="00056149">
        <w:rPr>
          <w:szCs w:val="24"/>
        </w:rPr>
        <w:t>,</w:t>
      </w:r>
      <w:r w:rsidRPr="00DD6966">
        <w:rPr>
          <w:szCs w:val="24"/>
        </w:rPr>
        <w:t xml:space="preserve"> debido a la obligación de l</w:t>
      </w:r>
      <w:r w:rsidR="00056149">
        <w:rPr>
          <w:szCs w:val="24"/>
        </w:rPr>
        <w:t>as instancias</w:t>
      </w:r>
      <w:r w:rsidRPr="00DD6966">
        <w:rPr>
          <w:szCs w:val="24"/>
        </w:rPr>
        <w:t xml:space="preserve"> prestador</w:t>
      </w:r>
      <w:r w:rsidR="00056149">
        <w:rPr>
          <w:szCs w:val="24"/>
        </w:rPr>
        <w:t>a</w:t>
      </w:r>
      <w:r w:rsidRPr="00DD6966">
        <w:rPr>
          <w:szCs w:val="24"/>
        </w:rPr>
        <w:t xml:space="preserve">s del servicio </w:t>
      </w:r>
      <w:r w:rsidR="00056149">
        <w:rPr>
          <w:szCs w:val="24"/>
        </w:rPr>
        <w:t>de</w:t>
      </w:r>
      <w:r w:rsidRPr="00DD6966">
        <w:rPr>
          <w:szCs w:val="24"/>
        </w:rPr>
        <w:t xml:space="preserve"> cumplir con lo establecido en el Reglamento para la Calidad del Agua Potable </w:t>
      </w:r>
      <w:r w:rsidRPr="00BF3711">
        <w:rPr>
          <w:szCs w:val="24"/>
        </w:rPr>
        <w:t>DE-38924-S</w:t>
      </w:r>
      <w:r w:rsidR="00BF3711" w:rsidRPr="00BF3711">
        <w:rPr>
          <w:color w:val="4F81BD" w:themeColor="accent1"/>
          <w:szCs w:val="24"/>
        </w:rPr>
        <w:t xml:space="preserve"> </w:t>
      </w:r>
      <w:r w:rsidR="00BF3711">
        <w:rPr>
          <w:color w:val="4F81BD" w:themeColor="accent1"/>
          <w:szCs w:val="24"/>
        </w:rPr>
        <w:t xml:space="preserve">(La Gaceta, </w:t>
      </w:r>
      <w:r w:rsidR="00BF3711" w:rsidRPr="00BF3711">
        <w:rPr>
          <w:color w:val="4F81BD" w:themeColor="accent1"/>
          <w:szCs w:val="24"/>
        </w:rPr>
        <w:t>2015</w:t>
      </w:r>
      <w:r w:rsidRPr="00DD6966">
        <w:rPr>
          <w:szCs w:val="24"/>
        </w:rPr>
        <w:t xml:space="preserve">) y a lo incómoda que puede resultar la </w:t>
      </w:r>
      <w:r w:rsidR="00523E5B" w:rsidRPr="00DD6966">
        <w:rPr>
          <w:szCs w:val="24"/>
        </w:rPr>
        <w:t>medida en el largo plazo para la</w:t>
      </w:r>
      <w:r w:rsidRPr="00DD6966">
        <w:rPr>
          <w:szCs w:val="24"/>
        </w:rPr>
        <w:t>s</w:t>
      </w:r>
      <w:r w:rsidR="00523E5B" w:rsidRPr="00DD6966">
        <w:rPr>
          <w:szCs w:val="24"/>
        </w:rPr>
        <w:t xml:space="preserve"> personas consumidoras</w:t>
      </w:r>
      <w:r w:rsidRPr="00DD6966">
        <w:rPr>
          <w:szCs w:val="24"/>
        </w:rPr>
        <w:t xml:space="preserve">. </w:t>
      </w:r>
    </w:p>
    <w:p w14:paraId="6B0C8449" w14:textId="3E7347E5" w:rsidR="006B2F8C" w:rsidRPr="00DD6966" w:rsidRDefault="00A06E4B" w:rsidP="007A4FE8">
      <w:pPr>
        <w:pStyle w:val="Prrafodelista"/>
        <w:numPr>
          <w:ilvl w:val="0"/>
          <w:numId w:val="4"/>
        </w:numPr>
        <w:spacing w:after="160"/>
        <w:ind w:left="426" w:hanging="426"/>
        <w:jc w:val="both"/>
        <w:rPr>
          <w:b/>
          <w:szCs w:val="24"/>
        </w:rPr>
      </w:pPr>
      <w:r w:rsidRPr="00DD6966">
        <w:rPr>
          <w:b/>
          <w:szCs w:val="24"/>
        </w:rPr>
        <w:t>Discusión</w:t>
      </w:r>
    </w:p>
    <w:p w14:paraId="6799E924" w14:textId="77777777" w:rsidR="00F86BDA" w:rsidRPr="00DD6966" w:rsidRDefault="00F86BDA" w:rsidP="00B36B1D">
      <w:pPr>
        <w:pStyle w:val="Prrafodelista"/>
        <w:spacing w:after="0"/>
        <w:ind w:left="425"/>
        <w:jc w:val="both"/>
        <w:rPr>
          <w:b/>
          <w:szCs w:val="24"/>
        </w:rPr>
      </w:pPr>
    </w:p>
    <w:p w14:paraId="1E28D477" w14:textId="502B999E" w:rsidR="008A4265" w:rsidRPr="00DD6966" w:rsidRDefault="47840DA5" w:rsidP="007A4FE8">
      <w:pPr>
        <w:pStyle w:val="Prrafodelista"/>
        <w:numPr>
          <w:ilvl w:val="1"/>
          <w:numId w:val="4"/>
        </w:numPr>
        <w:ind w:left="426" w:hanging="426"/>
        <w:jc w:val="both"/>
        <w:rPr>
          <w:b/>
          <w:szCs w:val="24"/>
        </w:rPr>
      </w:pPr>
      <w:r w:rsidRPr="00DD6966">
        <w:rPr>
          <w:b/>
          <w:szCs w:val="24"/>
        </w:rPr>
        <w:t>Similitudes y contrastes en la prestación del servicio de agua potable en los cantones estudiados</w:t>
      </w:r>
    </w:p>
    <w:p w14:paraId="33FE1972" w14:textId="15DBD275" w:rsidR="002E350D" w:rsidRPr="00DD6966" w:rsidRDefault="00551541" w:rsidP="007A4FE8">
      <w:pPr>
        <w:spacing w:after="0"/>
        <w:jc w:val="both"/>
        <w:rPr>
          <w:szCs w:val="24"/>
        </w:rPr>
      </w:pPr>
      <w:r w:rsidRPr="00DD6966">
        <w:rPr>
          <w:szCs w:val="24"/>
        </w:rPr>
        <w:t xml:space="preserve">Según lo presentado en los apartados anteriores, es claro que la prestación del servicio de agua potable en los cantones de Turrialba, Oreamuno, Jiménez y Alvarado es realizada principalmente por las </w:t>
      </w:r>
      <w:r w:rsidR="004E61B1" w:rsidRPr="00DD6966">
        <w:rPr>
          <w:szCs w:val="24"/>
        </w:rPr>
        <w:t>m</w:t>
      </w:r>
      <w:r w:rsidRPr="00DD6966">
        <w:rPr>
          <w:szCs w:val="24"/>
        </w:rPr>
        <w:t xml:space="preserve">unicipalidades y por las ASADA. Esta particularidad de la región estudiada dista de la situación </w:t>
      </w:r>
      <w:r w:rsidR="004A362A" w:rsidRPr="00DD6966">
        <w:rPr>
          <w:szCs w:val="24"/>
        </w:rPr>
        <w:t>promedio</w:t>
      </w:r>
      <w:r w:rsidRPr="00DD6966">
        <w:rPr>
          <w:szCs w:val="24"/>
        </w:rPr>
        <w:t xml:space="preserve"> en Costa</w:t>
      </w:r>
      <w:r w:rsidR="00756794" w:rsidRPr="00DD6966">
        <w:rPr>
          <w:szCs w:val="24"/>
        </w:rPr>
        <w:t xml:space="preserve"> Rica, donde aproximadamente 46.</w:t>
      </w:r>
      <w:r w:rsidRPr="00DD6966">
        <w:rPr>
          <w:szCs w:val="24"/>
        </w:rPr>
        <w:t>7</w:t>
      </w:r>
      <w:r w:rsidR="00756794" w:rsidRPr="00DD6966">
        <w:rPr>
          <w:szCs w:val="24"/>
        </w:rPr>
        <w:t xml:space="preserve"> </w:t>
      </w:r>
      <w:r w:rsidRPr="00DD6966">
        <w:rPr>
          <w:szCs w:val="24"/>
        </w:rPr>
        <w:t xml:space="preserve">% de la población es atendida por </w:t>
      </w:r>
      <w:r w:rsidR="0044607D" w:rsidRPr="00DD6966">
        <w:rPr>
          <w:szCs w:val="24"/>
        </w:rPr>
        <w:t>AyA</w:t>
      </w:r>
      <w:r w:rsidRPr="00DD6966">
        <w:rPr>
          <w:szCs w:val="24"/>
        </w:rPr>
        <w:t xml:space="preserve"> </w:t>
      </w:r>
      <w:r w:rsidRPr="00DD6966">
        <w:rPr>
          <w:szCs w:val="24"/>
        </w:rPr>
        <w:fldChar w:fldCharType="begin" w:fldLock="1"/>
      </w:r>
      <w:r w:rsidR="00E54F47" w:rsidRPr="00DD6966">
        <w:rPr>
          <w:szCs w:val="24"/>
        </w:rPr>
        <w:instrText>ADDIN CSL_CITATION {"citationItems":[{"id":"ITEM-1","itemData":{"author":[{"dropping-particle":"","family":"Mora Alvarado","given":"Darner","non-dropping-particle":"","parse-names":false,"suffix":""},{"dropping-particle":"","family":"Portuguez B.","given":"Carlos Felipe","non-dropping-particle":"","parse-names":false,"suffix":""}],"id":"ITEM-1","issued":{"date-parts":[["2019"]]},"number-of-pages":"35 pp.","publisher-place":"San José, Costa Rica","title":"Agua para consumo humano por provincias y saneamiento por regiones manejados en forma segura en zonas urbanas y rurales de Costa Rica al 2018","type":"report"},"uris":["http://www.mendeley.com/documents/?uuid=cafb6046-4bd2-465d-9708-6a02e8dcd10f"]}],"mendeley":{"formattedCitation":"(Mora Alvarado &amp; Portuguez B., 2019)","manualFormatting":"(Mora y Portuguez, 2019)","plainTextFormattedCitation":"(Mora Alvarado &amp; Portuguez B., 2019)","previouslyFormattedCitation":"(Mora Alvarado &amp; Portuguez B., 2019)"},"properties":{"noteIndex":0},"schema":"https://github.com/citation-style-language/schema/raw/master/csl-citation.json"}</w:instrText>
      </w:r>
      <w:r w:rsidRPr="00DD6966">
        <w:rPr>
          <w:szCs w:val="24"/>
        </w:rPr>
        <w:fldChar w:fldCharType="separate"/>
      </w:r>
      <w:r w:rsidRPr="00DD6966">
        <w:rPr>
          <w:noProof/>
          <w:szCs w:val="24"/>
        </w:rPr>
        <w:t>(</w:t>
      </w:r>
      <w:r w:rsidRPr="00DD6966">
        <w:rPr>
          <w:noProof/>
          <w:color w:val="365F91" w:themeColor="accent1" w:themeShade="BF"/>
          <w:szCs w:val="24"/>
        </w:rPr>
        <w:t xml:space="preserve">Mora </w:t>
      </w:r>
      <w:r w:rsidR="00E54F47" w:rsidRPr="00DD6966">
        <w:rPr>
          <w:noProof/>
          <w:color w:val="365F91" w:themeColor="accent1" w:themeShade="BF"/>
          <w:szCs w:val="24"/>
        </w:rPr>
        <w:t>y</w:t>
      </w:r>
      <w:r w:rsidRPr="00DD6966">
        <w:rPr>
          <w:noProof/>
          <w:color w:val="365F91" w:themeColor="accent1" w:themeShade="BF"/>
          <w:szCs w:val="24"/>
        </w:rPr>
        <w:t xml:space="preserve"> Portuguez, 2019</w:t>
      </w:r>
      <w:r w:rsidRPr="00DD6966">
        <w:rPr>
          <w:noProof/>
          <w:szCs w:val="24"/>
        </w:rPr>
        <w:t>)</w:t>
      </w:r>
      <w:r w:rsidRPr="00DD6966">
        <w:rPr>
          <w:szCs w:val="24"/>
        </w:rPr>
        <w:fldChar w:fldCharType="end"/>
      </w:r>
      <w:r w:rsidR="00F00054" w:rsidRPr="00DD6966">
        <w:rPr>
          <w:szCs w:val="24"/>
        </w:rPr>
        <w:t xml:space="preserve">. </w:t>
      </w:r>
    </w:p>
    <w:p w14:paraId="7B56AA98" w14:textId="77777777" w:rsidR="00336619" w:rsidRPr="00DD6966" w:rsidRDefault="00336619" w:rsidP="007A4FE8">
      <w:pPr>
        <w:spacing w:after="0"/>
        <w:jc w:val="both"/>
        <w:rPr>
          <w:szCs w:val="24"/>
        </w:rPr>
      </w:pPr>
    </w:p>
    <w:p w14:paraId="159FB63B" w14:textId="3C89EB64" w:rsidR="008C6557" w:rsidRPr="00DD6966" w:rsidRDefault="00607E9A" w:rsidP="007A4FE8">
      <w:pPr>
        <w:spacing w:after="0"/>
        <w:jc w:val="both"/>
        <w:rPr>
          <w:szCs w:val="24"/>
        </w:rPr>
      </w:pPr>
      <w:r w:rsidRPr="00DD6966">
        <w:rPr>
          <w:szCs w:val="24"/>
        </w:rPr>
        <w:t xml:space="preserve">Del mismo modo, </w:t>
      </w:r>
      <w:r w:rsidR="00756794" w:rsidRPr="00DD6966">
        <w:rPr>
          <w:szCs w:val="24"/>
        </w:rPr>
        <w:t>los resultados evidenciaron</w:t>
      </w:r>
      <w:r w:rsidRPr="00DD6966">
        <w:rPr>
          <w:szCs w:val="24"/>
        </w:rPr>
        <w:t xml:space="preserve"> que, para la zona de estudio, existe una relación bien establecida entre </w:t>
      </w:r>
      <w:r w:rsidR="00863C7F" w:rsidRPr="00DD6966">
        <w:rPr>
          <w:szCs w:val="24"/>
        </w:rPr>
        <w:t>los indicadores de (i)</w:t>
      </w:r>
      <w:r w:rsidRPr="00DD6966">
        <w:rPr>
          <w:szCs w:val="24"/>
        </w:rPr>
        <w:t xml:space="preserve"> </w:t>
      </w:r>
      <w:r w:rsidR="0044607D" w:rsidRPr="00DD6966">
        <w:rPr>
          <w:szCs w:val="24"/>
        </w:rPr>
        <w:t>satisfacción de la</w:t>
      </w:r>
      <w:r w:rsidR="003F3563" w:rsidRPr="00DD6966">
        <w:rPr>
          <w:szCs w:val="24"/>
        </w:rPr>
        <w:t>s</w:t>
      </w:r>
      <w:r w:rsidR="0044607D" w:rsidRPr="00DD6966">
        <w:rPr>
          <w:szCs w:val="24"/>
        </w:rPr>
        <w:t xml:space="preserve"> personas usuaria</w:t>
      </w:r>
      <w:r w:rsidR="003F3563" w:rsidRPr="00DD6966">
        <w:rPr>
          <w:szCs w:val="24"/>
        </w:rPr>
        <w:t xml:space="preserve">s con </w:t>
      </w:r>
      <w:r w:rsidRPr="00DD6966">
        <w:rPr>
          <w:szCs w:val="24"/>
        </w:rPr>
        <w:t xml:space="preserve">la calidad del servicio </w:t>
      </w:r>
      <w:r w:rsidR="00B50924" w:rsidRPr="00DD6966">
        <w:rPr>
          <w:szCs w:val="24"/>
        </w:rPr>
        <w:t>y del agua recibida</w:t>
      </w:r>
      <w:r w:rsidRPr="00DD6966">
        <w:rPr>
          <w:szCs w:val="24"/>
        </w:rPr>
        <w:t xml:space="preserve">, </w:t>
      </w:r>
      <w:r w:rsidR="00863C7F" w:rsidRPr="00DD6966">
        <w:rPr>
          <w:szCs w:val="24"/>
        </w:rPr>
        <w:t>(</w:t>
      </w:r>
      <w:proofErr w:type="spellStart"/>
      <w:r w:rsidR="00863C7F" w:rsidRPr="00DD6966">
        <w:rPr>
          <w:szCs w:val="24"/>
        </w:rPr>
        <w:t>ii</w:t>
      </w:r>
      <w:proofErr w:type="spellEnd"/>
      <w:r w:rsidR="00863C7F" w:rsidRPr="00DD6966">
        <w:rPr>
          <w:szCs w:val="24"/>
        </w:rPr>
        <w:t xml:space="preserve">) la </w:t>
      </w:r>
      <w:r w:rsidRPr="00DD6966">
        <w:rPr>
          <w:szCs w:val="24"/>
        </w:rPr>
        <w:t>cantidad y tipos de problemas que ellos</w:t>
      </w:r>
      <w:r w:rsidR="0044607D" w:rsidRPr="00DD6966">
        <w:rPr>
          <w:szCs w:val="24"/>
        </w:rPr>
        <w:t xml:space="preserve"> y ellas</w:t>
      </w:r>
      <w:r w:rsidRPr="00DD6966">
        <w:rPr>
          <w:szCs w:val="24"/>
        </w:rPr>
        <w:t xml:space="preserve"> identifican en el servicio</w:t>
      </w:r>
      <w:r w:rsidR="006B3EA1" w:rsidRPr="00DD6966">
        <w:rPr>
          <w:szCs w:val="24"/>
        </w:rPr>
        <w:t xml:space="preserve"> </w:t>
      </w:r>
      <w:r w:rsidRPr="00DD6966">
        <w:rPr>
          <w:szCs w:val="24"/>
        </w:rPr>
        <w:t xml:space="preserve">y </w:t>
      </w:r>
      <w:r w:rsidR="00863C7F" w:rsidRPr="00DD6966">
        <w:rPr>
          <w:szCs w:val="24"/>
        </w:rPr>
        <w:t>(</w:t>
      </w:r>
      <w:proofErr w:type="spellStart"/>
      <w:r w:rsidR="00863C7F" w:rsidRPr="00DD6966">
        <w:rPr>
          <w:szCs w:val="24"/>
        </w:rPr>
        <w:t>iii</w:t>
      </w:r>
      <w:proofErr w:type="spellEnd"/>
      <w:r w:rsidR="00863C7F" w:rsidRPr="00DD6966">
        <w:rPr>
          <w:szCs w:val="24"/>
        </w:rPr>
        <w:t xml:space="preserve">) </w:t>
      </w:r>
      <w:r w:rsidRPr="00DD6966">
        <w:rPr>
          <w:szCs w:val="24"/>
        </w:rPr>
        <w:t xml:space="preserve">las </w:t>
      </w:r>
      <w:r w:rsidR="003F3563" w:rsidRPr="00DD6966">
        <w:rPr>
          <w:szCs w:val="24"/>
        </w:rPr>
        <w:t>acciones privadas</w:t>
      </w:r>
      <w:r w:rsidR="0044607D" w:rsidRPr="00DD6966">
        <w:rPr>
          <w:szCs w:val="24"/>
        </w:rPr>
        <w:t xml:space="preserve"> que </w:t>
      </w:r>
      <w:r w:rsidRPr="00DD6966">
        <w:rPr>
          <w:szCs w:val="24"/>
        </w:rPr>
        <w:t>ponen en práctica para lidiar con es</w:t>
      </w:r>
      <w:r w:rsidR="00863C7F" w:rsidRPr="00DD6966">
        <w:rPr>
          <w:szCs w:val="24"/>
        </w:rPr>
        <w:t xml:space="preserve">os problemas. La situación </w:t>
      </w:r>
      <w:r w:rsidR="00056149">
        <w:rPr>
          <w:szCs w:val="24"/>
        </w:rPr>
        <w:t>respecto a</w:t>
      </w:r>
      <w:r w:rsidR="00863C7F" w:rsidRPr="00DD6966">
        <w:rPr>
          <w:szCs w:val="24"/>
        </w:rPr>
        <w:t xml:space="preserve"> esos indicadores var</w:t>
      </w:r>
      <w:r w:rsidR="006B3EA1" w:rsidRPr="00DD6966">
        <w:rPr>
          <w:szCs w:val="24"/>
        </w:rPr>
        <w:t>ió</w:t>
      </w:r>
      <w:r w:rsidR="00863C7F" w:rsidRPr="00DD6966">
        <w:rPr>
          <w:szCs w:val="24"/>
        </w:rPr>
        <w:t xml:space="preserve"> de cantón en cantón, con una </w:t>
      </w:r>
      <w:r w:rsidR="006B3EA1" w:rsidRPr="00DD6966">
        <w:rPr>
          <w:szCs w:val="24"/>
        </w:rPr>
        <w:t>condición más favorable para el cantón de Jiménez, seguido por Alvarado y Turrialba y</w:t>
      </w:r>
      <w:r w:rsidR="003F3563" w:rsidRPr="00DD6966">
        <w:rPr>
          <w:szCs w:val="24"/>
        </w:rPr>
        <w:t>,</w:t>
      </w:r>
      <w:r w:rsidR="006B3EA1" w:rsidRPr="00DD6966">
        <w:rPr>
          <w:szCs w:val="24"/>
        </w:rPr>
        <w:t xml:space="preserve"> en una situación menos favorable, el cantón de Oreamuno. </w:t>
      </w:r>
      <w:r w:rsidR="000E18F7" w:rsidRPr="00DD6966">
        <w:rPr>
          <w:szCs w:val="24"/>
        </w:rPr>
        <w:t xml:space="preserve">De manera análoga, la percepción del servicio, los problemas identificados por las personas usuarias y </w:t>
      </w:r>
      <w:r w:rsidR="00AA78A4" w:rsidRPr="00DD6966">
        <w:rPr>
          <w:szCs w:val="24"/>
        </w:rPr>
        <w:t>las acciones privadas orientadas a su subsanación presentaron una situación más favorable para los sistemas operados por ASADA que para los municipales.</w:t>
      </w:r>
    </w:p>
    <w:p w14:paraId="3DD7E2EA" w14:textId="77777777" w:rsidR="00336619" w:rsidRPr="00DD6966" w:rsidRDefault="00336619" w:rsidP="007A4FE8">
      <w:pPr>
        <w:spacing w:after="0"/>
        <w:jc w:val="both"/>
        <w:rPr>
          <w:szCs w:val="24"/>
        </w:rPr>
      </w:pPr>
    </w:p>
    <w:p w14:paraId="0180184E" w14:textId="12182849" w:rsidR="002A62CF" w:rsidRPr="00DD6966" w:rsidRDefault="47840DA5" w:rsidP="007A4FE8">
      <w:pPr>
        <w:pStyle w:val="Prrafodelista"/>
        <w:numPr>
          <w:ilvl w:val="1"/>
          <w:numId w:val="4"/>
        </w:numPr>
        <w:ind w:left="426" w:hanging="426"/>
        <w:jc w:val="both"/>
        <w:rPr>
          <w:b/>
          <w:szCs w:val="24"/>
        </w:rPr>
      </w:pPr>
      <w:r w:rsidRPr="00DD6966">
        <w:rPr>
          <w:b/>
          <w:szCs w:val="24"/>
        </w:rPr>
        <w:t xml:space="preserve">Calidad del servicio de agua: </w:t>
      </w:r>
      <w:r w:rsidR="00056149">
        <w:rPr>
          <w:b/>
          <w:szCs w:val="24"/>
        </w:rPr>
        <w:t>N</w:t>
      </w:r>
      <w:r w:rsidRPr="00DD6966">
        <w:rPr>
          <w:b/>
          <w:szCs w:val="24"/>
        </w:rPr>
        <w:t xml:space="preserve">ivel de satisfacción del </w:t>
      </w:r>
      <w:r w:rsidR="00056149">
        <w:rPr>
          <w:b/>
          <w:szCs w:val="24"/>
        </w:rPr>
        <w:t xml:space="preserve">público </w:t>
      </w:r>
      <w:r w:rsidRPr="00DD6966">
        <w:rPr>
          <w:b/>
          <w:szCs w:val="24"/>
        </w:rPr>
        <w:t>usuario</w:t>
      </w:r>
      <w:r w:rsidR="002E350D" w:rsidRPr="00DD6966">
        <w:rPr>
          <w:b/>
          <w:szCs w:val="24"/>
        </w:rPr>
        <w:t xml:space="preserve"> como complemento de los</w:t>
      </w:r>
      <w:r w:rsidRPr="00DD6966">
        <w:rPr>
          <w:b/>
          <w:szCs w:val="24"/>
        </w:rPr>
        <w:t xml:space="preserve"> indicadores </w:t>
      </w:r>
      <w:r w:rsidR="002E350D" w:rsidRPr="00DD6966">
        <w:rPr>
          <w:b/>
          <w:szCs w:val="24"/>
        </w:rPr>
        <w:t>técnicos</w:t>
      </w:r>
    </w:p>
    <w:p w14:paraId="0A891099" w14:textId="6AE73F5B" w:rsidR="00615113" w:rsidRPr="00DD6966" w:rsidRDefault="00F73CD5" w:rsidP="007A4FE8">
      <w:pPr>
        <w:spacing w:after="0"/>
        <w:jc w:val="both"/>
        <w:rPr>
          <w:szCs w:val="24"/>
        </w:rPr>
      </w:pPr>
      <w:r w:rsidRPr="00DD6966">
        <w:rPr>
          <w:szCs w:val="24"/>
        </w:rPr>
        <w:t>A</w:t>
      </w:r>
      <w:r w:rsidR="00F05C54" w:rsidRPr="00DD6966">
        <w:rPr>
          <w:szCs w:val="24"/>
        </w:rPr>
        <w:t>l co</w:t>
      </w:r>
      <w:r w:rsidR="00BD46FA" w:rsidRPr="00DD6966">
        <w:rPr>
          <w:szCs w:val="24"/>
        </w:rPr>
        <w:t>teja</w:t>
      </w:r>
      <w:r w:rsidR="00F05C54" w:rsidRPr="00DD6966">
        <w:rPr>
          <w:szCs w:val="24"/>
        </w:rPr>
        <w:t xml:space="preserve">r los </w:t>
      </w:r>
      <w:r w:rsidR="0044607D" w:rsidRPr="00DD6966">
        <w:rPr>
          <w:szCs w:val="24"/>
        </w:rPr>
        <w:t xml:space="preserve">resultados de percepción de las personas </w:t>
      </w:r>
      <w:r w:rsidR="00F05C54" w:rsidRPr="00DD6966">
        <w:rPr>
          <w:szCs w:val="24"/>
        </w:rPr>
        <w:t>usuari</w:t>
      </w:r>
      <w:r w:rsidR="0044607D" w:rsidRPr="00DD6966">
        <w:rPr>
          <w:szCs w:val="24"/>
        </w:rPr>
        <w:t>a</w:t>
      </w:r>
      <w:r w:rsidR="00F05C54" w:rsidRPr="00DD6966">
        <w:rPr>
          <w:szCs w:val="24"/>
        </w:rPr>
        <w:t>s</w:t>
      </w:r>
      <w:r w:rsidR="00056149">
        <w:rPr>
          <w:szCs w:val="24"/>
        </w:rPr>
        <w:t>,</w:t>
      </w:r>
      <w:r w:rsidR="00F05C54" w:rsidRPr="00DD6966">
        <w:rPr>
          <w:szCs w:val="24"/>
        </w:rPr>
        <w:t xml:space="preserve"> en este estudio</w:t>
      </w:r>
      <w:r w:rsidR="00056149">
        <w:rPr>
          <w:szCs w:val="24"/>
        </w:rPr>
        <w:t>,</w:t>
      </w:r>
      <w:r w:rsidR="00F05C54" w:rsidRPr="00DD6966">
        <w:rPr>
          <w:szCs w:val="24"/>
        </w:rPr>
        <w:t xml:space="preserve"> con los resultados derivados de l</w:t>
      </w:r>
      <w:r w:rsidR="00056149">
        <w:rPr>
          <w:szCs w:val="24"/>
        </w:rPr>
        <w:t>a</w:t>
      </w:r>
      <w:r w:rsidR="00F05C54" w:rsidRPr="00DD6966">
        <w:rPr>
          <w:szCs w:val="24"/>
        </w:rPr>
        <w:t xml:space="preserve">s </w:t>
      </w:r>
      <w:r w:rsidR="00056149">
        <w:rPr>
          <w:szCs w:val="24"/>
        </w:rPr>
        <w:t>investigacione</w:t>
      </w:r>
      <w:r w:rsidR="00F05C54" w:rsidRPr="00DD6966">
        <w:rPr>
          <w:szCs w:val="24"/>
        </w:rPr>
        <w:t>s de</w:t>
      </w:r>
      <w:r w:rsidR="0044607D" w:rsidRPr="00DD6966">
        <w:rPr>
          <w:szCs w:val="24"/>
        </w:rPr>
        <w:t xml:space="preserve"> la </w:t>
      </w:r>
      <w:r w:rsidR="0044607D" w:rsidRPr="00DD6966">
        <w:rPr>
          <w:color w:val="365F91" w:themeColor="accent1" w:themeShade="BF"/>
          <w:szCs w:val="24"/>
        </w:rPr>
        <w:t xml:space="preserve">CGR (2016) </w:t>
      </w:r>
      <w:r w:rsidR="0044607D" w:rsidRPr="00DD6966">
        <w:rPr>
          <w:szCs w:val="24"/>
        </w:rPr>
        <w:t xml:space="preserve">y de </w:t>
      </w:r>
      <w:r w:rsidR="0044607D" w:rsidRPr="00DD6966">
        <w:rPr>
          <w:color w:val="365F91" w:themeColor="accent1" w:themeShade="BF"/>
          <w:szCs w:val="24"/>
        </w:rPr>
        <w:t>Soto</w:t>
      </w:r>
      <w:r w:rsidR="00F05C54" w:rsidRPr="00DD6966">
        <w:rPr>
          <w:color w:val="365F91" w:themeColor="accent1" w:themeShade="BF"/>
          <w:szCs w:val="24"/>
        </w:rPr>
        <w:t xml:space="preserve"> </w:t>
      </w:r>
      <w:r w:rsidR="00F05C54" w:rsidRPr="00DD6966">
        <w:rPr>
          <w:i/>
          <w:color w:val="365F91" w:themeColor="accent1" w:themeShade="BF"/>
          <w:szCs w:val="24"/>
        </w:rPr>
        <w:t>et al.</w:t>
      </w:r>
      <w:r w:rsidR="00F05C54" w:rsidRPr="00DD6966">
        <w:rPr>
          <w:color w:val="365F91" w:themeColor="accent1" w:themeShade="BF"/>
          <w:szCs w:val="24"/>
        </w:rPr>
        <w:t xml:space="preserve"> (2016)</w:t>
      </w:r>
      <w:r w:rsidR="00F05C54" w:rsidRPr="00DD6966">
        <w:rPr>
          <w:szCs w:val="24"/>
        </w:rPr>
        <w:t xml:space="preserve">, pudo </w:t>
      </w:r>
      <w:r w:rsidR="003F3563" w:rsidRPr="00DD6966">
        <w:rPr>
          <w:szCs w:val="24"/>
        </w:rPr>
        <w:t xml:space="preserve">corroborarse </w:t>
      </w:r>
      <w:r w:rsidR="0031648F" w:rsidRPr="00DD6966">
        <w:rPr>
          <w:szCs w:val="24"/>
        </w:rPr>
        <w:t xml:space="preserve">que </w:t>
      </w:r>
      <w:r w:rsidR="00E72B60" w:rsidRPr="00DD6966">
        <w:rPr>
          <w:szCs w:val="24"/>
        </w:rPr>
        <w:t>alguna</w:t>
      </w:r>
      <w:r w:rsidR="0031648F" w:rsidRPr="00DD6966">
        <w:rPr>
          <w:szCs w:val="24"/>
        </w:rPr>
        <w:t>s</w:t>
      </w:r>
      <w:r w:rsidR="00E72B60" w:rsidRPr="00DD6966">
        <w:rPr>
          <w:szCs w:val="24"/>
        </w:rPr>
        <w:t xml:space="preserve"> </w:t>
      </w:r>
      <w:r w:rsidR="0031648F" w:rsidRPr="00DD6966">
        <w:rPr>
          <w:szCs w:val="24"/>
        </w:rPr>
        <w:t xml:space="preserve">de las tendencias se mantienen aún </w:t>
      </w:r>
      <w:r w:rsidR="00D42396">
        <w:rPr>
          <w:szCs w:val="24"/>
        </w:rPr>
        <w:t>en e</w:t>
      </w:r>
      <w:r w:rsidR="005140DB" w:rsidRPr="00DD6966">
        <w:rPr>
          <w:szCs w:val="24"/>
        </w:rPr>
        <w:t>l</w:t>
      </w:r>
      <w:r w:rsidR="0031648F" w:rsidRPr="00DD6966">
        <w:rPr>
          <w:szCs w:val="24"/>
        </w:rPr>
        <w:t xml:space="preserve"> 2018; tales </w:t>
      </w:r>
      <w:r w:rsidR="0033264D" w:rsidRPr="00DD6966">
        <w:rPr>
          <w:szCs w:val="24"/>
        </w:rPr>
        <w:t xml:space="preserve">como </w:t>
      </w:r>
      <w:r w:rsidR="003F3563" w:rsidRPr="00DD6966">
        <w:rPr>
          <w:szCs w:val="24"/>
        </w:rPr>
        <w:t xml:space="preserve">los problemas asociados a </w:t>
      </w:r>
      <w:r w:rsidR="0089555A" w:rsidRPr="00DD6966">
        <w:rPr>
          <w:szCs w:val="24"/>
        </w:rPr>
        <w:t xml:space="preserve">la </w:t>
      </w:r>
      <w:r w:rsidR="0033264D" w:rsidRPr="00DD6966">
        <w:rPr>
          <w:szCs w:val="24"/>
        </w:rPr>
        <w:t>falta de continuidad del servicio</w:t>
      </w:r>
      <w:r w:rsidR="0089555A" w:rsidRPr="00DD6966">
        <w:rPr>
          <w:szCs w:val="24"/>
        </w:rPr>
        <w:t xml:space="preserve"> en algunas zonas</w:t>
      </w:r>
      <w:r w:rsidR="00857EF0" w:rsidRPr="00DD6966">
        <w:rPr>
          <w:szCs w:val="24"/>
        </w:rPr>
        <w:t>, las bajas presiones en la red y</w:t>
      </w:r>
      <w:r w:rsidR="0033264D" w:rsidRPr="00DD6966">
        <w:rPr>
          <w:szCs w:val="24"/>
        </w:rPr>
        <w:t xml:space="preserve"> </w:t>
      </w:r>
      <w:r w:rsidR="00857EF0" w:rsidRPr="00DD6966">
        <w:rPr>
          <w:szCs w:val="24"/>
        </w:rPr>
        <w:t xml:space="preserve">las dificultades específicas para algunos de los sistemas de abastecimiento. </w:t>
      </w:r>
    </w:p>
    <w:p w14:paraId="323714FA" w14:textId="77777777" w:rsidR="00336619" w:rsidRPr="00DD6966" w:rsidRDefault="00336619" w:rsidP="007A4FE8">
      <w:pPr>
        <w:spacing w:after="0"/>
        <w:jc w:val="both"/>
        <w:rPr>
          <w:szCs w:val="24"/>
        </w:rPr>
      </w:pPr>
    </w:p>
    <w:p w14:paraId="4D5FE0A0" w14:textId="67B657A9" w:rsidR="00857EF0" w:rsidRPr="00DD6966" w:rsidRDefault="00857EF0" w:rsidP="007A4FE8">
      <w:pPr>
        <w:spacing w:after="0"/>
        <w:jc w:val="both"/>
        <w:rPr>
          <w:szCs w:val="24"/>
        </w:rPr>
      </w:pPr>
      <w:r w:rsidRPr="00DD6966">
        <w:rPr>
          <w:szCs w:val="24"/>
        </w:rPr>
        <w:t xml:space="preserve">Los estudios de la </w:t>
      </w:r>
      <w:r w:rsidRPr="00DD6966">
        <w:rPr>
          <w:color w:val="365F91" w:themeColor="accent1" w:themeShade="BF"/>
          <w:szCs w:val="24"/>
        </w:rPr>
        <w:t>CGR (2016)</w:t>
      </w:r>
      <w:r w:rsidRPr="00DD6966">
        <w:rPr>
          <w:szCs w:val="24"/>
        </w:rPr>
        <w:t xml:space="preserve"> y de </w:t>
      </w:r>
      <w:r w:rsidRPr="00DD6966">
        <w:rPr>
          <w:color w:val="365F91" w:themeColor="accent1" w:themeShade="BF"/>
          <w:szCs w:val="24"/>
        </w:rPr>
        <w:t xml:space="preserve">Soto </w:t>
      </w:r>
      <w:r w:rsidRPr="00DD6966">
        <w:rPr>
          <w:i/>
          <w:color w:val="365F91" w:themeColor="accent1" w:themeShade="BF"/>
          <w:szCs w:val="24"/>
        </w:rPr>
        <w:t>et al</w:t>
      </w:r>
      <w:r w:rsidRPr="00DD6966">
        <w:rPr>
          <w:color w:val="365F91" w:themeColor="accent1" w:themeShade="BF"/>
          <w:szCs w:val="24"/>
        </w:rPr>
        <w:t>. (2016)</w:t>
      </w:r>
      <w:r w:rsidR="0089555A" w:rsidRPr="00DD6966">
        <w:rPr>
          <w:szCs w:val="24"/>
        </w:rPr>
        <w:t>, por su parte,</w:t>
      </w:r>
      <w:r w:rsidRPr="00DD6966">
        <w:rPr>
          <w:szCs w:val="24"/>
        </w:rPr>
        <w:t xml:space="preserve"> permiten profundizar en algunos temas que </w:t>
      </w:r>
      <w:r w:rsidR="003F3563" w:rsidRPr="00DD6966">
        <w:rPr>
          <w:szCs w:val="24"/>
        </w:rPr>
        <w:t xml:space="preserve">normalmente </w:t>
      </w:r>
      <w:r w:rsidRPr="00DD6966">
        <w:rPr>
          <w:szCs w:val="24"/>
        </w:rPr>
        <w:t xml:space="preserve">escapan </w:t>
      </w:r>
      <w:r w:rsidR="003F3563" w:rsidRPr="00DD6966">
        <w:rPr>
          <w:szCs w:val="24"/>
        </w:rPr>
        <w:t>al conocimiento y percepción</w:t>
      </w:r>
      <w:r w:rsidR="0044607D" w:rsidRPr="00DD6966">
        <w:rPr>
          <w:szCs w:val="24"/>
        </w:rPr>
        <w:t xml:space="preserve"> de las personas</w:t>
      </w:r>
      <w:r w:rsidRPr="00DD6966">
        <w:rPr>
          <w:szCs w:val="24"/>
        </w:rPr>
        <w:t xml:space="preserve">: </w:t>
      </w:r>
      <w:proofErr w:type="spellStart"/>
      <w:r w:rsidR="0089555A" w:rsidRPr="00DD6966">
        <w:rPr>
          <w:szCs w:val="24"/>
        </w:rPr>
        <w:t>micromedición</w:t>
      </w:r>
      <w:proofErr w:type="spellEnd"/>
      <w:r w:rsidR="0089555A" w:rsidRPr="00DD6966">
        <w:rPr>
          <w:szCs w:val="24"/>
        </w:rPr>
        <w:t xml:space="preserve"> y </w:t>
      </w:r>
      <w:proofErr w:type="spellStart"/>
      <w:r w:rsidR="0089555A" w:rsidRPr="00DD6966">
        <w:rPr>
          <w:szCs w:val="24"/>
        </w:rPr>
        <w:t>macromedición</w:t>
      </w:r>
      <w:proofErr w:type="spellEnd"/>
      <w:r w:rsidR="0089555A" w:rsidRPr="00DD6966">
        <w:rPr>
          <w:szCs w:val="24"/>
        </w:rPr>
        <w:t xml:space="preserve"> del agua,</w:t>
      </w:r>
      <w:r w:rsidRPr="00DD6966">
        <w:rPr>
          <w:szCs w:val="24"/>
        </w:rPr>
        <w:t xml:space="preserve"> agua no contabilizada</w:t>
      </w:r>
      <w:r w:rsidR="0089555A" w:rsidRPr="00DD6966">
        <w:rPr>
          <w:szCs w:val="24"/>
        </w:rPr>
        <w:t xml:space="preserve"> y pérdidas volumétricas</w:t>
      </w:r>
      <w:r w:rsidRPr="00DD6966">
        <w:rPr>
          <w:szCs w:val="24"/>
        </w:rPr>
        <w:t xml:space="preserve">, infraestructura </w:t>
      </w:r>
      <w:r w:rsidR="00D42396" w:rsidRPr="00DD6966">
        <w:rPr>
          <w:szCs w:val="24"/>
        </w:rPr>
        <w:t xml:space="preserve">deficiente </w:t>
      </w:r>
      <w:r w:rsidRPr="00DD6966">
        <w:rPr>
          <w:szCs w:val="24"/>
        </w:rPr>
        <w:t>de acueductos, falta de planificación en algunos sistemas</w:t>
      </w:r>
      <w:r w:rsidR="0089555A" w:rsidRPr="00DD6966">
        <w:rPr>
          <w:szCs w:val="24"/>
        </w:rPr>
        <w:t xml:space="preserve">, </w:t>
      </w:r>
      <w:r w:rsidR="005140DB" w:rsidRPr="00DD6966">
        <w:rPr>
          <w:szCs w:val="24"/>
        </w:rPr>
        <w:t>entre otros</w:t>
      </w:r>
      <w:r w:rsidR="0089555A" w:rsidRPr="00DD6966">
        <w:rPr>
          <w:szCs w:val="24"/>
        </w:rPr>
        <w:t xml:space="preserve">. </w:t>
      </w:r>
      <w:r w:rsidR="0031648F" w:rsidRPr="00DD6966">
        <w:rPr>
          <w:szCs w:val="24"/>
        </w:rPr>
        <w:t xml:space="preserve">Algunos de esos aspectos fueron considerados en el presente estudio mediante las entrevistas a los </w:t>
      </w:r>
      <w:r w:rsidR="00D42396">
        <w:rPr>
          <w:szCs w:val="24"/>
        </w:rPr>
        <w:t xml:space="preserve">sujetos </w:t>
      </w:r>
      <w:r w:rsidR="0031648F" w:rsidRPr="00DD6966">
        <w:rPr>
          <w:szCs w:val="24"/>
        </w:rPr>
        <w:t>encargados, lo que corroboró la necesidad de trabajar más en la estandarización y normalización del servicio en estas zonas</w:t>
      </w:r>
      <w:r w:rsidR="00D42396">
        <w:rPr>
          <w:szCs w:val="24"/>
        </w:rPr>
        <w:t>;</w:t>
      </w:r>
      <w:r w:rsidR="0044607D" w:rsidRPr="00DD6966">
        <w:rPr>
          <w:szCs w:val="24"/>
        </w:rPr>
        <w:t xml:space="preserve"> sin </w:t>
      </w:r>
      <w:r w:rsidR="0027765B" w:rsidRPr="00DD6966">
        <w:rPr>
          <w:szCs w:val="24"/>
        </w:rPr>
        <w:t>embargo,</w:t>
      </w:r>
      <w:r w:rsidR="0044607D" w:rsidRPr="00DD6966">
        <w:rPr>
          <w:szCs w:val="24"/>
        </w:rPr>
        <w:t xml:space="preserve"> esto no se incluyó en los cuestionarios</w:t>
      </w:r>
      <w:r w:rsidR="0031648F" w:rsidRPr="00DD6966">
        <w:rPr>
          <w:szCs w:val="24"/>
        </w:rPr>
        <w:t xml:space="preserve">. </w:t>
      </w:r>
    </w:p>
    <w:p w14:paraId="062C8DEB" w14:textId="77777777" w:rsidR="00336619" w:rsidRPr="00DD6966" w:rsidRDefault="00336619" w:rsidP="007A4FE8">
      <w:pPr>
        <w:spacing w:after="0"/>
        <w:jc w:val="both"/>
        <w:rPr>
          <w:szCs w:val="24"/>
        </w:rPr>
      </w:pPr>
    </w:p>
    <w:p w14:paraId="156CE70C" w14:textId="47E5FB7C" w:rsidR="002E350D" w:rsidRPr="00DD6966" w:rsidRDefault="00E72B60" w:rsidP="007A4FE8">
      <w:pPr>
        <w:spacing w:after="0"/>
        <w:jc w:val="both"/>
        <w:rPr>
          <w:szCs w:val="24"/>
        </w:rPr>
      </w:pPr>
      <w:r w:rsidRPr="00DD6966">
        <w:rPr>
          <w:szCs w:val="24"/>
        </w:rPr>
        <w:t>Aunque existen diversas aproximaciones y modelos para defi</w:t>
      </w:r>
      <w:r w:rsidR="0044607D" w:rsidRPr="00DD6966">
        <w:rPr>
          <w:szCs w:val="24"/>
        </w:rPr>
        <w:t>nir el nivel de satisfacción de</w:t>
      </w:r>
      <w:r w:rsidR="00D42396">
        <w:rPr>
          <w:szCs w:val="24"/>
        </w:rPr>
        <w:t xml:space="preserve"> la</w:t>
      </w:r>
      <w:r w:rsidR="0044607D" w:rsidRPr="00DD6966">
        <w:rPr>
          <w:szCs w:val="24"/>
        </w:rPr>
        <w:t xml:space="preserve"> cliente</w:t>
      </w:r>
      <w:r w:rsidR="00D42396">
        <w:rPr>
          <w:szCs w:val="24"/>
        </w:rPr>
        <w:t>la</w:t>
      </w:r>
      <w:r w:rsidRPr="00DD6966">
        <w:rPr>
          <w:szCs w:val="24"/>
        </w:rPr>
        <w:t xml:space="preserve"> en torno a un servicio </w:t>
      </w:r>
      <w:r w:rsidRPr="00DD6966">
        <w:rPr>
          <w:szCs w:val="24"/>
        </w:rPr>
        <w:fldChar w:fldCharType="begin" w:fldLock="1"/>
      </w:r>
      <w:r w:rsidR="00791B91" w:rsidRPr="00DD6966">
        <w:rPr>
          <w:szCs w:val="24"/>
        </w:rPr>
        <w:instrText>ADDIN CSL_CITATION {"citationItems":[{"id":"ITEM-1","itemData":{"DOI":"10.1108/02652328910134590","ISSN":"02652323","abstract":"Quality in the Service Sector: A Review","author":[{"dropping-particle":"","family":"Lewis","given":"Barbara R.","non-dropping-particle":"","parse-names":false,"suffix":""}],"container-title":"International Journal of Bank Marketing","id":"ITEM-1","issue":"5","issued":{"date-parts":[["1989"]]},"page":"4-12","title":"Quality in the service sector: A review","type":"article-journal","volume":"7"},"uris":["http://www.mendeley.com/documents/?uuid=e5cfbd88-2ab8-47f0-87ae-4f49bfea33c3"]},{"id":"ITEM-2","itemData":{"DOI":"10.1504/ijbir.2012.046628","ISSN":"1751-0252","abstract":"Over the last two decades, service organisations have embraced total quality management (TQM) as an effective management tool to improve their service quality. They have begun to show a keen interest in TQM by working on quality and related areas. TQM has become a major area of attention to practitioners, managers and researchers due to its strong impact on business performance, customer satisfaction and profitability. In the light of this, an attempt has been made to study and understand the theory and concept of TQM, its benefits as well as various facets of service components and its classification. This study also explores the literature on the implementation of TQM in selected service industries. The finding of this study provides a rich contribution towards TQM theory, its role in service sector, as well as presents the different components of services. This paper can help business managers and quality practitioners in better understanding TQM, service systems concept as well as TQM implementation in service sector. The scope for future study is presented at the end. Copyright © 2012 Inderscience Enterprises Ltd.","author":[{"dropping-particle":"","family":"Talib","given":"Faisal","non-dropping-particle":"","parse-names":false,"suffix":""},{"dropping-particle":"","family":"Rahman","given":"Zillur","non-dropping-particle":"","parse-names":false,"suffix":""},{"dropping-particle":"","family":"Qureshi","given":"M.N.","non-dropping-particle":"","parse-names":false,"suffix":""}],"container-title":"International Journal of Business Innovation and Research","id":"ITEM-2","issue":"3","issued":{"date-parts":[["2012"]]},"page":"259","title":"Total quality management in service sector: a literature review","type":"article-journal","volume":"6"},"uris":["http://www.mendeley.com/documents/?uuid=b208b023-a073-42be-bcac-6e3e6cb80363"]},{"id":"ITEM-3","itemData":{"DOI":"10.1088/1757-899X/377/1/012063","ISSN":"1757899X","abstract":"© Published under licence by IOP Publishing Ltd. In twenty-first Century, the performance of the service sector is much prominent than that of the other sectors comprising to the GDP of any country. The productivity of the service sectors of any country is dependent on this type of the sectors, their culture, venture capital and availability of the skilled workers. The research paper highlights the different factors affecting the service productivity in different countries with different sectors. The paper also emphasizes various techniques used to measure the performance of different service sectors. Finally, the paper attempts to propose a unique measurement methodology of a target sector for a specific country with some meaningful extracted key factors.","author":[{"dropping-particle":"","family":"Majumdar","given":"S.","non-dropping-particle":"","parse-names":false,"suffix":""},{"dropping-particle":"","family":"Tripathy","given":"S.","non-dropping-particle":"","parse-names":false,"suffix":""}],"container-title":"IOP Conference Series: Materials Science and Engineering","id":"ITEM-3","issued":{"date-parts":[["2018"]]},"title":"Service Sector Performance: A Critical Review","type":"article-journal","volume":"377"},"uris":["http://www.mendeley.com/documents/?uuid=b6a412d3-f5ea-4551-89d7-6491f229c386"]}],"mendeley":{"formattedCitation":"(Lewis, 1989; Majumdar &amp; Tripathy, 2018; Talib, Rahman, &amp; Qureshi, 2012)","manualFormatting":"(Lewis, 1989; Talib, Rahman y Qureshi, 2012; Majumdar y Tripathy, 2018)","plainTextFormattedCitation":"(Lewis, 1989; Majumdar &amp; Tripathy, 2018; Talib, Rahman, &amp; Qureshi, 2012)","previouslyFormattedCitation":"(Lewis, 1989; Majumdar &amp; Tripathy, 2018; Talib, Rahman, &amp; Qureshi, 2012)"},"properties":{"noteIndex":0},"schema":"https://github.com/citation-style-language/schema/raw/master/csl-citation.json"}</w:instrText>
      </w:r>
      <w:r w:rsidRPr="00DD6966">
        <w:rPr>
          <w:szCs w:val="24"/>
        </w:rPr>
        <w:fldChar w:fldCharType="separate"/>
      </w:r>
      <w:r w:rsidR="0044607D" w:rsidRPr="00DD6966">
        <w:rPr>
          <w:noProof/>
          <w:color w:val="365F91" w:themeColor="accent1" w:themeShade="BF"/>
          <w:szCs w:val="24"/>
        </w:rPr>
        <w:t xml:space="preserve">(Lewis, 1989; </w:t>
      </w:r>
      <w:r w:rsidR="00D42396" w:rsidRPr="00DD6966">
        <w:rPr>
          <w:noProof/>
          <w:color w:val="365F91" w:themeColor="accent1" w:themeShade="BF"/>
          <w:szCs w:val="24"/>
        </w:rPr>
        <w:t>Majumdar y Tripathy, 2018</w:t>
      </w:r>
      <w:r w:rsidR="00D42396">
        <w:rPr>
          <w:noProof/>
          <w:color w:val="365F91" w:themeColor="accent1" w:themeShade="BF"/>
          <w:szCs w:val="24"/>
        </w:rPr>
        <w:t xml:space="preserve">; </w:t>
      </w:r>
      <w:r w:rsidR="0044607D" w:rsidRPr="00DD6966">
        <w:rPr>
          <w:noProof/>
          <w:color w:val="365F91" w:themeColor="accent1" w:themeShade="BF"/>
          <w:szCs w:val="24"/>
        </w:rPr>
        <w:t>Talib, Rahman y</w:t>
      </w:r>
      <w:r w:rsidRPr="00DD6966">
        <w:rPr>
          <w:noProof/>
          <w:color w:val="365F91" w:themeColor="accent1" w:themeShade="BF"/>
          <w:szCs w:val="24"/>
        </w:rPr>
        <w:t xml:space="preserve"> Qureshi, 2012</w:t>
      </w:r>
      <w:r w:rsidRPr="00DD6966">
        <w:rPr>
          <w:noProof/>
          <w:szCs w:val="24"/>
        </w:rPr>
        <w:t>)</w:t>
      </w:r>
      <w:r w:rsidRPr="00DD6966">
        <w:rPr>
          <w:szCs w:val="24"/>
        </w:rPr>
        <w:fldChar w:fldCharType="end"/>
      </w:r>
      <w:r w:rsidRPr="00DD6966">
        <w:rPr>
          <w:szCs w:val="24"/>
        </w:rPr>
        <w:t xml:space="preserve">, una manera sencilla de entender ese término es considerarlo como la diferencia </w:t>
      </w:r>
      <w:r w:rsidR="0044607D" w:rsidRPr="00DD6966">
        <w:rPr>
          <w:szCs w:val="24"/>
        </w:rPr>
        <w:t>entre el nivel de percepción de la persona usuaria y sus</w:t>
      </w:r>
      <w:r w:rsidRPr="00DD6966">
        <w:rPr>
          <w:szCs w:val="24"/>
        </w:rPr>
        <w:t xml:space="preserve"> expectativas para ese servicio. En el caso de</w:t>
      </w:r>
      <w:r w:rsidR="00637997" w:rsidRPr="00DD6966">
        <w:rPr>
          <w:szCs w:val="24"/>
        </w:rPr>
        <w:t xml:space="preserve"> los</w:t>
      </w:r>
      <w:r w:rsidRPr="00DD6966">
        <w:rPr>
          <w:szCs w:val="24"/>
        </w:rPr>
        <w:t xml:space="preserve"> servicio</w:t>
      </w:r>
      <w:r w:rsidR="00637997" w:rsidRPr="00DD6966">
        <w:rPr>
          <w:szCs w:val="24"/>
        </w:rPr>
        <w:t>s</w:t>
      </w:r>
      <w:r w:rsidRPr="00DD6966">
        <w:rPr>
          <w:szCs w:val="24"/>
        </w:rPr>
        <w:t xml:space="preserve"> público</w:t>
      </w:r>
      <w:r w:rsidR="00637997" w:rsidRPr="00DD6966">
        <w:rPr>
          <w:szCs w:val="24"/>
        </w:rPr>
        <w:t>s</w:t>
      </w:r>
      <w:r w:rsidRPr="00DD6966">
        <w:rPr>
          <w:szCs w:val="24"/>
        </w:rPr>
        <w:t xml:space="preserve"> de agua, </w:t>
      </w:r>
      <w:r w:rsidRPr="00DD6966">
        <w:rPr>
          <w:color w:val="365F91" w:themeColor="accent1" w:themeShade="BF"/>
          <w:szCs w:val="24"/>
        </w:rPr>
        <w:fldChar w:fldCharType="begin" w:fldLock="1"/>
      </w:r>
      <w:r w:rsidR="00791B91" w:rsidRPr="00DD6966">
        <w:rPr>
          <w:color w:val="365F91" w:themeColor="accent1" w:themeShade="BF"/>
          <w:szCs w:val="24"/>
        </w:rPr>
        <w:instrText>ADDIN CSL_CITATION {"citationItems":[{"id":"ITEM-1","itemData":{"DOI":"10.2495/WRM110301","ISBN":"9781845645144","ISSN":"17433541","abstract":"The current reforms in the water sector in the Sub Saharan Africa have put the customer at the centre stage for sustainable water service delivery. However, few studies have been conducted to assess the gap between customer's expectations and his/her perception of the actual water service delivered, yet this knowledge is important to support prioritization in developing water service delivery improvement. Using the SERVQUAL model, we sampled 527 customers of National Water and Sewerage Corporation [NWSC] and Dar Es Salaam Water and Sewerage Corporation [DAWASCO]  to assess the service quality delivery gaps. The results indicate a gap of -1.98 for NWSC and -2.81 for DAWASCO on a seven point scale. We also found out that the service quality dimensions of reliability and responsiveness as very important to customers, yet it is on these dimensions that both utilities have the biggest service quality gaps of -2.73 for NWSC and - 3.80 for DAWASCO. The results imply that water utilities in Uganda and Tanzania should continue improving the quality of water service delivery by concentrating more on reliability and responsiveness of water service delivery. © 2011 WIT Press.","author":[{"dropping-particle":"","family":"Mukokoma","given":"M. M.N.","non-dropping-particle":"","parse-names":false,"suffix":""},{"dropping-particle":"","family":"Dijk","given":"M. P.","non-dropping-particle":"van","parse-names":false,"suffix":""}],"container-title":"WIT Transactions on Ecology and the Environment","id":"ITEM-1","issued":{"date-parts":[["2011"]]},"page":"349-359","title":"An assessment of the urban water service delivery quality gap in Uganda and Tanzania: Taping the customer's voice in water service delivery","type":"article-journal","volume":"145"},"uris":["http://www.mendeley.com/documents/?uuid=be94fe70-2675-44c1-b0b7-07fe2556b00e"]}],"mendeley":{"formattedCitation":"(Mukokoma &amp; van Dijk, 2011)","manualFormatting":"Mukokoma y van Dijk (2011)","plainTextFormattedCitation":"(Mukokoma &amp; van Dijk, 2011)","previouslyFormattedCitation":"(Mukokoma &amp; van Dijk, 2011)"},"properties":{"noteIndex":0},"schema":"https://github.com/citation-style-language/schema/raw/master/csl-citation.json"}</w:instrText>
      </w:r>
      <w:r w:rsidRPr="00DD6966">
        <w:rPr>
          <w:color w:val="365F91" w:themeColor="accent1" w:themeShade="BF"/>
          <w:szCs w:val="24"/>
        </w:rPr>
        <w:fldChar w:fldCharType="separate"/>
      </w:r>
      <w:r w:rsidR="0044607D" w:rsidRPr="00DD6966">
        <w:rPr>
          <w:noProof/>
          <w:color w:val="365F91" w:themeColor="accent1" w:themeShade="BF"/>
          <w:szCs w:val="24"/>
        </w:rPr>
        <w:t>Mukokoma y</w:t>
      </w:r>
      <w:r w:rsidRPr="00DD6966">
        <w:rPr>
          <w:noProof/>
          <w:color w:val="365F91" w:themeColor="accent1" w:themeShade="BF"/>
          <w:szCs w:val="24"/>
        </w:rPr>
        <w:t xml:space="preserve"> van Dijk (2011)</w:t>
      </w:r>
      <w:r w:rsidRPr="00DD6966">
        <w:rPr>
          <w:color w:val="365F91" w:themeColor="accent1" w:themeShade="BF"/>
          <w:szCs w:val="24"/>
        </w:rPr>
        <w:fldChar w:fldCharType="end"/>
      </w:r>
      <w:r w:rsidRPr="00DD6966">
        <w:rPr>
          <w:szCs w:val="24"/>
        </w:rPr>
        <w:t xml:space="preserve"> sostienen que </w:t>
      </w:r>
      <w:r w:rsidR="003F4881" w:rsidRPr="00DD6966">
        <w:rPr>
          <w:szCs w:val="24"/>
        </w:rPr>
        <w:t xml:space="preserve">la persona </w:t>
      </w:r>
      <w:r w:rsidR="0044607D" w:rsidRPr="00DD6966">
        <w:rPr>
          <w:szCs w:val="24"/>
        </w:rPr>
        <w:t>usuaria</w:t>
      </w:r>
      <w:r w:rsidRPr="00DD6966">
        <w:rPr>
          <w:szCs w:val="24"/>
        </w:rPr>
        <w:t xml:space="preserve"> debe </w:t>
      </w:r>
      <w:r w:rsidR="00CA29D0" w:rsidRPr="00DD6966">
        <w:rPr>
          <w:szCs w:val="24"/>
        </w:rPr>
        <w:t xml:space="preserve">estar en </w:t>
      </w:r>
      <w:r w:rsidRPr="00DD6966">
        <w:rPr>
          <w:szCs w:val="24"/>
        </w:rPr>
        <w:t>el centro de atención</w:t>
      </w:r>
      <w:r w:rsidR="00CA29D0" w:rsidRPr="00DD6966">
        <w:rPr>
          <w:szCs w:val="24"/>
        </w:rPr>
        <w:t xml:space="preserve"> de la gestión del recurso</w:t>
      </w:r>
      <w:r w:rsidRPr="00DD6966">
        <w:rPr>
          <w:szCs w:val="24"/>
        </w:rPr>
        <w:t>, de modo que el servi</w:t>
      </w:r>
      <w:r w:rsidR="0044607D" w:rsidRPr="00DD6966">
        <w:rPr>
          <w:szCs w:val="24"/>
        </w:rPr>
        <w:t>cio sea</w:t>
      </w:r>
      <w:r w:rsidR="00B17525" w:rsidRPr="00DD6966">
        <w:rPr>
          <w:szCs w:val="24"/>
        </w:rPr>
        <w:t xml:space="preserve"> satisfactorio para la población</w:t>
      </w:r>
      <w:r w:rsidRPr="00DD6966">
        <w:rPr>
          <w:szCs w:val="24"/>
        </w:rPr>
        <w:t>.</w:t>
      </w:r>
      <w:r w:rsidR="0031648F" w:rsidRPr="00DD6966">
        <w:rPr>
          <w:szCs w:val="24"/>
        </w:rPr>
        <w:t xml:space="preserve"> Este fue el punto de partida de la presente investigación</w:t>
      </w:r>
      <w:r w:rsidR="0044607D" w:rsidRPr="00DD6966">
        <w:rPr>
          <w:szCs w:val="24"/>
        </w:rPr>
        <w:t>; d</w:t>
      </w:r>
      <w:r w:rsidRPr="00DD6966">
        <w:rPr>
          <w:szCs w:val="24"/>
        </w:rPr>
        <w:t>e esta manera, como s</w:t>
      </w:r>
      <w:r w:rsidR="0044607D" w:rsidRPr="00DD6966">
        <w:rPr>
          <w:szCs w:val="24"/>
        </w:rPr>
        <w:t xml:space="preserve">ugiere la </w:t>
      </w:r>
      <w:r w:rsidR="0044607D" w:rsidRPr="00DD6966">
        <w:rPr>
          <w:color w:val="365F91" w:themeColor="accent1" w:themeShade="BF"/>
          <w:szCs w:val="24"/>
        </w:rPr>
        <w:t>OMS (2017)</w:t>
      </w:r>
      <w:r w:rsidR="0044607D" w:rsidRPr="00DD6966">
        <w:rPr>
          <w:szCs w:val="24"/>
        </w:rPr>
        <w:t>, la persona</w:t>
      </w:r>
      <w:r w:rsidRPr="00DD6966">
        <w:rPr>
          <w:szCs w:val="24"/>
        </w:rPr>
        <w:t xml:space="preserve"> hará uso del servicio y evitará recurrir a otras fuentes de agua de dudosa calidad</w:t>
      </w:r>
      <w:r w:rsidR="00D42396">
        <w:rPr>
          <w:szCs w:val="24"/>
        </w:rPr>
        <w:t xml:space="preserve">; se </w:t>
      </w:r>
      <w:r w:rsidRPr="00DD6966">
        <w:rPr>
          <w:szCs w:val="24"/>
        </w:rPr>
        <w:t>proteg</w:t>
      </w:r>
      <w:r w:rsidR="00D42396">
        <w:rPr>
          <w:szCs w:val="24"/>
        </w:rPr>
        <w:t>e,</w:t>
      </w:r>
      <w:r w:rsidRPr="00DD6966">
        <w:rPr>
          <w:szCs w:val="24"/>
        </w:rPr>
        <w:t xml:space="preserve"> así</w:t>
      </w:r>
      <w:r w:rsidR="00D42396">
        <w:rPr>
          <w:szCs w:val="24"/>
        </w:rPr>
        <w:t>,</w:t>
      </w:r>
      <w:r w:rsidRPr="00DD6966">
        <w:rPr>
          <w:szCs w:val="24"/>
        </w:rPr>
        <w:t xml:space="preserve"> la salud de la población. </w:t>
      </w:r>
    </w:p>
    <w:p w14:paraId="764D34B4" w14:textId="77777777" w:rsidR="00336619" w:rsidRPr="00DD6966" w:rsidRDefault="00336619" w:rsidP="007A4FE8">
      <w:pPr>
        <w:spacing w:after="0"/>
        <w:jc w:val="both"/>
        <w:rPr>
          <w:szCs w:val="24"/>
        </w:rPr>
      </w:pPr>
    </w:p>
    <w:p w14:paraId="35E57888" w14:textId="42DDAE2C" w:rsidR="00E72B60" w:rsidRPr="00DD6966" w:rsidRDefault="00E72B60" w:rsidP="007A4FE8">
      <w:pPr>
        <w:spacing w:after="0"/>
        <w:jc w:val="both"/>
        <w:rPr>
          <w:szCs w:val="24"/>
        </w:rPr>
      </w:pPr>
      <w:r w:rsidRPr="00DD6966">
        <w:rPr>
          <w:szCs w:val="24"/>
        </w:rPr>
        <w:t>Desde este pu</w:t>
      </w:r>
      <w:r w:rsidR="0044607D" w:rsidRPr="00DD6966">
        <w:rPr>
          <w:szCs w:val="24"/>
        </w:rPr>
        <w:t>nto de vista, la perspectiva de las personas</w:t>
      </w:r>
      <w:r w:rsidRPr="00DD6966">
        <w:rPr>
          <w:szCs w:val="24"/>
        </w:rPr>
        <w:t xml:space="preserve"> </w:t>
      </w:r>
      <w:r w:rsidR="003F3563" w:rsidRPr="00DD6966">
        <w:rPr>
          <w:szCs w:val="24"/>
        </w:rPr>
        <w:t xml:space="preserve">en relación </w:t>
      </w:r>
      <w:r w:rsidR="00D42396">
        <w:rPr>
          <w:szCs w:val="24"/>
        </w:rPr>
        <w:t>con e</w:t>
      </w:r>
      <w:r w:rsidR="003F3563" w:rsidRPr="00DD6966">
        <w:rPr>
          <w:szCs w:val="24"/>
        </w:rPr>
        <w:t>l</w:t>
      </w:r>
      <w:r w:rsidRPr="00DD6966">
        <w:rPr>
          <w:szCs w:val="24"/>
        </w:rPr>
        <w:t xml:space="preserve"> servicio de agua que recibe</w:t>
      </w:r>
      <w:r w:rsidR="00D42396">
        <w:rPr>
          <w:szCs w:val="24"/>
        </w:rPr>
        <w:t>n</w:t>
      </w:r>
      <w:r w:rsidR="00516AC8" w:rsidRPr="00DD6966">
        <w:rPr>
          <w:szCs w:val="24"/>
        </w:rPr>
        <w:t>, aunque correspond</w:t>
      </w:r>
      <w:r w:rsidR="003F3563" w:rsidRPr="00DD6966">
        <w:rPr>
          <w:szCs w:val="24"/>
        </w:rPr>
        <w:t>e</w:t>
      </w:r>
      <w:r w:rsidR="00516AC8" w:rsidRPr="00DD6966">
        <w:rPr>
          <w:szCs w:val="24"/>
        </w:rPr>
        <w:t xml:space="preserve"> a información subjetiva </w:t>
      </w:r>
      <w:r w:rsidR="00516AC8" w:rsidRPr="00DD6966">
        <w:rPr>
          <w:szCs w:val="24"/>
        </w:rPr>
        <w:fldChar w:fldCharType="begin" w:fldLock="1"/>
      </w:r>
      <w:r w:rsidR="00791B91" w:rsidRPr="00DD6966">
        <w:rPr>
          <w:szCs w:val="24"/>
        </w:rPr>
        <w:instrText>ADDIN CSL_CITATION {"citationItems":[{"id":"ITEM-1","itemData":{"DOI":"10.22201/fcpys.24484911e.2017.23.58515","ISSN":"2448-4911","abstract":"En todo servicio público es importante realizar registros regulares sobre la percepción que tienen los usuarios acerca de la calidad, siendo uno de los propósitos de esta actividad la mejora continua de las instituciones. En este caso particular, se estudió el servicio otorgado por la Comisión Municipal de Agua Potable y Saneamiento de Xalapa, Veracruz. El estado de Veracruz es una de las cinco entidades con mayores caudales pero con menor porcentaje de población con acceso al agua entubada, por lo que Conagua determinó que existe un rezago en este aspecto. Además, se observó el descontento de la población mediante protestasen la ciudad de Xalapa, en las que expusieron problemas por el cobro de las tarifas y la falta de abastecimiento, de tal forma que se consideró pertinente registrar las opiniones por medio de encuestas, para recabar los datos necesarios y encaminarlos hacia las instituciones responsables. Como metodología se utilizó un muestreo probabilístico y se procesó la información con el programa estadístico para las ciencias sociales, y se encontró que los estudios de opinión arrojan suficientes datos actuales y reales para evaluar servicios en determinada comunidad. En este caso, la ciudadanía, sin importar el nivel de marginación, considera aceptable el servicio prestado, calificándolo de regular a bueno.","author":[{"dropping-particle":"","family":"Ortega Márquez","given":"Maritzel","non-dropping-particle":"","parse-names":false,"suffix":""},{"dropping-particle":"","family":"Márquez Fernández","given":"Olivia","non-dropping-particle":"","parse-names":false,"suffix":""}],"container-title":"Revista Mexicana de Opinión Pública","id":"ITEM-1","issue":"2","issued":{"date-parts":[["2017"]]},"page":"41-59","publisher":"Elsevier","title":"Percepción social del servicio de agua potable en el municipio de Xalapa, Veracruz","type":"article-journal","volume":"23"},"uris":["http://www.mendeley.com/documents/?uuid=ebec47d4-8de9-496b-9860-3bd0bfae70f3"]}],"mendeley":{"formattedCitation":"(Ortega Márquez &amp; Márquez Fernández, 2017)","manualFormatting":"(Ortega y Márquez, 2017)","plainTextFormattedCitation":"(Ortega Márquez &amp; Márquez Fernández, 2017)","previouslyFormattedCitation":"(Ortega Márquez &amp; Márquez Fernández, 2017)"},"properties":{"noteIndex":0},"schema":"https://github.com/citation-style-language/schema/raw/master/csl-citation.json"}</w:instrText>
      </w:r>
      <w:r w:rsidR="00516AC8" w:rsidRPr="00DD6966">
        <w:rPr>
          <w:szCs w:val="24"/>
        </w:rPr>
        <w:fldChar w:fldCharType="separate"/>
      </w:r>
      <w:r w:rsidR="0044607D" w:rsidRPr="00DD6966">
        <w:rPr>
          <w:noProof/>
          <w:szCs w:val="24"/>
        </w:rPr>
        <w:t>(</w:t>
      </w:r>
      <w:r w:rsidR="0044607D" w:rsidRPr="00DD6966">
        <w:rPr>
          <w:noProof/>
          <w:color w:val="365F91" w:themeColor="accent1" w:themeShade="BF"/>
          <w:szCs w:val="24"/>
        </w:rPr>
        <w:t xml:space="preserve">Ortega </w:t>
      </w:r>
      <w:r w:rsidR="002E350D" w:rsidRPr="00DD6966">
        <w:rPr>
          <w:noProof/>
          <w:color w:val="365F91" w:themeColor="accent1" w:themeShade="BF"/>
          <w:szCs w:val="24"/>
        </w:rPr>
        <w:t>y</w:t>
      </w:r>
      <w:r w:rsidR="0044607D" w:rsidRPr="00DD6966">
        <w:rPr>
          <w:noProof/>
          <w:color w:val="365F91" w:themeColor="accent1" w:themeShade="BF"/>
          <w:szCs w:val="24"/>
        </w:rPr>
        <w:t xml:space="preserve"> Márquez</w:t>
      </w:r>
      <w:r w:rsidR="00516AC8" w:rsidRPr="00DD6966">
        <w:rPr>
          <w:noProof/>
          <w:color w:val="365F91" w:themeColor="accent1" w:themeShade="BF"/>
          <w:szCs w:val="24"/>
        </w:rPr>
        <w:t>, 2017</w:t>
      </w:r>
      <w:r w:rsidR="00516AC8" w:rsidRPr="00DD6966">
        <w:rPr>
          <w:noProof/>
          <w:szCs w:val="24"/>
        </w:rPr>
        <w:t>)</w:t>
      </w:r>
      <w:r w:rsidR="00516AC8" w:rsidRPr="00DD6966">
        <w:rPr>
          <w:szCs w:val="24"/>
        </w:rPr>
        <w:fldChar w:fldCharType="end"/>
      </w:r>
      <w:r w:rsidR="00516AC8" w:rsidRPr="00DD6966">
        <w:rPr>
          <w:szCs w:val="24"/>
        </w:rPr>
        <w:t>,</w:t>
      </w:r>
      <w:r w:rsidRPr="00DD6966">
        <w:rPr>
          <w:szCs w:val="24"/>
        </w:rPr>
        <w:t xml:space="preserve"> es un recurso </w:t>
      </w:r>
      <w:r w:rsidR="00CA29D0" w:rsidRPr="00DD6966">
        <w:rPr>
          <w:szCs w:val="24"/>
        </w:rPr>
        <w:t xml:space="preserve">valioso que complementa </w:t>
      </w:r>
      <w:r w:rsidR="003F3563" w:rsidRPr="00DD6966">
        <w:rPr>
          <w:szCs w:val="24"/>
        </w:rPr>
        <w:t>la tradicional información técnica del servicio</w:t>
      </w:r>
      <w:r w:rsidRPr="00DD6966">
        <w:rPr>
          <w:szCs w:val="24"/>
        </w:rPr>
        <w:t xml:space="preserve">. </w:t>
      </w:r>
      <w:r w:rsidR="0033264D" w:rsidRPr="00DD6966">
        <w:rPr>
          <w:szCs w:val="24"/>
        </w:rPr>
        <w:t xml:space="preserve">Por ese motivo, se recomienda a las autoridades locales </w:t>
      </w:r>
      <w:r w:rsidR="00EB48A1" w:rsidRPr="00DD6966">
        <w:rPr>
          <w:szCs w:val="24"/>
        </w:rPr>
        <w:t>y</w:t>
      </w:r>
      <w:r w:rsidR="0033264D" w:rsidRPr="00DD6966">
        <w:rPr>
          <w:szCs w:val="24"/>
        </w:rPr>
        <w:t xml:space="preserve"> </w:t>
      </w:r>
      <w:r w:rsidR="0044607D" w:rsidRPr="00DD6966">
        <w:rPr>
          <w:szCs w:val="24"/>
        </w:rPr>
        <w:t>fiscalizador</w:t>
      </w:r>
      <w:r w:rsidR="00D42396">
        <w:rPr>
          <w:szCs w:val="24"/>
        </w:rPr>
        <w:t>a</w:t>
      </w:r>
      <w:r w:rsidR="0044607D" w:rsidRPr="00DD6966">
        <w:rPr>
          <w:szCs w:val="24"/>
        </w:rPr>
        <w:t>s</w:t>
      </w:r>
      <w:r w:rsidR="0033264D" w:rsidRPr="00DD6966">
        <w:rPr>
          <w:szCs w:val="24"/>
        </w:rPr>
        <w:t xml:space="preserve"> del servicio dar seguimiento en el tiempo </w:t>
      </w:r>
      <w:r w:rsidR="000B5D21" w:rsidRPr="00DD6966">
        <w:rPr>
          <w:szCs w:val="24"/>
        </w:rPr>
        <w:t xml:space="preserve">a este tipo de indicadores, junto </w:t>
      </w:r>
      <w:r w:rsidR="003F3563" w:rsidRPr="00DD6966">
        <w:rPr>
          <w:szCs w:val="24"/>
        </w:rPr>
        <w:t>a</w:t>
      </w:r>
      <w:r w:rsidR="000B5D21" w:rsidRPr="00DD6966">
        <w:rPr>
          <w:szCs w:val="24"/>
        </w:rPr>
        <w:t xml:space="preserve"> los más tradicionales,</w:t>
      </w:r>
      <w:r w:rsidR="0033264D" w:rsidRPr="00DD6966">
        <w:rPr>
          <w:szCs w:val="24"/>
        </w:rPr>
        <w:t xml:space="preserve"> con el fin de estudiar su evolución</w:t>
      </w:r>
      <w:r w:rsidR="0031648F" w:rsidRPr="00DD6966">
        <w:rPr>
          <w:szCs w:val="24"/>
        </w:rPr>
        <w:t xml:space="preserve"> y entender c</w:t>
      </w:r>
      <w:r w:rsidR="00D42396">
        <w:rPr>
          <w:szCs w:val="24"/>
        </w:rPr>
        <w:t>ó</w:t>
      </w:r>
      <w:r w:rsidR="0031648F" w:rsidRPr="00DD6966">
        <w:rPr>
          <w:szCs w:val="24"/>
        </w:rPr>
        <w:t xml:space="preserve">mo posibles mejoras técnicas o de gestión se ven reflejadas en la percepción de la </w:t>
      </w:r>
      <w:r w:rsidR="00D42396">
        <w:rPr>
          <w:szCs w:val="24"/>
        </w:rPr>
        <w:t>gente</w:t>
      </w:r>
      <w:r w:rsidR="0033264D" w:rsidRPr="00DD6966">
        <w:rPr>
          <w:szCs w:val="24"/>
        </w:rPr>
        <w:t>.</w:t>
      </w:r>
    </w:p>
    <w:p w14:paraId="0AEBD069" w14:textId="77777777" w:rsidR="00336619" w:rsidRPr="00DD6966" w:rsidRDefault="00336619" w:rsidP="007A4FE8">
      <w:pPr>
        <w:spacing w:after="0"/>
        <w:jc w:val="both"/>
        <w:rPr>
          <w:szCs w:val="24"/>
        </w:rPr>
      </w:pPr>
    </w:p>
    <w:p w14:paraId="690C6A6E" w14:textId="4D7DD2BB" w:rsidR="002A62CF" w:rsidRPr="00DD6966" w:rsidRDefault="002E350D" w:rsidP="007A4FE8">
      <w:pPr>
        <w:pStyle w:val="Prrafodelista"/>
        <w:numPr>
          <w:ilvl w:val="1"/>
          <w:numId w:val="4"/>
        </w:numPr>
        <w:ind w:left="426" w:hanging="426"/>
        <w:jc w:val="both"/>
        <w:rPr>
          <w:b/>
          <w:szCs w:val="24"/>
        </w:rPr>
      </w:pPr>
      <w:r w:rsidRPr="00DD6966">
        <w:rPr>
          <w:b/>
          <w:szCs w:val="24"/>
        </w:rPr>
        <w:t>Derecho de acceso al agua y participación activa de</w:t>
      </w:r>
      <w:r w:rsidR="000B075A">
        <w:rPr>
          <w:b/>
          <w:szCs w:val="24"/>
        </w:rPr>
        <w:t>l público</w:t>
      </w:r>
      <w:r w:rsidRPr="00DD6966">
        <w:rPr>
          <w:b/>
          <w:szCs w:val="24"/>
        </w:rPr>
        <w:t xml:space="preserve"> usuario</w:t>
      </w:r>
    </w:p>
    <w:p w14:paraId="4D49D5DD" w14:textId="6F0A3A54" w:rsidR="00C11F78" w:rsidRPr="00DD6966" w:rsidRDefault="00DD4670" w:rsidP="007A4FE8">
      <w:pPr>
        <w:spacing w:after="0"/>
        <w:jc w:val="both"/>
        <w:rPr>
          <w:szCs w:val="24"/>
        </w:rPr>
      </w:pPr>
      <w:r w:rsidRPr="00DD6966">
        <w:rPr>
          <w:szCs w:val="24"/>
        </w:rPr>
        <w:t>Si se considera el marco referencial que propone la Organización de las Naciones Unidas</w:t>
      </w:r>
      <w:r w:rsidR="000B075A">
        <w:rPr>
          <w:szCs w:val="24"/>
        </w:rPr>
        <w:t>,</w:t>
      </w:r>
      <w:r w:rsidRPr="00DD6966">
        <w:rPr>
          <w:szCs w:val="24"/>
        </w:rPr>
        <w:t xml:space="preserve"> </w:t>
      </w:r>
      <w:r w:rsidR="00B50924" w:rsidRPr="00DD6966">
        <w:rPr>
          <w:szCs w:val="24"/>
        </w:rPr>
        <w:t>enfocado en</w:t>
      </w:r>
      <w:r w:rsidRPr="00DD6966">
        <w:rPr>
          <w:szCs w:val="24"/>
        </w:rPr>
        <w:t xml:space="preserve"> el </w:t>
      </w:r>
      <w:r w:rsidR="007C48F1" w:rsidRPr="00DD6966">
        <w:rPr>
          <w:szCs w:val="24"/>
        </w:rPr>
        <w:t>cumplimiento del</w:t>
      </w:r>
      <w:r w:rsidRPr="00DD6966">
        <w:rPr>
          <w:szCs w:val="24"/>
        </w:rPr>
        <w:t xml:space="preserve"> </w:t>
      </w:r>
      <w:r w:rsidR="000B075A" w:rsidRPr="00DD6966">
        <w:rPr>
          <w:szCs w:val="24"/>
        </w:rPr>
        <w:t xml:space="preserve">derecho humano </w:t>
      </w:r>
      <w:r w:rsidR="007C48F1" w:rsidRPr="00DD6966">
        <w:rPr>
          <w:szCs w:val="24"/>
        </w:rPr>
        <w:t>de acceso al</w:t>
      </w:r>
      <w:r w:rsidRPr="00DD6966">
        <w:rPr>
          <w:szCs w:val="24"/>
        </w:rPr>
        <w:t xml:space="preserve"> agua</w:t>
      </w:r>
      <w:r w:rsidR="007C48F1" w:rsidRPr="00DD6966">
        <w:rPr>
          <w:szCs w:val="24"/>
        </w:rPr>
        <w:t xml:space="preserve">, </w:t>
      </w:r>
      <w:r w:rsidR="001D1FD7" w:rsidRPr="00DD6966">
        <w:rPr>
          <w:szCs w:val="24"/>
        </w:rPr>
        <w:t>p</w:t>
      </w:r>
      <w:r w:rsidR="00BC1251" w:rsidRPr="00DD6966">
        <w:rPr>
          <w:szCs w:val="24"/>
        </w:rPr>
        <w:t xml:space="preserve">ara prestar un servicio </w:t>
      </w:r>
      <w:r w:rsidR="00BC1251" w:rsidRPr="00DD6966">
        <w:rPr>
          <w:szCs w:val="24"/>
        </w:rPr>
        <w:lastRenderedPageBreak/>
        <w:t>de</w:t>
      </w:r>
      <w:r w:rsidR="000B075A">
        <w:rPr>
          <w:szCs w:val="24"/>
        </w:rPr>
        <w:t xml:space="preserve"> su</w:t>
      </w:r>
      <w:r w:rsidR="00BC1251" w:rsidRPr="00DD6966">
        <w:rPr>
          <w:szCs w:val="24"/>
        </w:rPr>
        <w:t xml:space="preserve"> abastecimiento </w:t>
      </w:r>
      <w:r w:rsidR="008800CE" w:rsidRPr="00DD6966">
        <w:rPr>
          <w:szCs w:val="24"/>
        </w:rPr>
        <w:t>enfocado</w:t>
      </w:r>
      <w:r w:rsidR="00BC1251" w:rsidRPr="00DD6966">
        <w:rPr>
          <w:szCs w:val="24"/>
        </w:rPr>
        <w:t xml:space="preserve"> en los derechos</w:t>
      </w:r>
      <w:r w:rsidR="000B075A">
        <w:rPr>
          <w:szCs w:val="24"/>
        </w:rPr>
        <w:t>,</w:t>
      </w:r>
      <w:r w:rsidR="005140DB" w:rsidRPr="00DD6966">
        <w:rPr>
          <w:szCs w:val="24"/>
        </w:rPr>
        <w:t xml:space="preserve"> </w:t>
      </w:r>
      <w:r w:rsidR="001D1FD7" w:rsidRPr="00DD6966">
        <w:rPr>
          <w:szCs w:val="24"/>
        </w:rPr>
        <w:t>se recomienda</w:t>
      </w:r>
      <w:r w:rsidR="00BC1251" w:rsidRPr="00DD6966">
        <w:rPr>
          <w:szCs w:val="24"/>
        </w:rPr>
        <w:t xml:space="preserve"> </w:t>
      </w:r>
      <w:r w:rsidR="008800CE" w:rsidRPr="00DD6966">
        <w:rPr>
          <w:szCs w:val="24"/>
        </w:rPr>
        <w:t xml:space="preserve">adoptar una serie de principios: </w:t>
      </w:r>
      <w:r w:rsidR="00513154" w:rsidRPr="00DD6966">
        <w:rPr>
          <w:szCs w:val="24"/>
        </w:rPr>
        <w:t xml:space="preserve">indicar explícitamente que el servicio es un derecho de la población, rendir cuentas del servicio prestado, promover el empoderamiento de </w:t>
      </w:r>
      <w:r w:rsidR="004F656E" w:rsidRPr="00DD6966">
        <w:rPr>
          <w:szCs w:val="24"/>
        </w:rPr>
        <w:t>las personas</w:t>
      </w:r>
      <w:r w:rsidR="00513154" w:rsidRPr="00DD6966">
        <w:rPr>
          <w:szCs w:val="24"/>
        </w:rPr>
        <w:t xml:space="preserve">, así como su participación </w:t>
      </w:r>
      <w:r w:rsidR="003F3563" w:rsidRPr="00DD6966">
        <w:rPr>
          <w:szCs w:val="24"/>
        </w:rPr>
        <w:t>en</w:t>
      </w:r>
      <w:r w:rsidR="00513154" w:rsidRPr="00DD6966">
        <w:rPr>
          <w:szCs w:val="24"/>
        </w:rPr>
        <w:t xml:space="preserve"> la toma de decisiones y no discriminar a los grupos vulnerables de la sociedad</w:t>
      </w:r>
      <w:r w:rsidR="004C151E" w:rsidRPr="00DD6966">
        <w:rPr>
          <w:szCs w:val="24"/>
        </w:rPr>
        <w:t xml:space="preserve"> (</w:t>
      </w:r>
      <w:r w:rsidR="004C151E" w:rsidRPr="00DD6966">
        <w:rPr>
          <w:color w:val="365F91" w:themeColor="accent1" w:themeShade="BF"/>
          <w:szCs w:val="24"/>
        </w:rPr>
        <w:t>ONU, 2010</w:t>
      </w:r>
      <w:r w:rsidR="004C151E" w:rsidRPr="00DD6966">
        <w:rPr>
          <w:szCs w:val="24"/>
        </w:rPr>
        <w:t xml:space="preserve">). </w:t>
      </w:r>
      <w:r w:rsidR="00513154" w:rsidRPr="00DD6966">
        <w:rPr>
          <w:szCs w:val="24"/>
        </w:rPr>
        <w:t xml:space="preserve"> </w:t>
      </w:r>
    </w:p>
    <w:p w14:paraId="49BA137C" w14:textId="77777777" w:rsidR="00336619" w:rsidRPr="00DD6966" w:rsidRDefault="00336619" w:rsidP="007A4FE8">
      <w:pPr>
        <w:spacing w:after="0"/>
        <w:jc w:val="both"/>
        <w:rPr>
          <w:szCs w:val="24"/>
        </w:rPr>
      </w:pPr>
    </w:p>
    <w:p w14:paraId="028A6926" w14:textId="315249A8" w:rsidR="00336619" w:rsidRPr="00DD6966" w:rsidRDefault="001D1FD7" w:rsidP="007A4FE8">
      <w:pPr>
        <w:spacing w:after="0"/>
        <w:jc w:val="both"/>
        <w:rPr>
          <w:szCs w:val="24"/>
        </w:rPr>
      </w:pPr>
      <w:r w:rsidRPr="00DD6966">
        <w:rPr>
          <w:szCs w:val="24"/>
        </w:rPr>
        <w:t>En ese sentido</w:t>
      </w:r>
      <w:r w:rsidR="009F3DE5" w:rsidRPr="00DD6966">
        <w:rPr>
          <w:szCs w:val="24"/>
        </w:rPr>
        <w:t xml:space="preserve">, una importante oportunidad de mejora </w:t>
      </w:r>
      <w:r w:rsidR="00B17525" w:rsidRPr="00DD6966">
        <w:rPr>
          <w:szCs w:val="24"/>
        </w:rPr>
        <w:t xml:space="preserve">detectada, </w:t>
      </w:r>
      <w:r w:rsidR="00B83BCC" w:rsidRPr="00DD6966">
        <w:rPr>
          <w:szCs w:val="24"/>
        </w:rPr>
        <w:t>en función de los derechos humanos</w:t>
      </w:r>
      <w:r w:rsidR="009F3DE5" w:rsidRPr="00DD6966">
        <w:rPr>
          <w:szCs w:val="24"/>
        </w:rPr>
        <w:t xml:space="preserve">, </w:t>
      </w:r>
      <w:r w:rsidR="00F51518" w:rsidRPr="00DD6966">
        <w:rPr>
          <w:szCs w:val="24"/>
        </w:rPr>
        <w:t xml:space="preserve">consiste en </w:t>
      </w:r>
      <w:r w:rsidR="007E19BA" w:rsidRPr="00DD6966">
        <w:rPr>
          <w:szCs w:val="24"/>
        </w:rPr>
        <w:t>aumentar</w:t>
      </w:r>
      <w:r w:rsidR="00F51518" w:rsidRPr="00DD6966">
        <w:rPr>
          <w:szCs w:val="24"/>
        </w:rPr>
        <w:t xml:space="preserve"> </w:t>
      </w:r>
      <w:r w:rsidR="00516AC8" w:rsidRPr="00DD6966">
        <w:rPr>
          <w:szCs w:val="24"/>
        </w:rPr>
        <w:t xml:space="preserve">la participación </w:t>
      </w:r>
      <w:r w:rsidR="004F656E" w:rsidRPr="00DD6966">
        <w:rPr>
          <w:szCs w:val="24"/>
        </w:rPr>
        <w:t>ciudadana</w:t>
      </w:r>
      <w:r w:rsidR="005140DB" w:rsidRPr="00DD6966">
        <w:rPr>
          <w:szCs w:val="24"/>
        </w:rPr>
        <w:t xml:space="preserve"> y la rendición de cuentas del prestador del servicio</w:t>
      </w:r>
      <w:r w:rsidR="00120C0E" w:rsidRPr="00DD6966">
        <w:rPr>
          <w:szCs w:val="24"/>
        </w:rPr>
        <w:t xml:space="preserve"> </w:t>
      </w:r>
      <w:r w:rsidR="00B83BCC" w:rsidRPr="00DD6966">
        <w:rPr>
          <w:szCs w:val="24"/>
        </w:rPr>
        <w:fldChar w:fldCharType="begin" w:fldLock="1"/>
      </w:r>
      <w:r w:rsidR="00791B91" w:rsidRPr="00DD6966">
        <w:rPr>
          <w:szCs w:val="24"/>
        </w:rPr>
        <w:instrText>ADDIN CSL_CITATION {"citationItems":[{"id":"ITEM-1","itemData":{"author":[{"dropping-particle":"","family":"Heller","given":"L.","non-dropping-particle":"","parse-names":false,"suffix":""}],"id":"ITEM-1","issued":{"date-parts":[["2018"]]},"number-of-pages":"23 pp.","title":"Report of the Special Rapporteur on the human rights to safe drinking water and sanitation - session 73","type":"report"},"uris":["http://www.mendeley.com/documents/?uuid=ae37da04-76f3-4704-964a-0081b7a1b88c"]}],"mendeley":{"formattedCitation":"(Heller, 2018)","plainTextFormattedCitation":"(Heller, 2018)","previouslyFormattedCitation":"(Heller, 2018)"},"properties":{"noteIndex":0},"schema":"https://github.com/citation-style-language/schema/raw/master/csl-citation.json"}</w:instrText>
      </w:r>
      <w:r w:rsidR="00B83BCC" w:rsidRPr="00DD6966">
        <w:rPr>
          <w:szCs w:val="24"/>
        </w:rPr>
        <w:fldChar w:fldCharType="separate"/>
      </w:r>
      <w:r w:rsidR="00B83BCC" w:rsidRPr="00DD6966">
        <w:rPr>
          <w:noProof/>
          <w:szCs w:val="24"/>
        </w:rPr>
        <w:t>(</w:t>
      </w:r>
      <w:r w:rsidR="00B83BCC" w:rsidRPr="00DD6966">
        <w:rPr>
          <w:noProof/>
          <w:color w:val="365F91" w:themeColor="accent1" w:themeShade="BF"/>
          <w:szCs w:val="24"/>
        </w:rPr>
        <w:t>Heller, 2018</w:t>
      </w:r>
      <w:r w:rsidR="00B83BCC" w:rsidRPr="00DD6966">
        <w:rPr>
          <w:noProof/>
          <w:szCs w:val="24"/>
        </w:rPr>
        <w:t>)</w:t>
      </w:r>
      <w:r w:rsidR="00B83BCC" w:rsidRPr="00DD6966">
        <w:rPr>
          <w:szCs w:val="24"/>
        </w:rPr>
        <w:fldChar w:fldCharType="end"/>
      </w:r>
      <w:r w:rsidR="000B075A">
        <w:rPr>
          <w:szCs w:val="24"/>
        </w:rPr>
        <w:t>; a</w:t>
      </w:r>
      <w:r w:rsidR="00B17525" w:rsidRPr="00DD6966">
        <w:rPr>
          <w:szCs w:val="24"/>
        </w:rPr>
        <w:t>cción que</w:t>
      </w:r>
      <w:r w:rsidR="000B075A">
        <w:rPr>
          <w:szCs w:val="24"/>
        </w:rPr>
        <w:t>,</w:t>
      </w:r>
      <w:r w:rsidR="00B17525" w:rsidRPr="00DD6966">
        <w:rPr>
          <w:szCs w:val="24"/>
        </w:rPr>
        <w:t xml:space="preserve"> además</w:t>
      </w:r>
      <w:r w:rsidR="000B075A">
        <w:rPr>
          <w:szCs w:val="24"/>
        </w:rPr>
        <w:t>,</w:t>
      </w:r>
      <w:r w:rsidR="00B17525" w:rsidRPr="00DD6966">
        <w:rPr>
          <w:szCs w:val="24"/>
        </w:rPr>
        <w:t xml:space="preserve"> es compatible con algunas de las intenciones de generación de </w:t>
      </w:r>
      <w:r w:rsidR="000B075A">
        <w:rPr>
          <w:szCs w:val="24"/>
        </w:rPr>
        <w:t xml:space="preserve">las </w:t>
      </w:r>
      <w:r w:rsidR="000B075A" w:rsidRPr="00DD6966">
        <w:rPr>
          <w:szCs w:val="24"/>
        </w:rPr>
        <w:t xml:space="preserve">más recientes </w:t>
      </w:r>
      <w:r w:rsidR="00B17525" w:rsidRPr="00DD6966">
        <w:rPr>
          <w:szCs w:val="24"/>
        </w:rPr>
        <w:t xml:space="preserve">políticas públicas </w:t>
      </w:r>
      <w:r w:rsidR="000B075A">
        <w:rPr>
          <w:szCs w:val="24"/>
        </w:rPr>
        <w:t>de</w:t>
      </w:r>
      <w:r w:rsidR="000B075A" w:rsidRPr="00DD6966">
        <w:rPr>
          <w:szCs w:val="24"/>
        </w:rPr>
        <w:t xml:space="preserve">l país </w:t>
      </w:r>
      <w:r w:rsidR="00B17525" w:rsidRPr="00DD6966">
        <w:rPr>
          <w:szCs w:val="24"/>
        </w:rPr>
        <w:t xml:space="preserve">relacionadas con el recurso hídrico </w:t>
      </w:r>
      <w:r w:rsidR="00B17525" w:rsidRPr="00DD6966">
        <w:rPr>
          <w:szCs w:val="24"/>
        </w:rPr>
        <w:fldChar w:fldCharType="begin" w:fldLock="1"/>
      </w:r>
      <w:r w:rsidR="00B17525" w:rsidRPr="00DD6966">
        <w:rPr>
          <w:szCs w:val="24"/>
        </w:rPr>
        <w:instrText>ADDIN CSL_CITATION {"citationItems":[{"id":"ITEM-1","itemData":{"author":[{"dropping-particle":"","family":"Ballestero","given":"Maureen","non-dropping-particle":"","parse-names":false,"suffix":""}],"id":"ITEM-1","issued":{"date-parts":[["2013"]]},"number-of-pages":"78 pp.","publisher":"Ministerio de Ambiente y Energía","publisher-place":"San José, Costa Rica","title":"Agenda del agua de Costa Rica","type":"book"},"uris":["http://www.mendeley.com/documents/?uuid=88bd4fba-c42a-4d8a-bff3-b9711062b30e"]},{"id":"ITEM-2","itemData":{"author":[{"dropping-particle":"","family":"AyA","given":"","non-dropping-particle":"","parse-names":false,"suffix":""}],"id":"ITEM-2","issued":{"date-parts":[["2016"]]},"number-of-pages":"84 pp.","publisher":"Instituto Costarricense de Acueductos y Alcantarillados / Comisión Interinstitucional","publisher-place":"San José, Costa Rica","title":"Política Nacional de Agua Potable de Costa Rica, 2017-2030","type":"book"},"uris":["http://www.mendeley.com/documents/?uuid=3b0bf49d-e9d8-4f02-9dd4-750ade72da06"]}],"mendeley":{"formattedCitation":"(AyA, 2016; Ballestero, 2013)","plainTextFormattedCitation":"(AyA, 2016; Ballestero, 2013)","previouslyFormattedCitation":"(AyA, 2016; Ballestero, 2013)"},"properties":{"noteIndex":0},"schema":"https://github.com/citation-style-language/schema/raw/master/csl-citation.json"}</w:instrText>
      </w:r>
      <w:r w:rsidR="00B17525" w:rsidRPr="00DD6966">
        <w:rPr>
          <w:szCs w:val="24"/>
        </w:rPr>
        <w:fldChar w:fldCharType="separate"/>
      </w:r>
      <w:r w:rsidR="00B17525" w:rsidRPr="00DD6966">
        <w:rPr>
          <w:noProof/>
          <w:color w:val="365F91" w:themeColor="accent1" w:themeShade="BF"/>
          <w:szCs w:val="24"/>
        </w:rPr>
        <w:t>(AyA, 2016; Ballestero, 2013</w:t>
      </w:r>
      <w:r w:rsidR="00B17525" w:rsidRPr="00DD6966">
        <w:rPr>
          <w:noProof/>
          <w:szCs w:val="24"/>
        </w:rPr>
        <w:t>)</w:t>
      </w:r>
      <w:r w:rsidR="00B17525" w:rsidRPr="00DD6966">
        <w:rPr>
          <w:szCs w:val="24"/>
        </w:rPr>
        <w:fldChar w:fldCharType="end"/>
      </w:r>
      <w:r w:rsidR="00B17525" w:rsidRPr="00DD6966">
        <w:rPr>
          <w:szCs w:val="24"/>
        </w:rPr>
        <w:t xml:space="preserve">. </w:t>
      </w:r>
      <w:r w:rsidR="007E19BA" w:rsidRPr="00DD6966">
        <w:rPr>
          <w:szCs w:val="24"/>
        </w:rPr>
        <w:t>Precisamente, u</w:t>
      </w:r>
      <w:r w:rsidR="00516AC8" w:rsidRPr="00DD6966">
        <w:rPr>
          <w:szCs w:val="24"/>
        </w:rPr>
        <w:t>na de las suge</w:t>
      </w:r>
      <w:r w:rsidR="004F656E" w:rsidRPr="00DD6966">
        <w:rPr>
          <w:szCs w:val="24"/>
        </w:rPr>
        <w:t>rencias que la</w:t>
      </w:r>
      <w:r w:rsidR="00516AC8" w:rsidRPr="00DD6966">
        <w:rPr>
          <w:szCs w:val="24"/>
        </w:rPr>
        <w:t>s</w:t>
      </w:r>
      <w:r w:rsidR="004F656E" w:rsidRPr="00DD6966">
        <w:rPr>
          <w:szCs w:val="24"/>
        </w:rPr>
        <w:t xml:space="preserve"> personas encuestada</w:t>
      </w:r>
      <w:r w:rsidR="00516AC8" w:rsidRPr="00DD6966">
        <w:rPr>
          <w:szCs w:val="24"/>
        </w:rPr>
        <w:t>s indicaron</w:t>
      </w:r>
      <w:r w:rsidR="007E19BA" w:rsidRPr="00DD6966">
        <w:rPr>
          <w:szCs w:val="24"/>
        </w:rPr>
        <w:t xml:space="preserve"> </w:t>
      </w:r>
      <w:r w:rsidR="00120C0E" w:rsidRPr="00DD6966">
        <w:rPr>
          <w:szCs w:val="24"/>
        </w:rPr>
        <w:t>incluye el</w:t>
      </w:r>
      <w:r w:rsidR="00516AC8" w:rsidRPr="00DD6966">
        <w:rPr>
          <w:szCs w:val="24"/>
        </w:rPr>
        <w:t xml:space="preserve"> recibir más información </w:t>
      </w:r>
      <w:r w:rsidR="007E19BA" w:rsidRPr="00DD6966">
        <w:rPr>
          <w:szCs w:val="24"/>
        </w:rPr>
        <w:t xml:space="preserve">por parte del </w:t>
      </w:r>
      <w:r w:rsidR="000B075A">
        <w:rPr>
          <w:szCs w:val="24"/>
        </w:rPr>
        <w:t xml:space="preserve">ente </w:t>
      </w:r>
      <w:r w:rsidR="007E19BA" w:rsidRPr="00DD6966">
        <w:rPr>
          <w:szCs w:val="24"/>
        </w:rPr>
        <w:t xml:space="preserve">operador del sistema </w:t>
      </w:r>
      <w:r w:rsidR="00516AC8" w:rsidRPr="00DD6966">
        <w:rPr>
          <w:szCs w:val="24"/>
        </w:rPr>
        <w:t xml:space="preserve">(principalmente cuando </w:t>
      </w:r>
      <w:r w:rsidR="00B83BCC" w:rsidRPr="00DD6966">
        <w:rPr>
          <w:szCs w:val="24"/>
        </w:rPr>
        <w:t>interrumpen</w:t>
      </w:r>
      <w:r w:rsidR="00516AC8" w:rsidRPr="00DD6966">
        <w:rPr>
          <w:szCs w:val="24"/>
        </w:rPr>
        <w:t xml:space="preserve"> el servicio de agua </w:t>
      </w:r>
      <w:r w:rsidR="00B83BCC" w:rsidRPr="00DD6966">
        <w:rPr>
          <w:szCs w:val="24"/>
        </w:rPr>
        <w:t>o cuando lo intervienen</w:t>
      </w:r>
      <w:r w:rsidR="00516AC8" w:rsidRPr="00DD6966">
        <w:rPr>
          <w:szCs w:val="24"/>
        </w:rPr>
        <w:t xml:space="preserve">). </w:t>
      </w:r>
    </w:p>
    <w:p w14:paraId="2DE7E102" w14:textId="77777777" w:rsidR="00336619" w:rsidRPr="00DD6966" w:rsidRDefault="00336619" w:rsidP="007A4FE8">
      <w:pPr>
        <w:spacing w:after="0"/>
        <w:jc w:val="both"/>
        <w:rPr>
          <w:szCs w:val="24"/>
        </w:rPr>
      </w:pPr>
    </w:p>
    <w:p w14:paraId="6D93F83C" w14:textId="41688C9C" w:rsidR="002A62CF" w:rsidRPr="00DD6966" w:rsidRDefault="00B83BCC" w:rsidP="007A4FE8">
      <w:pPr>
        <w:spacing w:after="0"/>
        <w:jc w:val="both"/>
        <w:rPr>
          <w:szCs w:val="24"/>
        </w:rPr>
      </w:pPr>
      <w:r w:rsidRPr="00DD6966">
        <w:rPr>
          <w:szCs w:val="24"/>
        </w:rPr>
        <w:t>Ahora bien, s</w:t>
      </w:r>
      <w:r w:rsidR="004F656E" w:rsidRPr="00DD6966">
        <w:rPr>
          <w:szCs w:val="24"/>
        </w:rPr>
        <w:t>i se desea empoderar a la comunidad</w:t>
      </w:r>
      <w:r w:rsidR="000B075A">
        <w:rPr>
          <w:szCs w:val="24"/>
        </w:rPr>
        <w:t>,</w:t>
      </w:r>
      <w:r w:rsidR="00516AC8" w:rsidRPr="00DD6966">
        <w:rPr>
          <w:szCs w:val="24"/>
        </w:rPr>
        <w:t xml:space="preserve"> </w:t>
      </w:r>
      <w:r w:rsidR="00E63ED1" w:rsidRPr="00DD6966">
        <w:rPr>
          <w:szCs w:val="24"/>
        </w:rPr>
        <w:t>es necesario ir más lejos</w:t>
      </w:r>
      <w:r w:rsidR="007E19BA" w:rsidRPr="00DD6966">
        <w:rPr>
          <w:szCs w:val="24"/>
        </w:rPr>
        <w:t>,</w:t>
      </w:r>
      <w:r w:rsidR="00E63ED1" w:rsidRPr="00DD6966">
        <w:rPr>
          <w:szCs w:val="24"/>
        </w:rPr>
        <w:t xml:space="preserve"> </w:t>
      </w:r>
      <w:r w:rsidR="007E19BA" w:rsidRPr="00DD6966">
        <w:rPr>
          <w:szCs w:val="24"/>
        </w:rPr>
        <w:t>comparti</w:t>
      </w:r>
      <w:r w:rsidR="000B075A">
        <w:rPr>
          <w:szCs w:val="24"/>
        </w:rPr>
        <w:t>r</w:t>
      </w:r>
      <w:r w:rsidR="004F656E" w:rsidRPr="00DD6966">
        <w:rPr>
          <w:szCs w:val="24"/>
        </w:rPr>
        <w:t xml:space="preserve"> </w:t>
      </w:r>
      <w:r w:rsidR="007E19BA" w:rsidRPr="00DD6966">
        <w:rPr>
          <w:szCs w:val="24"/>
        </w:rPr>
        <w:t xml:space="preserve">la información de la gestión del servicio y </w:t>
      </w:r>
      <w:r w:rsidR="00E63ED1" w:rsidRPr="00DD6966">
        <w:rPr>
          <w:szCs w:val="24"/>
        </w:rPr>
        <w:t>r</w:t>
      </w:r>
      <w:r w:rsidR="000B075A">
        <w:rPr>
          <w:szCs w:val="24"/>
        </w:rPr>
        <w:t>e</w:t>
      </w:r>
      <w:r w:rsidR="00E63ED1" w:rsidRPr="00DD6966">
        <w:rPr>
          <w:szCs w:val="24"/>
        </w:rPr>
        <w:t>ndi</w:t>
      </w:r>
      <w:r w:rsidR="000B075A">
        <w:rPr>
          <w:szCs w:val="24"/>
        </w:rPr>
        <w:t>r</w:t>
      </w:r>
      <w:r w:rsidR="00E63ED1" w:rsidRPr="00DD6966">
        <w:rPr>
          <w:szCs w:val="24"/>
        </w:rPr>
        <w:t xml:space="preserve"> cuentas en aspectos técnicos </w:t>
      </w:r>
      <w:r w:rsidR="005B5AF5" w:rsidRPr="00DD6966">
        <w:rPr>
          <w:szCs w:val="24"/>
        </w:rPr>
        <w:t>y de</w:t>
      </w:r>
      <w:r w:rsidR="00E63ED1" w:rsidRPr="00DD6966">
        <w:rPr>
          <w:szCs w:val="24"/>
        </w:rPr>
        <w:t xml:space="preserve"> indicadores de </w:t>
      </w:r>
      <w:r w:rsidRPr="00DD6966">
        <w:rPr>
          <w:szCs w:val="24"/>
        </w:rPr>
        <w:t xml:space="preserve">la </w:t>
      </w:r>
      <w:r w:rsidR="00E63ED1" w:rsidRPr="00DD6966">
        <w:rPr>
          <w:szCs w:val="24"/>
        </w:rPr>
        <w:t xml:space="preserve">gestión del servicio </w:t>
      </w:r>
      <w:r w:rsidR="00E954FE" w:rsidRPr="00DD6966">
        <w:rPr>
          <w:szCs w:val="24"/>
        </w:rPr>
        <w:t xml:space="preserve">tales </w:t>
      </w:r>
      <w:r w:rsidR="007E19BA" w:rsidRPr="00DD6966">
        <w:rPr>
          <w:szCs w:val="24"/>
        </w:rPr>
        <w:t>como</w:t>
      </w:r>
      <w:r w:rsidR="00E63ED1" w:rsidRPr="00DD6966">
        <w:rPr>
          <w:szCs w:val="24"/>
        </w:rPr>
        <w:t xml:space="preserve"> la calidad físico</w:t>
      </w:r>
      <w:r w:rsidR="000B075A">
        <w:rPr>
          <w:szCs w:val="24"/>
        </w:rPr>
        <w:t>-</w:t>
      </w:r>
      <w:r w:rsidR="00E63ED1" w:rsidRPr="00DD6966">
        <w:rPr>
          <w:szCs w:val="24"/>
        </w:rPr>
        <w:t xml:space="preserve">química y microbiológica del agua suministrada, </w:t>
      </w:r>
      <w:r w:rsidR="00E954FE" w:rsidRPr="00DD6966">
        <w:rPr>
          <w:szCs w:val="24"/>
        </w:rPr>
        <w:t>registro</w:t>
      </w:r>
      <w:r w:rsidR="00E63ED1" w:rsidRPr="00DD6966">
        <w:rPr>
          <w:szCs w:val="24"/>
        </w:rPr>
        <w:t xml:space="preserve"> de agua no contabilizada, estadísticas sobre continuidad del servicio, planes de inversión para el futuro, planes de vigilancia del recurso</w:t>
      </w:r>
      <w:r w:rsidR="00E954FE" w:rsidRPr="00DD6966">
        <w:rPr>
          <w:szCs w:val="24"/>
        </w:rPr>
        <w:t>,</w:t>
      </w:r>
      <w:r w:rsidR="00E63ED1" w:rsidRPr="00DD6966">
        <w:rPr>
          <w:szCs w:val="24"/>
        </w:rPr>
        <w:t xml:space="preserve"> entre otros. </w:t>
      </w:r>
      <w:r w:rsidR="007E19BA" w:rsidRPr="00DD6966">
        <w:rPr>
          <w:szCs w:val="24"/>
        </w:rPr>
        <w:t xml:space="preserve">Esta condición permitiría ampliar el </w:t>
      </w:r>
      <w:r w:rsidRPr="00DD6966">
        <w:rPr>
          <w:szCs w:val="24"/>
        </w:rPr>
        <w:t xml:space="preserve">conocimiento y </w:t>
      </w:r>
      <w:r w:rsidR="004F656E" w:rsidRPr="00DD6966">
        <w:rPr>
          <w:szCs w:val="24"/>
        </w:rPr>
        <w:t>criterio de las personas usuaria</w:t>
      </w:r>
      <w:r w:rsidR="007E19BA" w:rsidRPr="00DD6966">
        <w:rPr>
          <w:szCs w:val="24"/>
        </w:rPr>
        <w:t>s e influir</w:t>
      </w:r>
      <w:r w:rsidR="000B075A">
        <w:rPr>
          <w:szCs w:val="24"/>
        </w:rPr>
        <w:t>,</w:t>
      </w:r>
      <w:r w:rsidR="007E19BA" w:rsidRPr="00DD6966">
        <w:rPr>
          <w:szCs w:val="24"/>
        </w:rPr>
        <w:t xml:space="preserve"> </w:t>
      </w:r>
      <w:r w:rsidR="00A30FF5" w:rsidRPr="00DD6966">
        <w:rPr>
          <w:szCs w:val="24"/>
        </w:rPr>
        <w:t>significativamente</w:t>
      </w:r>
      <w:r w:rsidR="000B075A">
        <w:rPr>
          <w:szCs w:val="24"/>
        </w:rPr>
        <w:t>,</w:t>
      </w:r>
      <w:r w:rsidR="00A30FF5" w:rsidRPr="00DD6966">
        <w:rPr>
          <w:szCs w:val="24"/>
        </w:rPr>
        <w:t xml:space="preserve"> en su nivel de satisfacción y su percepción del servicio</w:t>
      </w:r>
      <w:r w:rsidR="00041A69" w:rsidRPr="00DD6966">
        <w:rPr>
          <w:szCs w:val="24"/>
        </w:rPr>
        <w:t>, permitiéndole</w:t>
      </w:r>
      <w:r w:rsidR="005B5AF5" w:rsidRPr="00DD6966">
        <w:rPr>
          <w:szCs w:val="24"/>
        </w:rPr>
        <w:t xml:space="preserve">s </w:t>
      </w:r>
      <w:r w:rsidR="00041A69" w:rsidRPr="00DD6966">
        <w:rPr>
          <w:szCs w:val="24"/>
        </w:rPr>
        <w:t xml:space="preserve">tomar decisiones oportunas para hacer cumplir su derecho </w:t>
      </w:r>
      <w:r w:rsidR="000544FE" w:rsidRPr="00DD6966">
        <w:rPr>
          <w:szCs w:val="24"/>
        </w:rPr>
        <w:t>de acceso al</w:t>
      </w:r>
      <w:r w:rsidR="00041A69" w:rsidRPr="00DD6966">
        <w:rPr>
          <w:szCs w:val="24"/>
        </w:rPr>
        <w:t xml:space="preserve"> agua</w:t>
      </w:r>
      <w:r w:rsidR="00A30FF5" w:rsidRPr="00DD6966">
        <w:rPr>
          <w:szCs w:val="24"/>
        </w:rPr>
        <w:t xml:space="preserve">. </w:t>
      </w:r>
    </w:p>
    <w:p w14:paraId="33AFDC26" w14:textId="77777777" w:rsidR="00336619" w:rsidRPr="00DD6966" w:rsidRDefault="00336619" w:rsidP="007A4FE8">
      <w:pPr>
        <w:spacing w:after="0"/>
        <w:jc w:val="both"/>
        <w:rPr>
          <w:szCs w:val="24"/>
        </w:rPr>
      </w:pPr>
    </w:p>
    <w:p w14:paraId="2450E100" w14:textId="0DA3068E" w:rsidR="00653CBB" w:rsidRPr="00DD6966" w:rsidRDefault="00653CBB" w:rsidP="007A4FE8">
      <w:pPr>
        <w:pStyle w:val="Prrafodelista"/>
        <w:numPr>
          <w:ilvl w:val="0"/>
          <w:numId w:val="4"/>
        </w:numPr>
        <w:ind w:left="284" w:hanging="284"/>
        <w:jc w:val="both"/>
        <w:rPr>
          <w:b/>
          <w:szCs w:val="24"/>
        </w:rPr>
      </w:pPr>
      <w:r w:rsidRPr="00DD6966">
        <w:rPr>
          <w:b/>
          <w:szCs w:val="24"/>
        </w:rPr>
        <w:t>Conclusiones</w:t>
      </w:r>
      <w:r w:rsidR="0023458B" w:rsidRPr="00DD6966">
        <w:rPr>
          <w:b/>
          <w:szCs w:val="24"/>
        </w:rPr>
        <w:t xml:space="preserve"> </w:t>
      </w:r>
    </w:p>
    <w:p w14:paraId="3FFBF54B" w14:textId="3CDF124A" w:rsidR="00926302" w:rsidRPr="00DD6966" w:rsidRDefault="00336619" w:rsidP="007A4FE8">
      <w:pPr>
        <w:spacing w:after="0"/>
        <w:jc w:val="both"/>
        <w:rPr>
          <w:szCs w:val="24"/>
        </w:rPr>
      </w:pPr>
      <w:r w:rsidRPr="00DD6966">
        <w:rPr>
          <w:szCs w:val="24"/>
        </w:rPr>
        <w:t xml:space="preserve">En </w:t>
      </w:r>
      <w:r w:rsidR="00B17525" w:rsidRPr="00DD6966">
        <w:rPr>
          <w:szCs w:val="24"/>
        </w:rPr>
        <w:t xml:space="preserve">Costa Rica </w:t>
      </w:r>
      <w:r w:rsidR="00FA5462" w:rsidRPr="00DD6966">
        <w:rPr>
          <w:szCs w:val="24"/>
        </w:rPr>
        <w:t xml:space="preserve">existe una creciente presión sobre el uso de los recursos hídricos y, simultáneamente, exigencias </w:t>
      </w:r>
      <w:r w:rsidR="003555E8" w:rsidRPr="00DD6966">
        <w:rPr>
          <w:szCs w:val="24"/>
        </w:rPr>
        <w:t xml:space="preserve">cada vez </w:t>
      </w:r>
      <w:r w:rsidR="00FA5462" w:rsidRPr="00DD6966">
        <w:rPr>
          <w:szCs w:val="24"/>
        </w:rPr>
        <w:t xml:space="preserve">mayores </w:t>
      </w:r>
      <w:r w:rsidR="00FF3A40" w:rsidRPr="00DD6966">
        <w:rPr>
          <w:szCs w:val="24"/>
        </w:rPr>
        <w:t>sobre</w:t>
      </w:r>
      <w:r w:rsidR="003555E8" w:rsidRPr="00DD6966">
        <w:rPr>
          <w:szCs w:val="24"/>
        </w:rPr>
        <w:t xml:space="preserve"> la </w:t>
      </w:r>
      <w:r w:rsidR="005B5AF5" w:rsidRPr="00DD6966">
        <w:rPr>
          <w:szCs w:val="24"/>
        </w:rPr>
        <w:t>prestación del servicio de agua</w:t>
      </w:r>
      <w:r w:rsidR="003555E8" w:rsidRPr="00DD6966">
        <w:rPr>
          <w:szCs w:val="24"/>
        </w:rPr>
        <w:t>.</w:t>
      </w:r>
      <w:r w:rsidR="005B5AF5" w:rsidRPr="00DD6966">
        <w:rPr>
          <w:szCs w:val="24"/>
        </w:rPr>
        <w:t xml:space="preserve"> Sin embargo</w:t>
      </w:r>
      <w:r w:rsidR="00EC05FE" w:rsidRPr="00DD6966">
        <w:rPr>
          <w:szCs w:val="24"/>
        </w:rPr>
        <w:t>,</w:t>
      </w:r>
      <w:r w:rsidR="005B5AF5" w:rsidRPr="00DD6966">
        <w:rPr>
          <w:szCs w:val="24"/>
        </w:rPr>
        <w:t xml:space="preserve"> son pocos los estudios que existen al respec</w:t>
      </w:r>
      <w:r w:rsidR="004F656E" w:rsidRPr="00DD6966">
        <w:rPr>
          <w:szCs w:val="24"/>
        </w:rPr>
        <w:t>to que tomen como eje central a la población usuaria</w:t>
      </w:r>
      <w:r w:rsidR="005B5AF5" w:rsidRPr="00DD6966">
        <w:rPr>
          <w:szCs w:val="24"/>
        </w:rPr>
        <w:t>.</w:t>
      </w:r>
      <w:r w:rsidR="003555E8" w:rsidRPr="00DD6966">
        <w:rPr>
          <w:szCs w:val="24"/>
        </w:rPr>
        <w:t xml:space="preserve"> </w:t>
      </w:r>
    </w:p>
    <w:p w14:paraId="49695690" w14:textId="77777777" w:rsidR="00F66A71" w:rsidRPr="00DD6966" w:rsidRDefault="00F66A71" w:rsidP="007A4FE8">
      <w:pPr>
        <w:spacing w:after="0"/>
        <w:jc w:val="both"/>
        <w:rPr>
          <w:szCs w:val="24"/>
        </w:rPr>
      </w:pPr>
    </w:p>
    <w:p w14:paraId="2106953B" w14:textId="62E71EAD" w:rsidR="003555E8" w:rsidRPr="00DD6966" w:rsidRDefault="003555E8" w:rsidP="007A4FE8">
      <w:pPr>
        <w:spacing w:after="0"/>
        <w:jc w:val="both"/>
        <w:rPr>
          <w:szCs w:val="24"/>
        </w:rPr>
      </w:pPr>
      <w:r w:rsidRPr="00DD6966">
        <w:rPr>
          <w:szCs w:val="24"/>
        </w:rPr>
        <w:t>Este estudio permitió evaluar la calidad de la prestación d</w:t>
      </w:r>
      <w:r w:rsidR="00D529CD" w:rsidRPr="00DD6966">
        <w:rPr>
          <w:szCs w:val="24"/>
        </w:rPr>
        <w:t>el servicio de agua potable en cuatro</w:t>
      </w:r>
      <w:r w:rsidRPr="00DD6966">
        <w:rPr>
          <w:szCs w:val="24"/>
        </w:rPr>
        <w:t xml:space="preserve"> cantones de la provincia de Cartago</w:t>
      </w:r>
      <w:r w:rsidR="00FF3A40" w:rsidRPr="00DD6966">
        <w:rPr>
          <w:szCs w:val="24"/>
        </w:rPr>
        <w:t>,</w:t>
      </w:r>
      <w:r w:rsidRPr="00DD6966">
        <w:rPr>
          <w:szCs w:val="24"/>
        </w:rPr>
        <w:t xml:space="preserve"> a través de </w:t>
      </w:r>
      <w:r w:rsidR="004F656E" w:rsidRPr="00DD6966">
        <w:rPr>
          <w:szCs w:val="24"/>
        </w:rPr>
        <w:t xml:space="preserve">una metodología para medir </w:t>
      </w:r>
      <w:r w:rsidRPr="00DD6966">
        <w:rPr>
          <w:szCs w:val="24"/>
        </w:rPr>
        <w:t xml:space="preserve">la percepción de </w:t>
      </w:r>
      <w:r w:rsidR="004F656E" w:rsidRPr="00DD6966">
        <w:rPr>
          <w:szCs w:val="24"/>
        </w:rPr>
        <w:t>las personas como usuarias del servicio</w:t>
      </w:r>
      <w:r w:rsidRPr="00DD6966">
        <w:rPr>
          <w:szCs w:val="24"/>
        </w:rPr>
        <w:t xml:space="preserve">. </w:t>
      </w:r>
      <w:r w:rsidR="00EF0BB8" w:rsidRPr="00DD6966">
        <w:rPr>
          <w:szCs w:val="24"/>
        </w:rPr>
        <w:t>F</w:t>
      </w:r>
      <w:r w:rsidRPr="00DD6966">
        <w:rPr>
          <w:szCs w:val="24"/>
        </w:rPr>
        <w:t xml:space="preserve">ue posible identificar importantes diferencias </w:t>
      </w:r>
      <w:r w:rsidR="00EF0BB8" w:rsidRPr="00DD6966">
        <w:rPr>
          <w:szCs w:val="24"/>
        </w:rPr>
        <w:t xml:space="preserve">en </w:t>
      </w:r>
      <w:r w:rsidR="005B5AF5" w:rsidRPr="00DD6966">
        <w:rPr>
          <w:szCs w:val="24"/>
        </w:rPr>
        <w:t>su</w:t>
      </w:r>
      <w:r w:rsidR="00EF0BB8" w:rsidRPr="00DD6966">
        <w:rPr>
          <w:szCs w:val="24"/>
        </w:rPr>
        <w:t xml:space="preserve"> nivel de satisfacción </w:t>
      </w:r>
      <w:r w:rsidR="000770BF" w:rsidRPr="00DD6966">
        <w:rPr>
          <w:szCs w:val="24"/>
        </w:rPr>
        <w:t>entre</w:t>
      </w:r>
      <w:r w:rsidR="00EF0BB8" w:rsidRPr="00DD6966">
        <w:rPr>
          <w:szCs w:val="24"/>
        </w:rPr>
        <w:t xml:space="preserve"> los distintos cantones y distritos estudiados</w:t>
      </w:r>
      <w:r w:rsidR="000770BF" w:rsidRPr="00DD6966">
        <w:rPr>
          <w:szCs w:val="24"/>
        </w:rPr>
        <w:t xml:space="preserve"> y entre los sistemas municipales y los administrados por ASADA</w:t>
      </w:r>
      <w:r w:rsidR="00EF0BB8" w:rsidRPr="00DD6966">
        <w:rPr>
          <w:szCs w:val="24"/>
        </w:rPr>
        <w:t xml:space="preserve">, </w:t>
      </w:r>
      <w:r w:rsidR="000B075A">
        <w:rPr>
          <w:szCs w:val="24"/>
        </w:rPr>
        <w:t xml:space="preserve">se </w:t>
      </w:r>
      <w:r w:rsidR="00EF0BB8" w:rsidRPr="00DD6966">
        <w:rPr>
          <w:szCs w:val="24"/>
        </w:rPr>
        <w:t>evidencia</w:t>
      </w:r>
      <w:r w:rsidR="000B075A">
        <w:rPr>
          <w:szCs w:val="24"/>
        </w:rPr>
        <w:t>ron</w:t>
      </w:r>
      <w:r w:rsidR="00EF0BB8" w:rsidRPr="00DD6966">
        <w:rPr>
          <w:szCs w:val="24"/>
        </w:rPr>
        <w:t xml:space="preserve"> asimetrías claras entre </w:t>
      </w:r>
      <w:r w:rsidR="00B17525" w:rsidRPr="00DD6966">
        <w:rPr>
          <w:szCs w:val="24"/>
        </w:rPr>
        <w:t>ellos</w:t>
      </w:r>
      <w:r w:rsidR="00EF0BB8" w:rsidRPr="00DD6966">
        <w:rPr>
          <w:szCs w:val="24"/>
        </w:rPr>
        <w:t xml:space="preserve">. Adicionalmente, el estudio permitió reconocer una relación cercana entre el nivel de satisfacción </w:t>
      </w:r>
      <w:r w:rsidR="00FF3A40" w:rsidRPr="00DD6966">
        <w:rPr>
          <w:szCs w:val="24"/>
        </w:rPr>
        <w:t>con el</w:t>
      </w:r>
      <w:r w:rsidR="00EF0BB8" w:rsidRPr="00DD6966">
        <w:rPr>
          <w:szCs w:val="24"/>
        </w:rPr>
        <w:t xml:space="preserve"> servicio de agua, los problemas mencionados por </w:t>
      </w:r>
      <w:r w:rsidR="004F656E" w:rsidRPr="00DD6966">
        <w:rPr>
          <w:szCs w:val="24"/>
        </w:rPr>
        <w:t>las persona</w:t>
      </w:r>
      <w:r w:rsidR="00EF0BB8" w:rsidRPr="00DD6966">
        <w:rPr>
          <w:szCs w:val="24"/>
        </w:rPr>
        <w:t>s y las acciones prev</w:t>
      </w:r>
      <w:r w:rsidR="004F656E" w:rsidRPr="00DD6966">
        <w:rPr>
          <w:szCs w:val="24"/>
        </w:rPr>
        <w:t>entivas que ella</w:t>
      </w:r>
      <w:r w:rsidR="00EF0BB8" w:rsidRPr="00DD6966">
        <w:rPr>
          <w:szCs w:val="24"/>
        </w:rPr>
        <w:t xml:space="preserve">s ponen en práctica para </w:t>
      </w:r>
      <w:r w:rsidR="00FF3A40" w:rsidRPr="00DD6966">
        <w:rPr>
          <w:szCs w:val="24"/>
        </w:rPr>
        <w:t>su subsanación</w:t>
      </w:r>
      <w:r w:rsidR="00EF0BB8" w:rsidRPr="00DD6966">
        <w:rPr>
          <w:szCs w:val="24"/>
        </w:rPr>
        <w:t xml:space="preserve">. Dos de los problemas más recurrentes mencionados </w:t>
      </w:r>
      <w:r w:rsidR="004F656E" w:rsidRPr="00DD6966">
        <w:rPr>
          <w:szCs w:val="24"/>
        </w:rPr>
        <w:t>en</w:t>
      </w:r>
      <w:r w:rsidR="00EF0BB8" w:rsidRPr="00DD6966">
        <w:rPr>
          <w:szCs w:val="24"/>
        </w:rPr>
        <w:t xml:space="preserve"> todos los cantones fueron el olor y el sabor a cloro del agua que reciben. </w:t>
      </w:r>
    </w:p>
    <w:p w14:paraId="692AA867" w14:textId="77777777" w:rsidR="00F66A71" w:rsidRPr="00DD6966" w:rsidRDefault="00F66A71" w:rsidP="007A4FE8">
      <w:pPr>
        <w:spacing w:after="0"/>
        <w:jc w:val="both"/>
        <w:rPr>
          <w:szCs w:val="24"/>
        </w:rPr>
      </w:pPr>
    </w:p>
    <w:p w14:paraId="02FAB252" w14:textId="14937BE1" w:rsidR="0068514D" w:rsidRPr="00DD6966" w:rsidRDefault="0068514D" w:rsidP="007A4FE8">
      <w:pPr>
        <w:spacing w:after="0"/>
        <w:jc w:val="both"/>
        <w:rPr>
          <w:szCs w:val="24"/>
        </w:rPr>
      </w:pPr>
      <w:r w:rsidRPr="00DD6966">
        <w:rPr>
          <w:szCs w:val="24"/>
        </w:rPr>
        <w:t xml:space="preserve">Por último, la experiencia </w:t>
      </w:r>
      <w:r w:rsidR="005B5AF5" w:rsidRPr="00DD6966">
        <w:rPr>
          <w:szCs w:val="24"/>
        </w:rPr>
        <w:t xml:space="preserve">desarrollada </w:t>
      </w:r>
      <w:r w:rsidRPr="00DD6966">
        <w:rPr>
          <w:szCs w:val="24"/>
        </w:rPr>
        <w:t xml:space="preserve">en </w:t>
      </w:r>
      <w:r w:rsidR="005B5AF5" w:rsidRPr="00DD6966">
        <w:rPr>
          <w:szCs w:val="24"/>
        </w:rPr>
        <w:t>esta investigación</w:t>
      </w:r>
      <w:r w:rsidRPr="00DD6966">
        <w:rPr>
          <w:szCs w:val="24"/>
        </w:rPr>
        <w:t xml:space="preserve"> permitió complementar la información técnica del servicio de agua potable </w:t>
      </w:r>
      <w:r w:rsidR="00630CB5" w:rsidRPr="00DD6966">
        <w:rPr>
          <w:szCs w:val="24"/>
        </w:rPr>
        <w:t>que se presta</w:t>
      </w:r>
      <w:r w:rsidRPr="00DD6966">
        <w:rPr>
          <w:szCs w:val="24"/>
        </w:rPr>
        <w:t xml:space="preserve"> en la zona</w:t>
      </w:r>
      <w:r w:rsidR="00630CB5" w:rsidRPr="00DD6966">
        <w:rPr>
          <w:szCs w:val="24"/>
        </w:rPr>
        <w:t xml:space="preserve"> de estudio</w:t>
      </w:r>
      <w:r w:rsidR="000B075A">
        <w:rPr>
          <w:szCs w:val="24"/>
        </w:rPr>
        <w:t xml:space="preserve">. Coloca, </w:t>
      </w:r>
      <w:r w:rsidR="00630CB5" w:rsidRPr="00DD6966">
        <w:rPr>
          <w:szCs w:val="24"/>
        </w:rPr>
        <w:t xml:space="preserve">por medio de </w:t>
      </w:r>
      <w:r w:rsidR="000B075A">
        <w:rPr>
          <w:szCs w:val="24"/>
        </w:rPr>
        <w:t>su</w:t>
      </w:r>
      <w:r w:rsidRPr="00DD6966">
        <w:rPr>
          <w:szCs w:val="24"/>
        </w:rPr>
        <w:t xml:space="preserve"> opinión</w:t>
      </w:r>
      <w:r w:rsidR="000B075A">
        <w:rPr>
          <w:szCs w:val="24"/>
        </w:rPr>
        <w:t>, a</w:t>
      </w:r>
      <w:r w:rsidRPr="00DD6966">
        <w:rPr>
          <w:szCs w:val="24"/>
        </w:rPr>
        <w:t xml:space="preserve"> </w:t>
      </w:r>
      <w:r w:rsidR="004F656E" w:rsidRPr="00DD6966">
        <w:rPr>
          <w:szCs w:val="24"/>
        </w:rPr>
        <w:t>las personas</w:t>
      </w:r>
      <w:r w:rsidR="000B075A">
        <w:rPr>
          <w:szCs w:val="24"/>
        </w:rPr>
        <w:t xml:space="preserve"> usuarias </w:t>
      </w:r>
      <w:r w:rsidR="00630CB5" w:rsidRPr="00DD6966">
        <w:rPr>
          <w:szCs w:val="24"/>
        </w:rPr>
        <w:t xml:space="preserve">en una posición </w:t>
      </w:r>
      <w:r w:rsidRPr="00DD6966">
        <w:rPr>
          <w:szCs w:val="24"/>
        </w:rPr>
        <w:t xml:space="preserve">medular </w:t>
      </w:r>
      <w:r w:rsidR="00630CB5" w:rsidRPr="00DD6966">
        <w:rPr>
          <w:szCs w:val="24"/>
        </w:rPr>
        <w:t xml:space="preserve">en relación </w:t>
      </w:r>
      <w:r w:rsidR="000B075A">
        <w:rPr>
          <w:szCs w:val="24"/>
        </w:rPr>
        <w:t>con</w:t>
      </w:r>
      <w:r w:rsidR="00630CB5" w:rsidRPr="00DD6966">
        <w:rPr>
          <w:szCs w:val="24"/>
        </w:rPr>
        <w:t xml:space="preserve"> la prestación de ese servicio</w:t>
      </w:r>
      <w:r w:rsidRPr="00DD6966">
        <w:rPr>
          <w:szCs w:val="24"/>
        </w:rPr>
        <w:t xml:space="preserve">. Se recomienda </w:t>
      </w:r>
      <w:r w:rsidR="00136879" w:rsidRPr="00DD6966">
        <w:rPr>
          <w:szCs w:val="24"/>
        </w:rPr>
        <w:t xml:space="preserve">repetir periódicamente </w:t>
      </w:r>
      <w:r w:rsidR="005B5AF5" w:rsidRPr="00DD6966">
        <w:rPr>
          <w:szCs w:val="24"/>
        </w:rPr>
        <w:t>indagaciones de este tipo</w:t>
      </w:r>
      <w:r w:rsidR="00136879" w:rsidRPr="00DD6966">
        <w:rPr>
          <w:szCs w:val="24"/>
        </w:rPr>
        <w:t xml:space="preserve"> para dar seguimiento a los parámetros evaluados, </w:t>
      </w:r>
      <w:r w:rsidR="00630CB5" w:rsidRPr="00DD6966">
        <w:rPr>
          <w:szCs w:val="24"/>
        </w:rPr>
        <w:t>lo que generará</w:t>
      </w:r>
      <w:r w:rsidR="00136879" w:rsidRPr="00DD6966">
        <w:rPr>
          <w:szCs w:val="24"/>
        </w:rPr>
        <w:t xml:space="preserve"> información valiosa y complementaria para la toma de decisiones por parte de los </w:t>
      </w:r>
      <w:r w:rsidR="000B075A">
        <w:rPr>
          <w:szCs w:val="24"/>
        </w:rPr>
        <w:t xml:space="preserve">entes </w:t>
      </w:r>
      <w:r w:rsidR="00136879" w:rsidRPr="00DD6966">
        <w:rPr>
          <w:szCs w:val="24"/>
        </w:rPr>
        <w:t>gestores del servicio de la región. Adicionalmente, la experiencia presenta un amplio potencial para ser r</w:t>
      </w:r>
      <w:r w:rsidR="004F656E" w:rsidRPr="00DD6966">
        <w:rPr>
          <w:szCs w:val="24"/>
        </w:rPr>
        <w:t>eplicada en otras zonas de</w:t>
      </w:r>
      <w:r w:rsidR="000770BF" w:rsidRPr="00DD6966">
        <w:rPr>
          <w:szCs w:val="24"/>
        </w:rPr>
        <w:t xml:space="preserve"> Costa Rica y de</w:t>
      </w:r>
      <w:r w:rsidR="004F656E" w:rsidRPr="00DD6966">
        <w:rPr>
          <w:szCs w:val="24"/>
        </w:rPr>
        <w:t xml:space="preserve"> </w:t>
      </w:r>
      <w:r w:rsidR="00B4419C" w:rsidRPr="00DD6966">
        <w:rPr>
          <w:szCs w:val="24"/>
        </w:rPr>
        <w:t>Latinoamérica</w:t>
      </w:r>
      <w:r w:rsidR="00136879" w:rsidRPr="00DD6966">
        <w:rPr>
          <w:szCs w:val="24"/>
        </w:rPr>
        <w:t>.</w:t>
      </w:r>
    </w:p>
    <w:p w14:paraId="248B6C4F" w14:textId="77777777" w:rsidR="00F66A71" w:rsidRPr="00DD6966" w:rsidRDefault="00F66A71" w:rsidP="007A4FE8">
      <w:pPr>
        <w:spacing w:after="0"/>
        <w:jc w:val="both"/>
        <w:rPr>
          <w:szCs w:val="24"/>
        </w:rPr>
      </w:pPr>
    </w:p>
    <w:p w14:paraId="6F013571" w14:textId="15F54548" w:rsidR="00733F04" w:rsidRPr="000B075A" w:rsidRDefault="00733F04" w:rsidP="007A4FE8">
      <w:pPr>
        <w:pStyle w:val="Prrafodelista"/>
        <w:numPr>
          <w:ilvl w:val="0"/>
          <w:numId w:val="4"/>
        </w:numPr>
        <w:spacing w:after="0"/>
        <w:ind w:left="284" w:hanging="284"/>
        <w:jc w:val="both"/>
        <w:rPr>
          <w:b/>
          <w:szCs w:val="24"/>
        </w:rPr>
      </w:pPr>
      <w:r w:rsidRPr="000B075A">
        <w:rPr>
          <w:b/>
          <w:szCs w:val="24"/>
        </w:rPr>
        <w:t>Ética y conflicto de intereses</w:t>
      </w:r>
    </w:p>
    <w:p w14:paraId="4C81C820" w14:textId="77777777" w:rsidR="00F66A71" w:rsidRPr="00DD6966" w:rsidRDefault="00F66A71" w:rsidP="007A4FE8">
      <w:pPr>
        <w:pStyle w:val="Prrafodelista"/>
        <w:spacing w:after="0"/>
        <w:ind w:left="425"/>
        <w:jc w:val="both"/>
        <w:rPr>
          <w:b/>
          <w:szCs w:val="24"/>
        </w:rPr>
      </w:pPr>
    </w:p>
    <w:p w14:paraId="7011E30F" w14:textId="7249EA3E" w:rsidR="00733F04" w:rsidRPr="00DD6966" w:rsidRDefault="00733F04" w:rsidP="007A4FE8">
      <w:pPr>
        <w:spacing w:after="0"/>
        <w:jc w:val="both"/>
        <w:rPr>
          <w:rFonts w:cs="Times New Roman"/>
          <w:szCs w:val="24"/>
        </w:rPr>
      </w:pPr>
      <w:r w:rsidRPr="00DD6966">
        <w:rPr>
          <w:rFonts w:cs="Times New Roman"/>
          <w:szCs w:val="24"/>
        </w:rPr>
        <w:lastRenderedPageBreak/>
        <w:t>Las personas autoras declaran que han cumplido totalmente con todos los requisitos éticos y legales pertinentes, tanto durante el estudio como en la producción del manuscrito; que no hay conflictos de intereses de ningún tipo; que todas las fuentes financieras se mencionan completa y claramente en la sección de agradecimientos; y que están totalmente de acuerdo con la versión final editada del artículo.</w:t>
      </w:r>
    </w:p>
    <w:p w14:paraId="17130056" w14:textId="77777777" w:rsidR="00F66A71" w:rsidRPr="00DD6966" w:rsidRDefault="00F66A71" w:rsidP="007A4FE8">
      <w:pPr>
        <w:spacing w:after="0"/>
        <w:jc w:val="both"/>
        <w:rPr>
          <w:b/>
          <w:szCs w:val="24"/>
        </w:rPr>
      </w:pPr>
    </w:p>
    <w:p w14:paraId="7DA4F798" w14:textId="765DA266" w:rsidR="00C54704" w:rsidRPr="001836BF" w:rsidRDefault="00C54704" w:rsidP="007A4FE8">
      <w:pPr>
        <w:pStyle w:val="Prrafodelista"/>
        <w:numPr>
          <w:ilvl w:val="0"/>
          <w:numId w:val="4"/>
        </w:numPr>
        <w:spacing w:after="0"/>
        <w:ind w:left="284" w:hanging="284"/>
        <w:jc w:val="both"/>
        <w:rPr>
          <w:b/>
          <w:szCs w:val="24"/>
        </w:rPr>
      </w:pPr>
      <w:r w:rsidRPr="001836BF">
        <w:rPr>
          <w:b/>
          <w:szCs w:val="24"/>
        </w:rPr>
        <w:t>Agradecimientos</w:t>
      </w:r>
    </w:p>
    <w:p w14:paraId="0DC66125" w14:textId="77777777" w:rsidR="00F66A71" w:rsidRPr="00DD6966" w:rsidRDefault="00F66A71" w:rsidP="007A4FE8">
      <w:pPr>
        <w:pStyle w:val="Prrafodelista"/>
        <w:spacing w:after="0"/>
        <w:ind w:left="425"/>
        <w:jc w:val="both"/>
        <w:rPr>
          <w:b/>
          <w:szCs w:val="24"/>
        </w:rPr>
      </w:pPr>
    </w:p>
    <w:p w14:paraId="170087C9" w14:textId="790413C4" w:rsidR="00C54704" w:rsidRPr="00DD6966" w:rsidRDefault="00C54704" w:rsidP="007A4FE8">
      <w:pPr>
        <w:spacing w:after="0"/>
        <w:jc w:val="both"/>
        <w:rPr>
          <w:szCs w:val="24"/>
        </w:rPr>
      </w:pPr>
      <w:r w:rsidRPr="00DD6966">
        <w:rPr>
          <w:szCs w:val="24"/>
        </w:rPr>
        <w:t xml:space="preserve">Los autores agradecen </w:t>
      </w:r>
      <w:r w:rsidR="003B33EC" w:rsidRPr="00DD6966">
        <w:rPr>
          <w:szCs w:val="24"/>
        </w:rPr>
        <w:t>a</w:t>
      </w:r>
      <w:r w:rsidRPr="00DD6966">
        <w:rPr>
          <w:szCs w:val="24"/>
        </w:rPr>
        <w:t xml:space="preserve"> la Vicerrectoría de Acción Social de la </w:t>
      </w:r>
      <w:r w:rsidR="00B17525" w:rsidRPr="00DD6966">
        <w:rPr>
          <w:szCs w:val="24"/>
        </w:rPr>
        <w:t>UCR</w:t>
      </w:r>
      <w:r w:rsidRPr="00DD6966">
        <w:rPr>
          <w:szCs w:val="24"/>
        </w:rPr>
        <w:t xml:space="preserve"> por el apoyo financiero y logístico </w:t>
      </w:r>
      <w:r w:rsidR="004C0E34" w:rsidRPr="00DD6966">
        <w:rPr>
          <w:szCs w:val="24"/>
        </w:rPr>
        <w:t>brindado durante la ejecución del Trabaj</w:t>
      </w:r>
      <w:r w:rsidR="00B17525" w:rsidRPr="00DD6966">
        <w:rPr>
          <w:szCs w:val="24"/>
        </w:rPr>
        <w:t>o Comunal Universitario TCU-674</w:t>
      </w:r>
      <w:r w:rsidR="004C0E34" w:rsidRPr="00DD6966">
        <w:rPr>
          <w:szCs w:val="24"/>
        </w:rPr>
        <w:t xml:space="preserve">. Además, </w:t>
      </w:r>
      <w:r w:rsidR="005C697A" w:rsidRPr="00DD6966">
        <w:rPr>
          <w:szCs w:val="24"/>
        </w:rPr>
        <w:t>agradecen</w:t>
      </w:r>
      <w:r w:rsidR="004C0E34" w:rsidRPr="00DD6966">
        <w:rPr>
          <w:szCs w:val="24"/>
        </w:rPr>
        <w:t xml:space="preserve"> a l</w:t>
      </w:r>
      <w:r w:rsidR="00733F04" w:rsidRPr="00DD6966">
        <w:rPr>
          <w:szCs w:val="24"/>
        </w:rPr>
        <w:t>a</w:t>
      </w:r>
      <w:r w:rsidR="004C0E34" w:rsidRPr="00DD6966">
        <w:rPr>
          <w:szCs w:val="24"/>
        </w:rPr>
        <w:t xml:space="preserve">s </w:t>
      </w:r>
      <w:r w:rsidR="00733F04" w:rsidRPr="00DD6966">
        <w:rPr>
          <w:szCs w:val="24"/>
        </w:rPr>
        <w:t xml:space="preserve">personas </w:t>
      </w:r>
      <w:r w:rsidR="004C0E34" w:rsidRPr="00DD6966">
        <w:rPr>
          <w:szCs w:val="24"/>
        </w:rPr>
        <w:t>revisor</w:t>
      </w:r>
      <w:r w:rsidR="00733F04" w:rsidRPr="00DD6966">
        <w:rPr>
          <w:szCs w:val="24"/>
        </w:rPr>
        <w:t>a</w:t>
      </w:r>
      <w:r w:rsidR="004C0E34" w:rsidRPr="00DD6966">
        <w:rPr>
          <w:szCs w:val="24"/>
        </w:rPr>
        <w:t>s anónim</w:t>
      </w:r>
      <w:r w:rsidR="00733F04" w:rsidRPr="00DD6966">
        <w:rPr>
          <w:szCs w:val="24"/>
        </w:rPr>
        <w:t>a</w:t>
      </w:r>
      <w:r w:rsidR="004C0E34" w:rsidRPr="00DD6966">
        <w:rPr>
          <w:szCs w:val="24"/>
        </w:rPr>
        <w:t xml:space="preserve">s de la </w:t>
      </w:r>
      <w:r w:rsidR="002F0B93">
        <w:rPr>
          <w:szCs w:val="24"/>
        </w:rPr>
        <w:t>R</w:t>
      </w:r>
      <w:r w:rsidR="004C0E34" w:rsidRPr="00DD6966">
        <w:rPr>
          <w:szCs w:val="24"/>
        </w:rPr>
        <w:t>evista por sus aportes, los cuales enriquecieron el presente documento.</w:t>
      </w:r>
    </w:p>
    <w:p w14:paraId="0E899087" w14:textId="77777777" w:rsidR="00F66A71" w:rsidRPr="00DD6966" w:rsidRDefault="00F66A71" w:rsidP="007A4FE8">
      <w:pPr>
        <w:spacing w:after="0"/>
        <w:jc w:val="both"/>
        <w:rPr>
          <w:szCs w:val="24"/>
        </w:rPr>
      </w:pPr>
    </w:p>
    <w:p w14:paraId="5547B64C" w14:textId="00CF5045" w:rsidR="00653CBB" w:rsidRPr="00DD6966" w:rsidRDefault="00653CBB" w:rsidP="007A4FE8">
      <w:pPr>
        <w:pStyle w:val="Prrafodelista"/>
        <w:numPr>
          <w:ilvl w:val="0"/>
          <w:numId w:val="4"/>
        </w:numPr>
        <w:spacing w:after="0"/>
        <w:ind w:left="284" w:hanging="284"/>
        <w:jc w:val="both"/>
        <w:rPr>
          <w:b/>
          <w:szCs w:val="24"/>
        </w:rPr>
      </w:pPr>
      <w:r w:rsidRPr="001836BF">
        <w:rPr>
          <w:b/>
          <w:szCs w:val="24"/>
        </w:rPr>
        <w:t>Referencias</w:t>
      </w:r>
      <w:r w:rsidR="005140DB" w:rsidRPr="00DD6966">
        <w:rPr>
          <w:b/>
          <w:szCs w:val="24"/>
        </w:rPr>
        <w:tab/>
      </w:r>
    </w:p>
    <w:p w14:paraId="0449052A" w14:textId="77777777" w:rsidR="00F66A71" w:rsidRPr="00DD6966" w:rsidRDefault="00F66A71" w:rsidP="007A4FE8">
      <w:pPr>
        <w:pStyle w:val="Prrafodelista"/>
        <w:spacing w:after="0"/>
        <w:ind w:left="426"/>
        <w:jc w:val="both"/>
        <w:rPr>
          <w:b/>
          <w:szCs w:val="24"/>
        </w:rPr>
      </w:pPr>
    </w:p>
    <w:p w14:paraId="49BCBC0A" w14:textId="77777777" w:rsidR="009479B6" w:rsidRPr="00DD6966" w:rsidRDefault="009479B6" w:rsidP="007A4FE8">
      <w:pPr>
        <w:spacing w:after="0"/>
        <w:ind w:left="709" w:hanging="709"/>
        <w:jc w:val="both"/>
        <w:rPr>
          <w:szCs w:val="24"/>
        </w:rPr>
      </w:pPr>
      <w:r w:rsidRPr="00DD6966">
        <w:rPr>
          <w:szCs w:val="24"/>
        </w:rPr>
        <w:t xml:space="preserve">Ballestero, M. (2013). </w:t>
      </w:r>
      <w:r w:rsidRPr="007A4FE8">
        <w:rPr>
          <w:i/>
          <w:szCs w:val="24"/>
        </w:rPr>
        <w:t>Agenda del agua de Costa Rica</w:t>
      </w:r>
      <w:r w:rsidRPr="00DD6966">
        <w:rPr>
          <w:szCs w:val="24"/>
        </w:rPr>
        <w:t>. San José, Costa Rica: Ministerio de Ambiente y Energía.</w:t>
      </w:r>
    </w:p>
    <w:p w14:paraId="57B707C8" w14:textId="77777777" w:rsidR="00303410" w:rsidRPr="00DD6966" w:rsidRDefault="00303410" w:rsidP="007A4FE8">
      <w:pPr>
        <w:spacing w:after="0"/>
        <w:ind w:left="709" w:hanging="709"/>
        <w:jc w:val="both"/>
        <w:rPr>
          <w:szCs w:val="24"/>
        </w:rPr>
      </w:pPr>
    </w:p>
    <w:p w14:paraId="6886B50E" w14:textId="04187D02" w:rsidR="009479B6" w:rsidRPr="00DD6966" w:rsidRDefault="0046139A" w:rsidP="007A4FE8">
      <w:pPr>
        <w:spacing w:after="0"/>
        <w:ind w:left="709" w:hanging="709"/>
        <w:jc w:val="both"/>
        <w:rPr>
          <w:szCs w:val="24"/>
        </w:rPr>
      </w:pPr>
      <w:r w:rsidRPr="00DD6966">
        <w:rPr>
          <w:szCs w:val="24"/>
        </w:rPr>
        <w:t>Contraloría General de la República [CGR]</w:t>
      </w:r>
      <w:r w:rsidR="009479B6" w:rsidRPr="00DD6966">
        <w:rPr>
          <w:szCs w:val="24"/>
        </w:rPr>
        <w:t xml:space="preserve">. (2016). </w:t>
      </w:r>
      <w:r w:rsidR="009479B6" w:rsidRPr="007A4FE8">
        <w:rPr>
          <w:i/>
          <w:szCs w:val="24"/>
        </w:rPr>
        <w:t>Auditoría operativa. Informe acerca del servicio de abastecimiento de agua potable brindado por los acueductos municipales de la provincia de Cartago</w:t>
      </w:r>
      <w:r w:rsidR="009479B6" w:rsidRPr="00DD6966">
        <w:rPr>
          <w:szCs w:val="24"/>
        </w:rPr>
        <w:t>. San José, Costa Rica.</w:t>
      </w:r>
    </w:p>
    <w:p w14:paraId="23B266DD" w14:textId="77777777" w:rsidR="00303410" w:rsidRPr="00DD6966" w:rsidRDefault="00303410" w:rsidP="007A4FE8">
      <w:pPr>
        <w:spacing w:after="0"/>
        <w:ind w:left="709" w:hanging="709"/>
        <w:jc w:val="both"/>
        <w:rPr>
          <w:szCs w:val="24"/>
        </w:rPr>
      </w:pPr>
    </w:p>
    <w:p w14:paraId="4ED12923" w14:textId="3A805A38" w:rsidR="009479B6" w:rsidRPr="00DD6966" w:rsidRDefault="009479B6" w:rsidP="007A4FE8">
      <w:pPr>
        <w:spacing w:after="0"/>
        <w:ind w:left="709" w:hanging="709"/>
        <w:jc w:val="both"/>
        <w:rPr>
          <w:szCs w:val="24"/>
          <w:lang w:val="en-US"/>
        </w:rPr>
      </w:pPr>
      <w:r w:rsidRPr="00DD6966">
        <w:rPr>
          <w:szCs w:val="24"/>
        </w:rPr>
        <w:t>González-Vil</w:t>
      </w:r>
      <w:r w:rsidR="0075649E" w:rsidRPr="00DD6966">
        <w:rPr>
          <w:szCs w:val="24"/>
        </w:rPr>
        <w:t>larreal, F., Aguirre-Díaz, R., y</w:t>
      </w:r>
      <w:r w:rsidRPr="00DD6966">
        <w:rPr>
          <w:szCs w:val="24"/>
        </w:rPr>
        <w:t xml:space="preserve"> </w:t>
      </w:r>
      <w:proofErr w:type="spellStart"/>
      <w:r w:rsidRPr="00DD6966">
        <w:rPr>
          <w:szCs w:val="24"/>
        </w:rPr>
        <w:t>Lartigue</w:t>
      </w:r>
      <w:proofErr w:type="spellEnd"/>
      <w:r w:rsidRPr="00DD6966">
        <w:rPr>
          <w:szCs w:val="24"/>
        </w:rPr>
        <w:t xml:space="preserve">, C. (2016). Percepciones, actitudes y conductas respecto al servicio de agua potable en la Ciudad de México. </w:t>
      </w:r>
      <w:proofErr w:type="spellStart"/>
      <w:r w:rsidRPr="007A4FE8">
        <w:rPr>
          <w:i/>
          <w:szCs w:val="24"/>
          <w:lang w:val="en-US"/>
        </w:rPr>
        <w:t>Tecnologia</w:t>
      </w:r>
      <w:proofErr w:type="spellEnd"/>
      <w:r w:rsidRPr="007A4FE8">
        <w:rPr>
          <w:i/>
          <w:szCs w:val="24"/>
          <w:lang w:val="en-US"/>
        </w:rPr>
        <w:t xml:space="preserve"> y </w:t>
      </w:r>
      <w:proofErr w:type="spellStart"/>
      <w:r w:rsidRPr="007A4FE8">
        <w:rPr>
          <w:i/>
          <w:szCs w:val="24"/>
          <w:lang w:val="en-US"/>
        </w:rPr>
        <w:t>Ciencias</w:t>
      </w:r>
      <w:proofErr w:type="spellEnd"/>
      <w:r w:rsidRPr="007A4FE8">
        <w:rPr>
          <w:i/>
          <w:szCs w:val="24"/>
          <w:lang w:val="en-US"/>
        </w:rPr>
        <w:t xml:space="preserve"> </w:t>
      </w:r>
      <w:r w:rsidR="001666D8">
        <w:rPr>
          <w:i/>
          <w:szCs w:val="24"/>
          <w:lang w:val="en-US"/>
        </w:rPr>
        <w:t>d</w:t>
      </w:r>
      <w:r w:rsidRPr="007A4FE8">
        <w:rPr>
          <w:i/>
          <w:szCs w:val="24"/>
          <w:lang w:val="en-US"/>
        </w:rPr>
        <w:t>el Agua, 7</w:t>
      </w:r>
      <w:r w:rsidRPr="00DD6966">
        <w:rPr>
          <w:szCs w:val="24"/>
          <w:lang w:val="en-US"/>
        </w:rPr>
        <w:t>(6), 41–56.</w:t>
      </w:r>
    </w:p>
    <w:p w14:paraId="21096CEC" w14:textId="77777777" w:rsidR="00303410" w:rsidRPr="00DD6966" w:rsidRDefault="00303410" w:rsidP="007A4FE8">
      <w:pPr>
        <w:spacing w:after="0"/>
        <w:ind w:left="709" w:hanging="709"/>
        <w:jc w:val="both"/>
        <w:rPr>
          <w:szCs w:val="24"/>
          <w:lang w:val="en-US"/>
        </w:rPr>
      </w:pPr>
    </w:p>
    <w:p w14:paraId="4924123C" w14:textId="40F2748E" w:rsidR="009479B6" w:rsidRPr="00DD6966" w:rsidRDefault="009479B6" w:rsidP="007A4FE8">
      <w:pPr>
        <w:spacing w:after="0"/>
        <w:ind w:left="709" w:hanging="709"/>
        <w:jc w:val="both"/>
        <w:rPr>
          <w:szCs w:val="24"/>
          <w:lang w:val="en-US"/>
        </w:rPr>
      </w:pPr>
      <w:r w:rsidRPr="00DD6966">
        <w:rPr>
          <w:szCs w:val="24"/>
          <w:lang w:val="en-US"/>
        </w:rPr>
        <w:t>Heller, L. (2018). Report of the Special Rapporteur on the human rights to safe drinking water and sanitation - session 73.</w:t>
      </w:r>
      <w:r w:rsidR="000D59CA" w:rsidRPr="00DD6966">
        <w:rPr>
          <w:szCs w:val="24"/>
          <w:lang w:val="en-US"/>
        </w:rPr>
        <w:t xml:space="preserve"> </w:t>
      </w:r>
    </w:p>
    <w:p w14:paraId="01A4706E" w14:textId="77777777" w:rsidR="00303410" w:rsidRPr="00DD6966" w:rsidRDefault="00303410" w:rsidP="007A4FE8">
      <w:pPr>
        <w:spacing w:after="0"/>
        <w:ind w:left="709" w:hanging="709"/>
        <w:jc w:val="both"/>
        <w:rPr>
          <w:szCs w:val="24"/>
          <w:lang w:val="en-US"/>
        </w:rPr>
      </w:pPr>
    </w:p>
    <w:p w14:paraId="442DDF99" w14:textId="77777777" w:rsidR="001666D8" w:rsidRPr="00DD6966" w:rsidRDefault="001666D8" w:rsidP="00B36B1D">
      <w:pPr>
        <w:spacing w:after="0"/>
        <w:ind w:left="709" w:hanging="709"/>
        <w:jc w:val="both"/>
        <w:rPr>
          <w:szCs w:val="24"/>
        </w:rPr>
      </w:pPr>
      <w:r w:rsidRPr="00DD6966">
        <w:rPr>
          <w:szCs w:val="24"/>
        </w:rPr>
        <w:t xml:space="preserve">Instituto Nacional de Acueductos y Alcantarillados [AyA]. (2016). </w:t>
      </w:r>
      <w:r w:rsidRPr="00122E54">
        <w:rPr>
          <w:i/>
          <w:szCs w:val="24"/>
        </w:rPr>
        <w:t>Política Nacional de Agua Potable de Costa Rica, 2017-2030</w:t>
      </w:r>
      <w:r>
        <w:rPr>
          <w:szCs w:val="24"/>
        </w:rPr>
        <w:t>.</w:t>
      </w:r>
      <w:r w:rsidRPr="00DD6966">
        <w:rPr>
          <w:szCs w:val="24"/>
        </w:rPr>
        <w:t xml:space="preserve"> San José, Costa Rica: Instituto Costarricense de Acueductos y Alcantarillados / Comisión Interinstitucional.</w:t>
      </w:r>
    </w:p>
    <w:p w14:paraId="2EE7DCA1" w14:textId="77777777" w:rsidR="001666D8" w:rsidRPr="00DD6966" w:rsidRDefault="001666D8" w:rsidP="00B36B1D">
      <w:pPr>
        <w:spacing w:after="0"/>
        <w:ind w:left="709" w:hanging="709"/>
        <w:jc w:val="both"/>
        <w:rPr>
          <w:szCs w:val="24"/>
        </w:rPr>
      </w:pPr>
    </w:p>
    <w:p w14:paraId="1007E37C" w14:textId="77777777" w:rsidR="001666D8" w:rsidRPr="00DD6966" w:rsidRDefault="001666D8" w:rsidP="00B36B1D">
      <w:pPr>
        <w:spacing w:after="0"/>
        <w:ind w:left="709" w:hanging="709"/>
        <w:rPr>
          <w:szCs w:val="24"/>
        </w:rPr>
      </w:pPr>
      <w:r w:rsidRPr="00DD6966">
        <w:rPr>
          <w:szCs w:val="24"/>
        </w:rPr>
        <w:t xml:space="preserve">Instituto Nacional de Acueductos y Alcantarillados [AyA]. (2013). </w:t>
      </w:r>
      <w:r w:rsidRPr="00122E54">
        <w:rPr>
          <w:i/>
          <w:szCs w:val="24"/>
        </w:rPr>
        <w:t>Lista de ASADA.</w:t>
      </w:r>
      <w:r w:rsidRPr="00DD6966">
        <w:rPr>
          <w:szCs w:val="24"/>
        </w:rPr>
        <w:t xml:space="preserve"> Recuperado de </w:t>
      </w:r>
      <w:hyperlink r:id="rId15" w:history="1">
        <w:r w:rsidRPr="00DD6966">
          <w:rPr>
            <w:rStyle w:val="Hipervnculo"/>
            <w:szCs w:val="24"/>
          </w:rPr>
          <w:t>https://www.aya.go.cr/centroDocumetacion/catalogoGeneral/Listado%20de%20ASADAS.pdf</w:t>
        </w:r>
      </w:hyperlink>
      <w:r w:rsidRPr="00DD6966">
        <w:rPr>
          <w:rStyle w:val="Hipervnculo"/>
          <w:szCs w:val="24"/>
        </w:rPr>
        <w:t>.</w:t>
      </w:r>
      <w:r w:rsidRPr="00DD6966">
        <w:rPr>
          <w:szCs w:val="24"/>
        </w:rPr>
        <w:t xml:space="preserve"> </w:t>
      </w:r>
    </w:p>
    <w:p w14:paraId="19AEBB1B" w14:textId="77777777" w:rsidR="001666D8" w:rsidRPr="00DD6966" w:rsidRDefault="001666D8" w:rsidP="00B36B1D">
      <w:pPr>
        <w:spacing w:after="0"/>
        <w:ind w:left="709" w:hanging="709"/>
        <w:rPr>
          <w:szCs w:val="24"/>
        </w:rPr>
      </w:pPr>
    </w:p>
    <w:p w14:paraId="07DC5E91" w14:textId="5F1D4110" w:rsidR="009479B6" w:rsidRPr="00EA00F1" w:rsidRDefault="0006471D" w:rsidP="00B36B1D">
      <w:pPr>
        <w:widowControl w:val="0"/>
        <w:autoSpaceDE w:val="0"/>
        <w:autoSpaceDN w:val="0"/>
        <w:adjustRightInd w:val="0"/>
        <w:spacing w:after="0"/>
        <w:ind w:left="480" w:hanging="480"/>
        <w:jc w:val="both"/>
        <w:rPr>
          <w:szCs w:val="24"/>
          <w:lang w:val="es-CR"/>
        </w:rPr>
      </w:pPr>
      <w:r w:rsidRPr="00DD6966">
        <w:rPr>
          <w:rFonts w:cs="Times New Roman"/>
          <w:iCs/>
          <w:noProof/>
          <w:szCs w:val="24"/>
          <w:lang w:val="es-ES"/>
        </w:rPr>
        <w:t>Instituto Nacional de Estadística [</w:t>
      </w:r>
      <w:r w:rsidR="009479B6" w:rsidRPr="00DD6966">
        <w:rPr>
          <w:rFonts w:cs="Times New Roman"/>
          <w:iCs/>
          <w:noProof/>
          <w:szCs w:val="24"/>
          <w:lang w:val="es-ES"/>
        </w:rPr>
        <w:t>INEC</w:t>
      </w:r>
      <w:r w:rsidRPr="00DD6966">
        <w:rPr>
          <w:rFonts w:cs="Times New Roman"/>
          <w:iCs/>
          <w:noProof/>
          <w:szCs w:val="24"/>
          <w:lang w:val="es-ES"/>
        </w:rPr>
        <w:t>].</w:t>
      </w:r>
      <w:r w:rsidR="009479B6" w:rsidRPr="00DD6966">
        <w:rPr>
          <w:rFonts w:cs="Times New Roman"/>
          <w:iCs/>
          <w:noProof/>
          <w:szCs w:val="24"/>
          <w:lang w:val="es-ES"/>
        </w:rPr>
        <w:t xml:space="preserve"> </w:t>
      </w:r>
      <w:r w:rsidR="009479B6" w:rsidRPr="00DD6966">
        <w:rPr>
          <w:rFonts w:cs="Times New Roman"/>
          <w:iCs/>
          <w:noProof/>
          <w:szCs w:val="24"/>
          <w:lang w:val="es-CR"/>
        </w:rPr>
        <w:t>(2013)</w:t>
      </w:r>
      <w:r w:rsidRPr="00DD6966">
        <w:rPr>
          <w:rFonts w:cs="Times New Roman"/>
          <w:iCs/>
          <w:noProof/>
          <w:szCs w:val="24"/>
          <w:lang w:val="es-CR"/>
        </w:rPr>
        <w:t>.</w:t>
      </w:r>
      <w:r w:rsidR="009479B6" w:rsidRPr="00DD6966">
        <w:rPr>
          <w:rFonts w:cs="Times New Roman"/>
          <w:iCs/>
          <w:noProof/>
          <w:szCs w:val="24"/>
          <w:lang w:val="es-CR"/>
        </w:rPr>
        <w:t xml:space="preserve"> </w:t>
      </w:r>
      <w:r w:rsidR="009479B6" w:rsidRPr="007A4FE8">
        <w:rPr>
          <w:rFonts w:cs="Times New Roman"/>
          <w:i/>
          <w:iCs/>
          <w:noProof/>
          <w:szCs w:val="24"/>
          <w:lang w:val="es-CR"/>
        </w:rPr>
        <w:t xml:space="preserve">Indicadores </w:t>
      </w:r>
      <w:r w:rsidR="001666D8" w:rsidRPr="007A4FE8">
        <w:rPr>
          <w:rFonts w:cs="Times New Roman"/>
          <w:i/>
          <w:iCs/>
          <w:noProof/>
          <w:szCs w:val="24"/>
          <w:lang w:val="es-CR"/>
        </w:rPr>
        <w:t>d</w:t>
      </w:r>
      <w:r w:rsidR="009479B6" w:rsidRPr="007A4FE8">
        <w:rPr>
          <w:rFonts w:cs="Times New Roman"/>
          <w:i/>
          <w:iCs/>
          <w:noProof/>
          <w:szCs w:val="24"/>
          <w:lang w:val="es-CR"/>
        </w:rPr>
        <w:t xml:space="preserve">emográficos </w:t>
      </w:r>
      <w:r w:rsidR="001666D8" w:rsidRPr="007A4FE8">
        <w:rPr>
          <w:rFonts w:cs="Times New Roman"/>
          <w:i/>
          <w:iCs/>
          <w:noProof/>
          <w:szCs w:val="24"/>
          <w:lang w:val="es-CR"/>
        </w:rPr>
        <w:t>c</w:t>
      </w:r>
      <w:r w:rsidR="009479B6" w:rsidRPr="007A4FE8">
        <w:rPr>
          <w:rFonts w:cs="Times New Roman"/>
          <w:i/>
          <w:iCs/>
          <w:noProof/>
          <w:szCs w:val="24"/>
          <w:lang w:val="es-CR"/>
        </w:rPr>
        <w:t>antonales 2013.</w:t>
      </w:r>
      <w:r w:rsidR="009479B6" w:rsidRPr="00DD6966">
        <w:rPr>
          <w:rFonts w:cs="Times New Roman"/>
          <w:iCs/>
          <w:noProof/>
          <w:szCs w:val="24"/>
          <w:lang w:val="es-CR"/>
        </w:rPr>
        <w:t xml:space="preserve"> </w:t>
      </w:r>
      <w:r w:rsidR="009479B6" w:rsidRPr="00DD6966">
        <w:rPr>
          <w:rFonts w:cs="Times New Roman"/>
          <w:iCs/>
          <w:noProof/>
          <w:szCs w:val="24"/>
          <w:lang w:val="es-ES"/>
        </w:rPr>
        <w:t>Recuperado</w:t>
      </w:r>
      <w:r w:rsidR="00A03256" w:rsidRPr="00DD6966">
        <w:rPr>
          <w:rFonts w:cs="Times New Roman"/>
          <w:iCs/>
          <w:noProof/>
          <w:szCs w:val="24"/>
          <w:lang w:val="es-ES"/>
        </w:rPr>
        <w:t xml:space="preserve"> </w:t>
      </w:r>
      <w:r w:rsidR="009479B6" w:rsidRPr="00DD6966">
        <w:rPr>
          <w:rFonts w:cs="Times New Roman"/>
          <w:iCs/>
          <w:noProof/>
          <w:szCs w:val="24"/>
          <w:lang w:val="es-ES"/>
        </w:rPr>
        <w:t xml:space="preserve">de </w:t>
      </w:r>
      <w:hyperlink r:id="rId16" w:history="1">
        <w:r w:rsidR="009479B6" w:rsidRPr="00DD6966">
          <w:rPr>
            <w:iCs/>
            <w:noProof/>
            <w:szCs w:val="24"/>
            <w:lang w:val="es-ES"/>
          </w:rPr>
          <w:t>http://www.inec.go.cr/wwwisis/documentos/INEC/Indicadores_Demograficos_Cantonales/Indicadores_Demograficos_Cantonales_2013.pdf</w:t>
        </w:r>
      </w:hyperlink>
      <w:r w:rsidR="0046139A" w:rsidRPr="00DD6966">
        <w:rPr>
          <w:iCs/>
          <w:noProof/>
          <w:szCs w:val="24"/>
          <w:lang w:val="es-ES"/>
        </w:rPr>
        <w:t xml:space="preserve">. </w:t>
      </w:r>
      <w:r w:rsidR="0046139A" w:rsidRPr="00EA00F1">
        <w:rPr>
          <w:szCs w:val="24"/>
          <w:lang w:val="es-CR"/>
        </w:rPr>
        <w:t>Consultado el 27/10/2019.</w:t>
      </w:r>
    </w:p>
    <w:p w14:paraId="1C79E582" w14:textId="77777777" w:rsidR="00303410" w:rsidRPr="00EA00F1" w:rsidRDefault="00303410" w:rsidP="007A4FE8">
      <w:pPr>
        <w:widowControl w:val="0"/>
        <w:autoSpaceDE w:val="0"/>
        <w:autoSpaceDN w:val="0"/>
        <w:adjustRightInd w:val="0"/>
        <w:spacing w:after="0"/>
        <w:ind w:left="480" w:hanging="480"/>
        <w:jc w:val="both"/>
        <w:rPr>
          <w:rFonts w:cs="Times New Roman"/>
          <w:iCs/>
          <w:noProof/>
          <w:szCs w:val="24"/>
          <w:lang w:val="es-CR"/>
        </w:rPr>
      </w:pPr>
    </w:p>
    <w:p w14:paraId="417C25E0" w14:textId="77777777" w:rsidR="001666D8" w:rsidRPr="00DD6966" w:rsidRDefault="001666D8" w:rsidP="00B36B1D">
      <w:pPr>
        <w:spacing w:after="0"/>
        <w:ind w:left="709" w:hanging="709"/>
        <w:jc w:val="both"/>
        <w:rPr>
          <w:szCs w:val="24"/>
        </w:rPr>
      </w:pPr>
      <w:r w:rsidRPr="00DD6966">
        <w:rPr>
          <w:szCs w:val="24"/>
        </w:rPr>
        <w:t xml:space="preserve">La Gaceta. (1961). </w:t>
      </w:r>
      <w:r w:rsidRPr="00122E54">
        <w:rPr>
          <w:i/>
          <w:szCs w:val="24"/>
        </w:rPr>
        <w:t>Ley Constitutiva del AYA, Ley No. 2726</w:t>
      </w:r>
      <w:r w:rsidRPr="00DD6966">
        <w:rPr>
          <w:szCs w:val="24"/>
        </w:rPr>
        <w:t xml:space="preserve">. </w:t>
      </w:r>
      <w:r w:rsidRPr="00BF3711">
        <w:rPr>
          <w:rFonts w:cs="Times New Roman"/>
          <w:iCs/>
          <w:noProof/>
          <w:szCs w:val="24"/>
          <w:lang w:val="es-ES"/>
        </w:rPr>
        <w:t>San José, Costa Rica.</w:t>
      </w:r>
    </w:p>
    <w:p w14:paraId="2DE5990F" w14:textId="756DE7B7" w:rsidR="00BF3711" w:rsidRPr="00BF3711" w:rsidRDefault="00BF3711" w:rsidP="00B36B1D">
      <w:pPr>
        <w:spacing w:after="0"/>
        <w:ind w:left="709" w:hanging="709"/>
        <w:jc w:val="both"/>
        <w:rPr>
          <w:rFonts w:cs="Times New Roman"/>
          <w:iCs/>
          <w:noProof/>
          <w:szCs w:val="24"/>
          <w:lang w:val="es-ES"/>
        </w:rPr>
      </w:pPr>
      <w:r w:rsidRPr="00BF3711">
        <w:rPr>
          <w:rFonts w:cs="Times New Roman"/>
          <w:iCs/>
          <w:noProof/>
          <w:szCs w:val="24"/>
          <w:lang w:val="es-ES"/>
        </w:rPr>
        <w:t xml:space="preserve">La Gaceta. (2015). </w:t>
      </w:r>
      <w:r w:rsidRPr="007A4FE8">
        <w:rPr>
          <w:rFonts w:cs="Times New Roman"/>
          <w:i/>
          <w:iCs/>
          <w:noProof/>
          <w:szCs w:val="24"/>
          <w:lang w:val="es-ES"/>
        </w:rPr>
        <w:t xml:space="preserve">Reglamento para la </w:t>
      </w:r>
      <w:r w:rsidR="001666D8" w:rsidRPr="007A4FE8">
        <w:rPr>
          <w:rFonts w:cs="Times New Roman"/>
          <w:i/>
          <w:iCs/>
          <w:noProof/>
          <w:szCs w:val="24"/>
          <w:lang w:val="es-ES"/>
        </w:rPr>
        <w:t>ca</w:t>
      </w:r>
      <w:r w:rsidRPr="007A4FE8">
        <w:rPr>
          <w:rFonts w:cs="Times New Roman"/>
          <w:i/>
          <w:iCs/>
          <w:noProof/>
          <w:szCs w:val="24"/>
          <w:lang w:val="es-ES"/>
        </w:rPr>
        <w:t xml:space="preserve">lidad del </w:t>
      </w:r>
      <w:r w:rsidR="001666D8" w:rsidRPr="007A4FE8">
        <w:rPr>
          <w:rFonts w:cs="Times New Roman"/>
          <w:i/>
          <w:iCs/>
          <w:noProof/>
          <w:szCs w:val="24"/>
          <w:lang w:val="es-ES"/>
        </w:rPr>
        <w:t>a</w:t>
      </w:r>
      <w:r w:rsidRPr="007A4FE8">
        <w:rPr>
          <w:rFonts w:cs="Times New Roman"/>
          <w:i/>
          <w:iCs/>
          <w:noProof/>
          <w:szCs w:val="24"/>
          <w:lang w:val="es-ES"/>
        </w:rPr>
        <w:t xml:space="preserve">gua </w:t>
      </w:r>
      <w:r w:rsidR="001666D8" w:rsidRPr="007A4FE8">
        <w:rPr>
          <w:rFonts w:cs="Times New Roman"/>
          <w:i/>
          <w:iCs/>
          <w:noProof/>
          <w:szCs w:val="24"/>
          <w:lang w:val="es-ES"/>
        </w:rPr>
        <w:t>potable</w:t>
      </w:r>
      <w:r w:rsidRPr="007A4FE8">
        <w:rPr>
          <w:rFonts w:cs="Times New Roman"/>
          <w:i/>
          <w:iCs/>
          <w:noProof/>
          <w:szCs w:val="24"/>
          <w:lang w:val="es-ES"/>
        </w:rPr>
        <w:t>, DE 38924-S.</w:t>
      </w:r>
      <w:r w:rsidRPr="00BF3711">
        <w:rPr>
          <w:rFonts w:cs="Times New Roman"/>
          <w:iCs/>
          <w:noProof/>
          <w:szCs w:val="24"/>
          <w:lang w:val="es-ES"/>
        </w:rPr>
        <w:t xml:space="preserve"> (Vol. 170). San José, Costa Rica.</w:t>
      </w:r>
    </w:p>
    <w:p w14:paraId="07F8F921" w14:textId="77777777" w:rsidR="00BF3711" w:rsidRPr="00EA00F1" w:rsidRDefault="00BF3711" w:rsidP="007A4FE8">
      <w:pPr>
        <w:spacing w:after="0"/>
        <w:ind w:left="709" w:hanging="709"/>
        <w:jc w:val="both"/>
        <w:rPr>
          <w:szCs w:val="24"/>
          <w:lang w:val="es-CR"/>
        </w:rPr>
      </w:pPr>
    </w:p>
    <w:p w14:paraId="2C24A131" w14:textId="134CE4FA" w:rsidR="009479B6" w:rsidRPr="00EA00F1" w:rsidRDefault="009479B6" w:rsidP="007A4FE8">
      <w:pPr>
        <w:spacing w:after="0"/>
        <w:ind w:left="709" w:hanging="709"/>
        <w:jc w:val="both"/>
        <w:rPr>
          <w:color w:val="365F91" w:themeColor="accent1" w:themeShade="BF"/>
          <w:szCs w:val="24"/>
          <w:lang w:val="en-US"/>
        </w:rPr>
      </w:pPr>
      <w:r w:rsidRPr="007A4FE8">
        <w:rPr>
          <w:szCs w:val="24"/>
          <w:lang w:val="en-US"/>
        </w:rPr>
        <w:t xml:space="preserve">Lewis, B. R. (1989). </w:t>
      </w:r>
      <w:r w:rsidRPr="00DD6966">
        <w:rPr>
          <w:szCs w:val="24"/>
          <w:lang w:val="en-US"/>
        </w:rPr>
        <w:t xml:space="preserve">Quality in the service sector: A review. </w:t>
      </w:r>
      <w:r w:rsidRPr="007A4FE8">
        <w:rPr>
          <w:i/>
          <w:szCs w:val="24"/>
          <w:lang w:val="en-US"/>
        </w:rPr>
        <w:t>International Journal of Bank Marketing, 7</w:t>
      </w:r>
      <w:r w:rsidRPr="00DD6966">
        <w:rPr>
          <w:szCs w:val="24"/>
          <w:lang w:val="en-US"/>
        </w:rPr>
        <w:t xml:space="preserve">(5), 4–12. </w:t>
      </w:r>
      <w:hyperlink r:id="rId17" w:history="1">
        <w:r w:rsidR="00303410" w:rsidRPr="00EA00F1">
          <w:rPr>
            <w:rStyle w:val="Hipervnculo"/>
            <w:color w:val="0000BF" w:themeColor="hyperlink" w:themeShade="BF"/>
            <w:szCs w:val="24"/>
            <w:lang w:val="en-US"/>
          </w:rPr>
          <w:t>https://doi.org/10.1108/02652328910134590</w:t>
        </w:r>
      </w:hyperlink>
    </w:p>
    <w:p w14:paraId="0B6672E3" w14:textId="77777777" w:rsidR="00303410" w:rsidRPr="00EA00F1" w:rsidRDefault="00303410" w:rsidP="007A4FE8">
      <w:pPr>
        <w:spacing w:after="0"/>
        <w:ind w:left="709" w:hanging="709"/>
        <w:jc w:val="both"/>
        <w:rPr>
          <w:szCs w:val="24"/>
          <w:lang w:val="en-US"/>
        </w:rPr>
      </w:pPr>
    </w:p>
    <w:p w14:paraId="3FE2A378" w14:textId="25A7B5F3" w:rsidR="009479B6" w:rsidRPr="00EA00F1" w:rsidRDefault="0075649E" w:rsidP="007A4FE8">
      <w:pPr>
        <w:spacing w:after="0"/>
        <w:ind w:left="709" w:hanging="709"/>
        <w:jc w:val="both"/>
        <w:rPr>
          <w:color w:val="365F91" w:themeColor="accent1" w:themeShade="BF"/>
          <w:szCs w:val="24"/>
          <w:lang w:val="es-CR"/>
        </w:rPr>
      </w:pPr>
      <w:r w:rsidRPr="00EA00F1">
        <w:rPr>
          <w:szCs w:val="24"/>
          <w:lang w:val="en-US"/>
        </w:rPr>
        <w:lastRenderedPageBreak/>
        <w:t>Majumdar, S. y</w:t>
      </w:r>
      <w:r w:rsidR="009479B6" w:rsidRPr="00EA00F1">
        <w:rPr>
          <w:szCs w:val="24"/>
          <w:lang w:val="en-US"/>
        </w:rPr>
        <w:t xml:space="preserve"> </w:t>
      </w:r>
      <w:proofErr w:type="spellStart"/>
      <w:r w:rsidR="009479B6" w:rsidRPr="00EA00F1">
        <w:rPr>
          <w:szCs w:val="24"/>
          <w:lang w:val="en-US"/>
        </w:rPr>
        <w:t>Tripathy</w:t>
      </w:r>
      <w:proofErr w:type="spellEnd"/>
      <w:r w:rsidR="009479B6" w:rsidRPr="00EA00F1">
        <w:rPr>
          <w:szCs w:val="24"/>
          <w:lang w:val="en-US"/>
        </w:rPr>
        <w:t xml:space="preserve">, S. (2018). </w:t>
      </w:r>
      <w:r w:rsidR="009479B6" w:rsidRPr="00DD6966">
        <w:rPr>
          <w:szCs w:val="24"/>
          <w:lang w:val="en-US"/>
        </w:rPr>
        <w:t xml:space="preserve">Service Sector Performance: A Critical Review. IOP Conference Series: Materials Science and Engineering, 377. </w:t>
      </w:r>
      <w:hyperlink r:id="rId18" w:history="1">
        <w:r w:rsidR="00303410" w:rsidRPr="00EA00F1">
          <w:rPr>
            <w:rStyle w:val="Hipervnculo"/>
            <w:color w:val="0000BF" w:themeColor="hyperlink" w:themeShade="BF"/>
            <w:szCs w:val="24"/>
            <w:lang w:val="es-CR"/>
          </w:rPr>
          <w:t>https://doi.org/10.1088/1757-899X/377/1/012063</w:t>
        </w:r>
      </w:hyperlink>
    </w:p>
    <w:p w14:paraId="667FEE1C" w14:textId="77777777" w:rsidR="00303410" w:rsidRPr="00EA00F1" w:rsidRDefault="00303410" w:rsidP="007A4FE8">
      <w:pPr>
        <w:spacing w:after="0"/>
        <w:ind w:left="709" w:hanging="709"/>
        <w:jc w:val="both"/>
        <w:rPr>
          <w:color w:val="365F91" w:themeColor="accent1" w:themeShade="BF"/>
          <w:szCs w:val="24"/>
          <w:lang w:val="es-CR"/>
        </w:rPr>
      </w:pPr>
    </w:p>
    <w:p w14:paraId="484D2148" w14:textId="38EB4B34" w:rsidR="00366FC9" w:rsidRDefault="00366FC9" w:rsidP="00B36B1D">
      <w:pPr>
        <w:spacing w:after="0"/>
        <w:ind w:left="709" w:hanging="709"/>
        <w:jc w:val="both"/>
        <w:rPr>
          <w:color w:val="365F91" w:themeColor="accent1" w:themeShade="BF"/>
          <w:szCs w:val="24"/>
        </w:rPr>
      </w:pPr>
      <w:r w:rsidRPr="00DD6966">
        <w:rPr>
          <w:szCs w:val="24"/>
        </w:rPr>
        <w:t xml:space="preserve">Ministerio de Educación Pública [MEP]. (2014). </w:t>
      </w:r>
      <w:r w:rsidRPr="007A4FE8">
        <w:rPr>
          <w:i/>
          <w:szCs w:val="24"/>
        </w:rPr>
        <w:t xml:space="preserve">Estimaciones </w:t>
      </w:r>
      <w:r w:rsidRPr="00366FC9">
        <w:rPr>
          <w:i/>
          <w:szCs w:val="24"/>
        </w:rPr>
        <w:t xml:space="preserve">cantonales de las tasas brutas de escolaridad en el </w:t>
      </w:r>
      <w:r w:rsidRPr="007A4FE8">
        <w:rPr>
          <w:i/>
          <w:szCs w:val="24"/>
        </w:rPr>
        <w:t>Sistema Educativo Costarricense 2001-2014.</w:t>
      </w:r>
      <w:r w:rsidRPr="00DD6966">
        <w:rPr>
          <w:szCs w:val="24"/>
        </w:rPr>
        <w:t xml:space="preserve"> San José, Costa Rica. Recuperado de</w:t>
      </w:r>
      <w:r>
        <w:rPr>
          <w:szCs w:val="24"/>
        </w:rPr>
        <w:t xml:space="preserve"> </w:t>
      </w:r>
      <w:hyperlink r:id="rId19" w:history="1">
        <w:r w:rsidRPr="00366FC9">
          <w:rPr>
            <w:rStyle w:val="Hipervnculo"/>
            <w:szCs w:val="24"/>
          </w:rPr>
          <w:t xml:space="preserve">https://www.mep.go.cr/indicadores_edu/BOLETINES/01_16.pdf. </w:t>
        </w:r>
      </w:hyperlink>
    </w:p>
    <w:p w14:paraId="60541C45" w14:textId="77777777" w:rsidR="00366FC9" w:rsidRPr="00DD6966" w:rsidRDefault="00366FC9" w:rsidP="00B36B1D">
      <w:pPr>
        <w:spacing w:after="0"/>
        <w:ind w:left="709" w:hanging="709"/>
        <w:jc w:val="both"/>
        <w:rPr>
          <w:color w:val="365F91" w:themeColor="accent1" w:themeShade="BF"/>
          <w:szCs w:val="24"/>
        </w:rPr>
      </w:pPr>
    </w:p>
    <w:p w14:paraId="2A4CCB4D" w14:textId="35B0E621" w:rsidR="00B02CA1" w:rsidRPr="00DD6966" w:rsidRDefault="00B02CA1" w:rsidP="00B36B1D">
      <w:pPr>
        <w:spacing w:after="0"/>
        <w:ind w:left="709" w:hanging="709"/>
        <w:jc w:val="both"/>
        <w:rPr>
          <w:szCs w:val="24"/>
        </w:rPr>
      </w:pPr>
      <w:r w:rsidRPr="00DD6966">
        <w:rPr>
          <w:szCs w:val="24"/>
        </w:rPr>
        <w:t xml:space="preserve">Ministerio de Planificación Nacional y Política Económica [MIDEPLAN]. (2018). </w:t>
      </w:r>
      <w:r w:rsidRPr="007A4FE8">
        <w:rPr>
          <w:i/>
          <w:szCs w:val="24"/>
        </w:rPr>
        <w:t>Índice de desarrollo social 2017.</w:t>
      </w:r>
      <w:r w:rsidRPr="00DD6966">
        <w:rPr>
          <w:szCs w:val="24"/>
        </w:rPr>
        <w:t xml:space="preserve"> San José, Costa Rica.</w:t>
      </w:r>
      <w:r w:rsidR="000D59CA" w:rsidRPr="00DD6966">
        <w:rPr>
          <w:szCs w:val="24"/>
        </w:rPr>
        <w:t xml:space="preserve"> Recuperado de </w:t>
      </w:r>
      <w:hyperlink r:id="rId20" w:history="1">
        <w:r w:rsidR="00303410" w:rsidRPr="00DD6966">
          <w:rPr>
            <w:rStyle w:val="Hipervnculo"/>
            <w:rFonts w:cs="Times New Roman"/>
            <w:iCs/>
            <w:noProof/>
            <w:szCs w:val="24"/>
          </w:rPr>
          <w:t>http://www.conicit.go.cr/biblioteca/publicaciones/publica_cyt/informes/Indice_Desarrollo_Social_2017.pdf.</w:t>
        </w:r>
        <w:r w:rsidR="00303410" w:rsidRPr="00DD6966">
          <w:rPr>
            <w:rStyle w:val="Hipervnculo"/>
            <w:szCs w:val="24"/>
          </w:rPr>
          <w:t xml:space="preserve"> Consultado el 27/10/2019</w:t>
        </w:r>
      </w:hyperlink>
      <w:r w:rsidR="000D59CA" w:rsidRPr="00DD6966">
        <w:rPr>
          <w:szCs w:val="24"/>
        </w:rPr>
        <w:t>.</w:t>
      </w:r>
    </w:p>
    <w:p w14:paraId="441C2180" w14:textId="77777777" w:rsidR="00303410" w:rsidRPr="00DD6966" w:rsidRDefault="00303410" w:rsidP="007A4FE8">
      <w:pPr>
        <w:spacing w:after="0"/>
        <w:ind w:left="709" w:hanging="709"/>
        <w:jc w:val="both"/>
        <w:rPr>
          <w:szCs w:val="24"/>
        </w:rPr>
      </w:pPr>
    </w:p>
    <w:p w14:paraId="4AA8C9AE" w14:textId="77777777" w:rsidR="00303410" w:rsidRPr="00DD6966" w:rsidRDefault="00303410" w:rsidP="007A4FE8">
      <w:pPr>
        <w:spacing w:after="0"/>
        <w:ind w:left="709" w:hanging="709"/>
        <w:jc w:val="both"/>
        <w:rPr>
          <w:szCs w:val="24"/>
        </w:rPr>
      </w:pPr>
    </w:p>
    <w:p w14:paraId="768A9779" w14:textId="77777777" w:rsidR="00366FC9" w:rsidRPr="00DD6966" w:rsidRDefault="00366FC9" w:rsidP="00B36B1D">
      <w:pPr>
        <w:spacing w:after="0"/>
        <w:ind w:left="709" w:hanging="709"/>
        <w:jc w:val="both"/>
        <w:rPr>
          <w:rStyle w:val="Hipervnculo"/>
          <w:szCs w:val="24"/>
        </w:rPr>
      </w:pPr>
      <w:r w:rsidRPr="00DD6966">
        <w:rPr>
          <w:szCs w:val="24"/>
        </w:rPr>
        <w:t>Mora, D. (s.</w:t>
      </w:r>
      <w:r>
        <w:rPr>
          <w:szCs w:val="24"/>
        </w:rPr>
        <w:t xml:space="preserve"> </w:t>
      </w:r>
      <w:r w:rsidRPr="00DD6966">
        <w:rPr>
          <w:szCs w:val="24"/>
        </w:rPr>
        <w:t>f)</w:t>
      </w:r>
      <w:r>
        <w:rPr>
          <w:szCs w:val="24"/>
        </w:rPr>
        <w:t>.</w:t>
      </w:r>
      <w:r w:rsidRPr="00DD6966">
        <w:rPr>
          <w:szCs w:val="24"/>
        </w:rPr>
        <w:t xml:space="preserve"> </w:t>
      </w:r>
      <w:r w:rsidRPr="00122E54">
        <w:rPr>
          <w:i/>
          <w:szCs w:val="24"/>
        </w:rPr>
        <w:t>Desigualdades por cantones en el acceso a agua para consumo humano en Costa Rica 2006</w:t>
      </w:r>
      <w:r w:rsidRPr="00DD6966">
        <w:rPr>
          <w:szCs w:val="24"/>
        </w:rPr>
        <w:t xml:space="preserve">. Recuperado de </w:t>
      </w:r>
      <w:hyperlink r:id="rId21" w:history="1">
        <w:r w:rsidRPr="00DD6966">
          <w:rPr>
            <w:rStyle w:val="Hipervnculo"/>
            <w:szCs w:val="24"/>
          </w:rPr>
          <w:t>https://www.bvs.sa.cr/AMBIENTE/textos/ambiente13.pdf</w:t>
        </w:r>
      </w:hyperlink>
    </w:p>
    <w:p w14:paraId="1FD41593" w14:textId="77777777" w:rsidR="00366FC9" w:rsidRDefault="00366FC9" w:rsidP="00B36B1D">
      <w:pPr>
        <w:spacing w:after="0"/>
        <w:ind w:left="709" w:hanging="709"/>
        <w:jc w:val="both"/>
        <w:rPr>
          <w:szCs w:val="24"/>
        </w:rPr>
      </w:pPr>
    </w:p>
    <w:p w14:paraId="74A61BA4" w14:textId="5E794A77" w:rsidR="009479B6" w:rsidRPr="00DD6966" w:rsidRDefault="0075649E" w:rsidP="00B36B1D">
      <w:pPr>
        <w:spacing w:after="0"/>
        <w:ind w:left="709" w:hanging="709"/>
        <w:jc w:val="both"/>
        <w:rPr>
          <w:szCs w:val="24"/>
        </w:rPr>
      </w:pPr>
      <w:r w:rsidRPr="00DD6966">
        <w:rPr>
          <w:szCs w:val="24"/>
        </w:rPr>
        <w:t>Mora, D., y</w:t>
      </w:r>
      <w:r w:rsidR="009479B6" w:rsidRPr="00DD6966">
        <w:rPr>
          <w:szCs w:val="24"/>
        </w:rPr>
        <w:t xml:space="preserve"> </w:t>
      </w:r>
      <w:proofErr w:type="spellStart"/>
      <w:r w:rsidR="009479B6" w:rsidRPr="00DD6966">
        <w:rPr>
          <w:szCs w:val="24"/>
        </w:rPr>
        <w:t>Portuguez</w:t>
      </w:r>
      <w:proofErr w:type="spellEnd"/>
      <w:r w:rsidR="009479B6" w:rsidRPr="00DD6966">
        <w:rPr>
          <w:szCs w:val="24"/>
        </w:rPr>
        <w:t xml:space="preserve"> B., C. F. (2019). </w:t>
      </w:r>
      <w:r w:rsidR="009479B6" w:rsidRPr="007A4FE8">
        <w:rPr>
          <w:i/>
          <w:szCs w:val="24"/>
        </w:rPr>
        <w:t xml:space="preserve">Agua para </w:t>
      </w:r>
      <w:r w:rsidR="003B0246" w:rsidRPr="007A4FE8">
        <w:rPr>
          <w:i/>
          <w:szCs w:val="24"/>
        </w:rPr>
        <w:t>consumos humanos por provincias y saneamiento por regiones manejados</w:t>
      </w:r>
      <w:r w:rsidR="009479B6" w:rsidRPr="007A4FE8">
        <w:rPr>
          <w:i/>
          <w:szCs w:val="24"/>
        </w:rPr>
        <w:t xml:space="preserve"> en forma segura en zonas urbanas y rurales de Costa Rica al 2018.</w:t>
      </w:r>
      <w:r w:rsidR="009479B6" w:rsidRPr="00DD6966">
        <w:rPr>
          <w:szCs w:val="24"/>
        </w:rPr>
        <w:t xml:space="preserve"> San José, Costa Rica</w:t>
      </w:r>
      <w:r w:rsidR="00366FC9">
        <w:rPr>
          <w:szCs w:val="24"/>
        </w:rPr>
        <w:t>: Editorial o dónde se publicó</w:t>
      </w:r>
    </w:p>
    <w:p w14:paraId="484E012F" w14:textId="77777777" w:rsidR="00303410" w:rsidRPr="00DD6966" w:rsidRDefault="00303410" w:rsidP="007A4FE8">
      <w:pPr>
        <w:spacing w:after="0"/>
        <w:ind w:left="709" w:hanging="709"/>
        <w:jc w:val="both"/>
        <w:rPr>
          <w:szCs w:val="24"/>
        </w:rPr>
      </w:pPr>
    </w:p>
    <w:p w14:paraId="73905445" w14:textId="77777777" w:rsidR="00303410" w:rsidRPr="00DD6966" w:rsidRDefault="00303410" w:rsidP="007A4FE8">
      <w:pPr>
        <w:spacing w:after="0"/>
        <w:ind w:left="709" w:hanging="709"/>
        <w:jc w:val="both"/>
        <w:rPr>
          <w:szCs w:val="24"/>
        </w:rPr>
      </w:pPr>
    </w:p>
    <w:p w14:paraId="237F55BF" w14:textId="3DC3EEB8" w:rsidR="009479B6" w:rsidRPr="00DD6966" w:rsidRDefault="0075649E" w:rsidP="007A4FE8">
      <w:pPr>
        <w:spacing w:after="0"/>
        <w:ind w:left="709" w:hanging="709"/>
        <w:jc w:val="both"/>
        <w:rPr>
          <w:color w:val="365F91" w:themeColor="accent1" w:themeShade="BF"/>
          <w:szCs w:val="24"/>
          <w:lang w:val="en-US"/>
        </w:rPr>
      </w:pPr>
      <w:proofErr w:type="spellStart"/>
      <w:r w:rsidRPr="00DD6966">
        <w:rPr>
          <w:szCs w:val="24"/>
        </w:rPr>
        <w:t>Mukokoma</w:t>
      </w:r>
      <w:proofErr w:type="spellEnd"/>
      <w:r w:rsidRPr="00DD6966">
        <w:rPr>
          <w:szCs w:val="24"/>
        </w:rPr>
        <w:t>, M. M. N., y</w:t>
      </w:r>
      <w:r w:rsidR="009479B6" w:rsidRPr="00DD6966">
        <w:rPr>
          <w:szCs w:val="24"/>
        </w:rPr>
        <w:t xml:space="preserve"> van Dijk, M. P. (2011). </w:t>
      </w:r>
      <w:r w:rsidR="009479B6" w:rsidRPr="00DD6966">
        <w:rPr>
          <w:szCs w:val="24"/>
          <w:lang w:val="en-US"/>
        </w:rPr>
        <w:t xml:space="preserve">An assessment of the urban water service delivery quality gap in Uganda and Tanzania: Taping the customer’s voice in water service delivery. </w:t>
      </w:r>
      <w:r w:rsidR="009479B6" w:rsidRPr="007A4FE8">
        <w:rPr>
          <w:i/>
          <w:szCs w:val="24"/>
          <w:lang w:val="en-US"/>
        </w:rPr>
        <w:t>WIT Transactions on Ecology and the Environment</w:t>
      </w:r>
      <w:r w:rsidR="009479B6" w:rsidRPr="00DD6966">
        <w:rPr>
          <w:szCs w:val="24"/>
          <w:lang w:val="en-US"/>
        </w:rPr>
        <w:t xml:space="preserve">, 145, 349–359. </w:t>
      </w:r>
      <w:hyperlink r:id="rId22" w:history="1">
        <w:r w:rsidR="00303410" w:rsidRPr="00DD6966">
          <w:rPr>
            <w:rStyle w:val="Hipervnculo"/>
            <w:color w:val="0000BF" w:themeColor="hyperlink" w:themeShade="BF"/>
            <w:szCs w:val="24"/>
            <w:lang w:val="en-US"/>
          </w:rPr>
          <w:t>https://doi.org/10.2495/WRM110301</w:t>
        </w:r>
      </w:hyperlink>
    </w:p>
    <w:p w14:paraId="02FDC000" w14:textId="77777777" w:rsidR="00303410" w:rsidRPr="00DD6966" w:rsidRDefault="00303410" w:rsidP="007A4FE8">
      <w:pPr>
        <w:spacing w:after="0"/>
        <w:ind w:left="709" w:hanging="709"/>
        <w:jc w:val="both"/>
        <w:rPr>
          <w:szCs w:val="24"/>
          <w:lang w:val="en-US"/>
        </w:rPr>
      </w:pPr>
    </w:p>
    <w:p w14:paraId="67093AE7" w14:textId="525BCEC3" w:rsidR="009479B6" w:rsidRPr="00DD6966" w:rsidRDefault="0006471D" w:rsidP="007A4FE8">
      <w:pPr>
        <w:widowControl w:val="0"/>
        <w:autoSpaceDE w:val="0"/>
        <w:autoSpaceDN w:val="0"/>
        <w:adjustRightInd w:val="0"/>
        <w:spacing w:after="0"/>
        <w:ind w:left="480" w:hanging="480"/>
        <w:jc w:val="both"/>
        <w:rPr>
          <w:rFonts w:cs="Times New Roman"/>
          <w:iCs/>
          <w:noProof/>
          <w:szCs w:val="24"/>
        </w:rPr>
      </w:pPr>
      <w:r w:rsidRPr="00DD6966">
        <w:rPr>
          <w:szCs w:val="24"/>
        </w:rPr>
        <w:t>Organización de las Naciones Unidas [ONU].</w:t>
      </w:r>
      <w:r w:rsidR="009479B6" w:rsidRPr="00DD6966">
        <w:rPr>
          <w:rFonts w:cs="Times New Roman"/>
          <w:iCs/>
          <w:noProof/>
          <w:szCs w:val="24"/>
        </w:rPr>
        <w:t xml:space="preserve"> (2015)</w:t>
      </w:r>
      <w:r w:rsidRPr="00DD6966">
        <w:rPr>
          <w:rFonts w:cs="Times New Roman"/>
          <w:iCs/>
          <w:noProof/>
          <w:szCs w:val="24"/>
        </w:rPr>
        <w:t>.</w:t>
      </w:r>
      <w:r w:rsidR="009479B6" w:rsidRPr="00DD6966">
        <w:rPr>
          <w:rFonts w:cs="Times New Roman"/>
          <w:iCs/>
          <w:noProof/>
          <w:szCs w:val="24"/>
        </w:rPr>
        <w:t xml:space="preserve"> </w:t>
      </w:r>
      <w:r w:rsidR="009479B6" w:rsidRPr="007A4FE8">
        <w:rPr>
          <w:rFonts w:cs="Times New Roman"/>
          <w:i/>
          <w:iCs/>
          <w:noProof/>
          <w:szCs w:val="24"/>
        </w:rPr>
        <w:t xml:space="preserve">Objetivos y metas de </w:t>
      </w:r>
      <w:r w:rsidR="00366FC9" w:rsidRPr="007A4FE8">
        <w:rPr>
          <w:rFonts w:cs="Times New Roman"/>
          <w:i/>
          <w:iCs/>
          <w:noProof/>
          <w:szCs w:val="24"/>
        </w:rPr>
        <w:t>d</w:t>
      </w:r>
      <w:r w:rsidR="009479B6" w:rsidRPr="007A4FE8">
        <w:rPr>
          <w:rFonts w:cs="Times New Roman"/>
          <w:i/>
          <w:iCs/>
          <w:noProof/>
          <w:szCs w:val="24"/>
        </w:rPr>
        <w:t xml:space="preserve">esarrollo </w:t>
      </w:r>
      <w:r w:rsidR="00366FC9" w:rsidRPr="007A4FE8">
        <w:rPr>
          <w:rFonts w:cs="Times New Roman"/>
          <w:i/>
          <w:iCs/>
          <w:noProof/>
          <w:szCs w:val="24"/>
        </w:rPr>
        <w:t>s</w:t>
      </w:r>
      <w:r w:rsidR="009479B6" w:rsidRPr="007A4FE8">
        <w:rPr>
          <w:rFonts w:cs="Times New Roman"/>
          <w:i/>
          <w:iCs/>
          <w:noProof/>
          <w:szCs w:val="24"/>
        </w:rPr>
        <w:t>ostenible.</w:t>
      </w:r>
      <w:r w:rsidR="009479B6" w:rsidRPr="00DD6966">
        <w:rPr>
          <w:rFonts w:cs="Times New Roman"/>
          <w:iCs/>
          <w:noProof/>
          <w:szCs w:val="24"/>
        </w:rPr>
        <w:t xml:space="preserve">  Recuperado de: </w:t>
      </w:r>
      <w:hyperlink r:id="rId23" w:history="1">
        <w:r w:rsidR="009479B6" w:rsidRPr="00DD6966">
          <w:rPr>
            <w:iCs/>
            <w:noProof/>
            <w:szCs w:val="24"/>
          </w:rPr>
          <w:t>https://www.un.org/sustainabledevelopment/es/objetivos-de-desarrollo-sostenible/</w:t>
        </w:r>
      </w:hyperlink>
      <w:r w:rsidR="009479B6" w:rsidRPr="00DD6966">
        <w:rPr>
          <w:rFonts w:cs="Times New Roman"/>
          <w:iCs/>
          <w:noProof/>
          <w:szCs w:val="24"/>
        </w:rPr>
        <w:t xml:space="preserve"> </w:t>
      </w:r>
    </w:p>
    <w:p w14:paraId="2BD22E37" w14:textId="77777777" w:rsidR="00AC2C5A" w:rsidRPr="00DD6966" w:rsidRDefault="00AC2C5A" w:rsidP="007A4FE8">
      <w:pPr>
        <w:widowControl w:val="0"/>
        <w:autoSpaceDE w:val="0"/>
        <w:autoSpaceDN w:val="0"/>
        <w:adjustRightInd w:val="0"/>
        <w:spacing w:after="0"/>
        <w:ind w:left="480" w:hanging="480"/>
        <w:jc w:val="both"/>
        <w:rPr>
          <w:rFonts w:cs="Times New Roman"/>
          <w:iCs/>
          <w:noProof/>
          <w:szCs w:val="24"/>
        </w:rPr>
      </w:pPr>
    </w:p>
    <w:p w14:paraId="6825AACC" w14:textId="27CFC0B4" w:rsidR="009479B6" w:rsidRPr="00DD6966" w:rsidRDefault="0006471D" w:rsidP="007A4FE8">
      <w:pPr>
        <w:spacing w:after="0"/>
        <w:ind w:left="709" w:hanging="709"/>
        <w:jc w:val="both"/>
        <w:rPr>
          <w:color w:val="365F91" w:themeColor="accent1" w:themeShade="BF"/>
          <w:szCs w:val="24"/>
        </w:rPr>
      </w:pPr>
      <w:r w:rsidRPr="00DD6966">
        <w:rPr>
          <w:szCs w:val="24"/>
        </w:rPr>
        <w:t>Organización Mundial de la Salud [OMS]</w:t>
      </w:r>
      <w:r w:rsidR="009479B6" w:rsidRPr="00DD6966">
        <w:rPr>
          <w:szCs w:val="24"/>
        </w:rPr>
        <w:t xml:space="preserve">. </w:t>
      </w:r>
      <w:r w:rsidR="009479B6" w:rsidRPr="00DD6966">
        <w:rPr>
          <w:szCs w:val="24"/>
          <w:lang w:val="en-US"/>
        </w:rPr>
        <w:t xml:space="preserve">(2017). </w:t>
      </w:r>
      <w:r w:rsidR="009479B6" w:rsidRPr="007A4FE8">
        <w:rPr>
          <w:i/>
          <w:szCs w:val="24"/>
          <w:lang w:val="en-US"/>
        </w:rPr>
        <w:t>Guidelines for Drinking-water Quality</w:t>
      </w:r>
      <w:r w:rsidR="009479B6" w:rsidRPr="00DD6966">
        <w:rPr>
          <w:szCs w:val="24"/>
          <w:lang w:val="en-US"/>
        </w:rPr>
        <w:t xml:space="preserve"> (4</w:t>
      </w:r>
      <w:r w:rsidR="009479B6" w:rsidRPr="007A4FE8">
        <w:rPr>
          <w:szCs w:val="24"/>
          <w:vertAlign w:val="superscript"/>
          <w:lang w:val="en-US"/>
        </w:rPr>
        <w:t>ta</w:t>
      </w:r>
      <w:r w:rsidR="009479B6" w:rsidRPr="00DD6966">
        <w:rPr>
          <w:szCs w:val="24"/>
          <w:lang w:val="en-US"/>
        </w:rPr>
        <w:t xml:space="preserve"> ed.). </w:t>
      </w:r>
      <w:r w:rsidR="009479B6" w:rsidRPr="00DD6966">
        <w:rPr>
          <w:szCs w:val="24"/>
        </w:rPr>
        <w:t xml:space="preserve">Ginebra, Suiza: Organización Mundial de la Salud. </w:t>
      </w:r>
      <w:hyperlink r:id="rId24" w:history="1">
        <w:r w:rsidR="00AC2C5A" w:rsidRPr="00DD6966">
          <w:rPr>
            <w:rStyle w:val="Hipervnculo"/>
            <w:color w:val="0000BF" w:themeColor="hyperlink" w:themeShade="BF"/>
            <w:szCs w:val="24"/>
          </w:rPr>
          <w:t>https://doi.org/10.1016/S1462-0758(00)00006-6</w:t>
        </w:r>
      </w:hyperlink>
    </w:p>
    <w:p w14:paraId="3943BE03" w14:textId="77777777" w:rsidR="00AC2C5A" w:rsidRPr="00DD6966" w:rsidRDefault="00AC2C5A" w:rsidP="007A4FE8">
      <w:pPr>
        <w:spacing w:after="0"/>
        <w:ind w:left="709" w:hanging="709"/>
        <w:jc w:val="both"/>
        <w:rPr>
          <w:color w:val="365F91" w:themeColor="accent1" w:themeShade="BF"/>
          <w:szCs w:val="24"/>
        </w:rPr>
      </w:pPr>
    </w:p>
    <w:p w14:paraId="0816501F" w14:textId="2717F592" w:rsidR="009479B6" w:rsidRPr="007A4FE8" w:rsidRDefault="0006471D" w:rsidP="007A4FE8">
      <w:pPr>
        <w:spacing w:after="0"/>
        <w:ind w:left="709" w:hanging="709"/>
        <w:jc w:val="both"/>
        <w:rPr>
          <w:rFonts w:cs="Times New Roman"/>
          <w:szCs w:val="24"/>
        </w:rPr>
      </w:pPr>
      <w:r w:rsidRPr="00DD6966">
        <w:rPr>
          <w:szCs w:val="24"/>
        </w:rPr>
        <w:t xml:space="preserve">Organización </w:t>
      </w:r>
      <w:r w:rsidRPr="007A4FE8">
        <w:rPr>
          <w:rFonts w:cs="Times New Roman"/>
          <w:szCs w:val="24"/>
        </w:rPr>
        <w:t>de las Naciones Unidas [</w:t>
      </w:r>
      <w:r w:rsidR="0075649E" w:rsidRPr="007A4FE8">
        <w:rPr>
          <w:rFonts w:cs="Times New Roman"/>
          <w:szCs w:val="24"/>
        </w:rPr>
        <w:t>ONU</w:t>
      </w:r>
      <w:r w:rsidRPr="007A4FE8">
        <w:rPr>
          <w:rFonts w:cs="Times New Roman"/>
          <w:szCs w:val="24"/>
        </w:rPr>
        <w:t>]</w:t>
      </w:r>
      <w:r w:rsidR="009479B6" w:rsidRPr="007A4FE8">
        <w:rPr>
          <w:rFonts w:cs="Times New Roman"/>
          <w:szCs w:val="24"/>
        </w:rPr>
        <w:t xml:space="preserve">. (2010). </w:t>
      </w:r>
      <w:r w:rsidR="009479B6" w:rsidRPr="007A4FE8">
        <w:rPr>
          <w:rFonts w:cs="Times New Roman"/>
          <w:i/>
          <w:szCs w:val="24"/>
        </w:rPr>
        <w:t xml:space="preserve">El </w:t>
      </w:r>
      <w:r w:rsidR="00366FC9" w:rsidRPr="007A4FE8">
        <w:rPr>
          <w:rFonts w:cs="Times New Roman"/>
          <w:i/>
          <w:szCs w:val="24"/>
        </w:rPr>
        <w:t>derecho al agua</w:t>
      </w:r>
      <w:r w:rsidR="00366FC9" w:rsidRPr="007A4FE8">
        <w:rPr>
          <w:rFonts w:cs="Times New Roman"/>
          <w:szCs w:val="24"/>
        </w:rPr>
        <w:t xml:space="preserve"> </w:t>
      </w:r>
      <w:r w:rsidR="00366FC9" w:rsidRPr="007A4FE8">
        <w:rPr>
          <w:rFonts w:cs="Times New Roman"/>
          <w:szCs w:val="24"/>
        </w:rPr>
        <w:t>(</w:t>
      </w:r>
      <w:r w:rsidR="009479B6" w:rsidRPr="007A4FE8">
        <w:rPr>
          <w:rFonts w:cs="Times New Roman"/>
          <w:szCs w:val="24"/>
        </w:rPr>
        <w:t>Folleto informativo n. 35</w:t>
      </w:r>
      <w:r w:rsidR="00366FC9" w:rsidRPr="007A4FE8">
        <w:rPr>
          <w:rFonts w:cs="Times New Roman"/>
          <w:szCs w:val="24"/>
        </w:rPr>
        <w:t>)</w:t>
      </w:r>
      <w:r w:rsidR="009479B6" w:rsidRPr="007A4FE8">
        <w:rPr>
          <w:rFonts w:cs="Times New Roman"/>
          <w:szCs w:val="24"/>
        </w:rPr>
        <w:t>. Ginebra, Suiza.</w:t>
      </w:r>
      <w:r w:rsidR="005F2F4D" w:rsidRPr="007A4FE8">
        <w:rPr>
          <w:rFonts w:cs="Times New Roman"/>
          <w:szCs w:val="24"/>
        </w:rPr>
        <w:t xml:space="preserve"> </w:t>
      </w:r>
      <w:hyperlink r:id="rId25" w:tgtFrame="_blank" w:history="1">
        <w:r w:rsidR="005F2F4D" w:rsidRPr="007A4FE8">
          <w:rPr>
            <w:rStyle w:val="Hipervnculo"/>
            <w:rFonts w:cs="Times New Roman"/>
            <w:szCs w:val="24"/>
          </w:rPr>
          <w:t>https://doi.org/10.18356/a06d92be-es</w:t>
        </w:r>
      </w:hyperlink>
    </w:p>
    <w:p w14:paraId="68207FAC" w14:textId="77777777" w:rsidR="00AC2C5A" w:rsidRPr="007A4FE8" w:rsidRDefault="00AC2C5A" w:rsidP="007A4FE8">
      <w:pPr>
        <w:spacing w:after="0"/>
        <w:ind w:left="709" w:hanging="709"/>
        <w:jc w:val="both"/>
        <w:rPr>
          <w:rFonts w:cs="Times New Roman"/>
          <w:szCs w:val="24"/>
        </w:rPr>
      </w:pPr>
    </w:p>
    <w:p w14:paraId="5B0C59FA" w14:textId="5D1C1855" w:rsidR="009479B6" w:rsidRPr="00DD6966" w:rsidRDefault="0075649E" w:rsidP="007A4FE8">
      <w:pPr>
        <w:spacing w:after="0"/>
        <w:ind w:left="709" w:hanging="709"/>
        <w:jc w:val="both"/>
        <w:rPr>
          <w:color w:val="365F91" w:themeColor="accent1" w:themeShade="BF"/>
          <w:szCs w:val="24"/>
        </w:rPr>
      </w:pPr>
      <w:r w:rsidRPr="00DD6966">
        <w:rPr>
          <w:szCs w:val="24"/>
        </w:rPr>
        <w:t>Ortega, M., y Márquez</w:t>
      </w:r>
      <w:r w:rsidR="009479B6" w:rsidRPr="00DD6966">
        <w:rPr>
          <w:szCs w:val="24"/>
        </w:rPr>
        <w:t xml:space="preserve">, O. (2017). Percepción social del servicio de agua potable en el municipio de Xalapa, Veracruz. </w:t>
      </w:r>
      <w:r w:rsidR="009479B6" w:rsidRPr="007A4FE8">
        <w:rPr>
          <w:i/>
          <w:szCs w:val="24"/>
        </w:rPr>
        <w:t>Revista Mexicana de Opinión Pública, 23</w:t>
      </w:r>
      <w:r w:rsidR="009479B6" w:rsidRPr="00DD6966">
        <w:rPr>
          <w:szCs w:val="24"/>
        </w:rPr>
        <w:t xml:space="preserve">(2), 41–59. </w:t>
      </w:r>
      <w:hyperlink r:id="rId26" w:history="1">
        <w:r w:rsidR="00AC2C5A" w:rsidRPr="00DD6966">
          <w:rPr>
            <w:rStyle w:val="Hipervnculo"/>
            <w:color w:val="0000BF" w:themeColor="hyperlink" w:themeShade="BF"/>
            <w:szCs w:val="24"/>
          </w:rPr>
          <w:t>https://doi.org/10.22201/fcpys.24484911e.2017.23.58515</w:t>
        </w:r>
      </w:hyperlink>
    </w:p>
    <w:p w14:paraId="41CED1DC" w14:textId="77777777" w:rsidR="00AC2C5A" w:rsidRPr="00DD6966" w:rsidRDefault="00AC2C5A" w:rsidP="007A4FE8">
      <w:pPr>
        <w:spacing w:after="0"/>
        <w:ind w:left="709" w:hanging="709"/>
        <w:jc w:val="both"/>
        <w:rPr>
          <w:szCs w:val="24"/>
        </w:rPr>
      </w:pPr>
    </w:p>
    <w:p w14:paraId="03E4A5D0" w14:textId="5D3496A3" w:rsidR="009479B6" w:rsidRPr="00DD6966" w:rsidRDefault="009479B6" w:rsidP="007A4FE8">
      <w:pPr>
        <w:spacing w:after="0"/>
        <w:ind w:left="709" w:hanging="709"/>
        <w:jc w:val="both"/>
        <w:rPr>
          <w:color w:val="365F91" w:themeColor="accent1" w:themeShade="BF"/>
          <w:szCs w:val="24"/>
        </w:rPr>
      </w:pPr>
      <w:r w:rsidRPr="00DD6966">
        <w:rPr>
          <w:szCs w:val="24"/>
        </w:rPr>
        <w:t>Soto-Córdob</w:t>
      </w:r>
      <w:r w:rsidR="0075649E" w:rsidRPr="00DD6966">
        <w:rPr>
          <w:szCs w:val="24"/>
        </w:rPr>
        <w:t>a, S. M., Gaviria-Montoya, L., y</w:t>
      </w:r>
      <w:r w:rsidRPr="00DD6966">
        <w:rPr>
          <w:szCs w:val="24"/>
        </w:rPr>
        <w:t xml:space="preserve"> Pino-Gómez, M. (2016). Situación de la gestión del agua potable en las zonas rurales de la provincia de Cartago, Costa Rica. </w:t>
      </w:r>
      <w:r w:rsidRPr="007A4FE8">
        <w:rPr>
          <w:i/>
          <w:szCs w:val="24"/>
        </w:rPr>
        <w:t xml:space="preserve">Revista Tecnología </w:t>
      </w:r>
      <w:r w:rsidR="00366FC9">
        <w:rPr>
          <w:i/>
          <w:szCs w:val="24"/>
        </w:rPr>
        <w:t>e</w:t>
      </w:r>
      <w:r w:rsidRPr="007A4FE8">
        <w:rPr>
          <w:i/>
          <w:szCs w:val="24"/>
        </w:rPr>
        <w:t>n Marcha, 29</w:t>
      </w:r>
      <w:r w:rsidRPr="00DD6966">
        <w:rPr>
          <w:szCs w:val="24"/>
        </w:rPr>
        <w:t xml:space="preserve">(8), 67–76. </w:t>
      </w:r>
      <w:hyperlink r:id="rId27" w:history="1">
        <w:r w:rsidR="00AC2C5A" w:rsidRPr="00DD6966">
          <w:rPr>
            <w:rStyle w:val="Hipervnculo"/>
            <w:color w:val="0000BF" w:themeColor="hyperlink" w:themeShade="BF"/>
            <w:szCs w:val="24"/>
          </w:rPr>
          <w:t>https://doi.org/10.18845/tm.v29i8.2986</w:t>
        </w:r>
      </w:hyperlink>
    </w:p>
    <w:p w14:paraId="7D1ADA70" w14:textId="77777777" w:rsidR="00AC2C5A" w:rsidRPr="00DD6966" w:rsidRDefault="00AC2C5A" w:rsidP="007A4FE8">
      <w:pPr>
        <w:spacing w:after="0"/>
        <w:ind w:left="709" w:hanging="709"/>
        <w:jc w:val="both"/>
        <w:rPr>
          <w:szCs w:val="24"/>
        </w:rPr>
      </w:pPr>
    </w:p>
    <w:p w14:paraId="75B9D5CE" w14:textId="5C248080" w:rsidR="009479B6" w:rsidRPr="00DD6966" w:rsidRDefault="0075649E" w:rsidP="007A4FE8">
      <w:pPr>
        <w:spacing w:after="0"/>
        <w:ind w:left="709" w:hanging="709"/>
        <w:jc w:val="both"/>
        <w:rPr>
          <w:color w:val="365F91" w:themeColor="accent1" w:themeShade="BF"/>
          <w:szCs w:val="24"/>
          <w:lang w:val="en-US"/>
        </w:rPr>
      </w:pPr>
      <w:r w:rsidRPr="00DD6966">
        <w:rPr>
          <w:szCs w:val="24"/>
        </w:rPr>
        <w:t>Talib, F., Rahman, Z., y</w:t>
      </w:r>
      <w:r w:rsidR="009479B6" w:rsidRPr="00DD6966">
        <w:rPr>
          <w:szCs w:val="24"/>
        </w:rPr>
        <w:t xml:space="preserve"> </w:t>
      </w:r>
      <w:proofErr w:type="spellStart"/>
      <w:r w:rsidR="009479B6" w:rsidRPr="00DD6966">
        <w:rPr>
          <w:szCs w:val="24"/>
        </w:rPr>
        <w:t>Qureshi</w:t>
      </w:r>
      <w:proofErr w:type="spellEnd"/>
      <w:r w:rsidR="009479B6" w:rsidRPr="00DD6966">
        <w:rPr>
          <w:szCs w:val="24"/>
        </w:rPr>
        <w:t xml:space="preserve">, M. N. (2012). </w:t>
      </w:r>
      <w:r w:rsidR="009479B6" w:rsidRPr="00DD6966">
        <w:rPr>
          <w:szCs w:val="24"/>
          <w:lang w:val="en-US"/>
        </w:rPr>
        <w:t xml:space="preserve">Total quality management in service sector: a literature review. </w:t>
      </w:r>
      <w:r w:rsidR="009479B6" w:rsidRPr="007A4FE8">
        <w:rPr>
          <w:i/>
          <w:szCs w:val="24"/>
          <w:lang w:val="en-US"/>
        </w:rPr>
        <w:t>International Journal of Business Innovation and Research, 6</w:t>
      </w:r>
      <w:r w:rsidR="009479B6" w:rsidRPr="00DD6966">
        <w:rPr>
          <w:szCs w:val="24"/>
          <w:lang w:val="en-US"/>
        </w:rPr>
        <w:t xml:space="preserve">(3), 259. </w:t>
      </w:r>
      <w:hyperlink r:id="rId28" w:history="1">
        <w:r w:rsidR="00AC2C5A" w:rsidRPr="00DD6966">
          <w:rPr>
            <w:rStyle w:val="Hipervnculo"/>
            <w:color w:val="0000BF" w:themeColor="hyperlink" w:themeShade="BF"/>
            <w:szCs w:val="24"/>
            <w:lang w:val="en-US"/>
          </w:rPr>
          <w:t>https://doi.org/10.1504/ijbir.2012.046628</w:t>
        </w:r>
      </w:hyperlink>
    </w:p>
    <w:p w14:paraId="4AFBD84B" w14:textId="77777777" w:rsidR="00AC2C5A" w:rsidRPr="00DD6966" w:rsidRDefault="00AC2C5A" w:rsidP="007A4FE8">
      <w:pPr>
        <w:spacing w:after="0"/>
        <w:ind w:left="709" w:hanging="709"/>
        <w:jc w:val="both"/>
        <w:rPr>
          <w:szCs w:val="24"/>
          <w:lang w:val="en-US"/>
        </w:rPr>
      </w:pPr>
    </w:p>
    <w:p w14:paraId="7F629C6B" w14:textId="7BE8BD3A" w:rsidR="00AC2C5A" w:rsidRPr="00DD6966" w:rsidRDefault="0006471D" w:rsidP="007A4FE8">
      <w:pPr>
        <w:widowControl w:val="0"/>
        <w:autoSpaceDE w:val="0"/>
        <w:autoSpaceDN w:val="0"/>
        <w:adjustRightInd w:val="0"/>
        <w:spacing w:after="0"/>
        <w:ind w:left="480" w:hanging="480"/>
        <w:jc w:val="both"/>
        <w:rPr>
          <w:rFonts w:cs="Times New Roman"/>
          <w:iCs/>
          <w:noProof/>
          <w:szCs w:val="24"/>
        </w:rPr>
      </w:pPr>
      <w:r w:rsidRPr="00DD6966">
        <w:rPr>
          <w:rFonts w:cs="Times New Roman"/>
          <w:iCs/>
          <w:noProof/>
          <w:szCs w:val="24"/>
        </w:rPr>
        <w:t xml:space="preserve">Trabajo Comunal Universitario [TCU] de la Universidad de Costa Rica [UCR]. </w:t>
      </w:r>
      <w:r w:rsidR="009479B6" w:rsidRPr="00DD6966">
        <w:rPr>
          <w:rFonts w:cs="Times New Roman"/>
          <w:iCs/>
          <w:noProof/>
          <w:szCs w:val="24"/>
        </w:rPr>
        <w:t>(2016</w:t>
      </w:r>
      <w:r w:rsidR="00366FC9">
        <w:rPr>
          <w:rFonts w:cs="Times New Roman"/>
          <w:iCs/>
          <w:noProof/>
          <w:szCs w:val="24"/>
        </w:rPr>
        <w:t>a</w:t>
      </w:r>
      <w:r w:rsidR="009479B6" w:rsidRPr="00DD6966">
        <w:rPr>
          <w:rFonts w:cs="Times New Roman"/>
          <w:iCs/>
          <w:noProof/>
          <w:szCs w:val="24"/>
        </w:rPr>
        <w:t>)</w:t>
      </w:r>
      <w:r w:rsidRPr="00DD6966">
        <w:rPr>
          <w:rFonts w:cs="Times New Roman"/>
          <w:iCs/>
          <w:noProof/>
          <w:szCs w:val="24"/>
        </w:rPr>
        <w:t>.</w:t>
      </w:r>
      <w:r w:rsidR="009479B6" w:rsidRPr="00DD6966">
        <w:rPr>
          <w:rFonts w:cs="Times New Roman"/>
          <w:iCs/>
          <w:noProof/>
          <w:szCs w:val="24"/>
        </w:rPr>
        <w:t xml:space="preserve"> </w:t>
      </w:r>
      <w:r w:rsidR="009479B6" w:rsidRPr="007A4FE8">
        <w:rPr>
          <w:rFonts w:cs="Times New Roman"/>
          <w:i/>
          <w:iCs/>
          <w:noProof/>
          <w:szCs w:val="24"/>
        </w:rPr>
        <w:t xml:space="preserve">Informe de </w:t>
      </w:r>
      <w:r w:rsidR="00366FC9" w:rsidRPr="007A4FE8">
        <w:rPr>
          <w:rFonts w:cs="Times New Roman"/>
          <w:i/>
          <w:iCs/>
          <w:noProof/>
          <w:szCs w:val="24"/>
        </w:rPr>
        <w:t xml:space="preserve">diagnóstico de necesidades ambientales de la </w:t>
      </w:r>
      <w:r w:rsidR="009479B6" w:rsidRPr="007A4FE8">
        <w:rPr>
          <w:rFonts w:cs="Times New Roman"/>
          <w:i/>
          <w:iCs/>
          <w:noProof/>
          <w:szCs w:val="24"/>
        </w:rPr>
        <w:t>Municipalidad de Alvarado.</w:t>
      </w:r>
      <w:r w:rsidR="009479B6" w:rsidRPr="00DD6966">
        <w:rPr>
          <w:rFonts w:cs="Times New Roman"/>
          <w:iCs/>
          <w:noProof/>
          <w:szCs w:val="24"/>
        </w:rPr>
        <w:t xml:space="preserve"> San Pedro, Costa Rica</w:t>
      </w:r>
      <w:r w:rsidR="00366FC9">
        <w:rPr>
          <w:rFonts w:cs="Times New Roman"/>
          <w:iCs/>
          <w:noProof/>
          <w:szCs w:val="24"/>
        </w:rPr>
        <w:t>.</w:t>
      </w:r>
    </w:p>
    <w:p w14:paraId="754C3758" w14:textId="0517A09F" w:rsidR="009479B6" w:rsidRPr="00DD6966" w:rsidRDefault="009479B6" w:rsidP="007A4FE8">
      <w:pPr>
        <w:widowControl w:val="0"/>
        <w:autoSpaceDE w:val="0"/>
        <w:autoSpaceDN w:val="0"/>
        <w:adjustRightInd w:val="0"/>
        <w:spacing w:after="0"/>
        <w:ind w:left="480" w:hanging="480"/>
        <w:jc w:val="both"/>
        <w:rPr>
          <w:rFonts w:cs="Times New Roman"/>
          <w:iCs/>
          <w:noProof/>
          <w:szCs w:val="24"/>
        </w:rPr>
      </w:pPr>
      <w:r w:rsidRPr="00DD6966">
        <w:rPr>
          <w:rFonts w:cs="Times New Roman"/>
          <w:iCs/>
          <w:noProof/>
          <w:szCs w:val="24"/>
        </w:rPr>
        <w:t xml:space="preserve"> </w:t>
      </w:r>
    </w:p>
    <w:p w14:paraId="7679AF07" w14:textId="4D622608" w:rsidR="00AC2C5A" w:rsidRPr="00DD6966" w:rsidRDefault="0006471D" w:rsidP="007A4FE8">
      <w:pPr>
        <w:widowControl w:val="0"/>
        <w:autoSpaceDE w:val="0"/>
        <w:autoSpaceDN w:val="0"/>
        <w:adjustRightInd w:val="0"/>
        <w:spacing w:after="0"/>
        <w:ind w:left="480" w:hanging="480"/>
        <w:jc w:val="both"/>
        <w:rPr>
          <w:rFonts w:cs="Times New Roman"/>
          <w:iCs/>
          <w:noProof/>
          <w:szCs w:val="24"/>
        </w:rPr>
      </w:pPr>
      <w:r w:rsidRPr="00DD6966">
        <w:rPr>
          <w:rFonts w:cs="Times New Roman"/>
          <w:iCs/>
          <w:noProof/>
          <w:szCs w:val="24"/>
        </w:rPr>
        <w:t xml:space="preserve">Trabajo Comunal Universitario [TCU] de la Universidad de Costa Rica [UCR]. </w:t>
      </w:r>
      <w:r w:rsidR="009479B6" w:rsidRPr="00DD6966">
        <w:rPr>
          <w:rFonts w:cs="Times New Roman"/>
          <w:iCs/>
          <w:noProof/>
          <w:szCs w:val="24"/>
        </w:rPr>
        <w:t>(2016</w:t>
      </w:r>
      <w:r w:rsidR="00366FC9">
        <w:rPr>
          <w:rFonts w:cs="Times New Roman"/>
          <w:iCs/>
          <w:noProof/>
          <w:szCs w:val="24"/>
        </w:rPr>
        <w:t>b</w:t>
      </w:r>
      <w:r w:rsidR="009479B6" w:rsidRPr="00DD6966">
        <w:rPr>
          <w:rFonts w:cs="Times New Roman"/>
          <w:iCs/>
          <w:noProof/>
          <w:szCs w:val="24"/>
        </w:rPr>
        <w:t>)</w:t>
      </w:r>
      <w:r w:rsidRPr="00DD6966">
        <w:rPr>
          <w:rFonts w:cs="Times New Roman"/>
          <w:iCs/>
          <w:noProof/>
          <w:szCs w:val="24"/>
        </w:rPr>
        <w:t>.</w:t>
      </w:r>
      <w:r w:rsidR="009479B6" w:rsidRPr="00DD6966">
        <w:rPr>
          <w:rFonts w:cs="Times New Roman"/>
          <w:iCs/>
          <w:noProof/>
          <w:szCs w:val="24"/>
        </w:rPr>
        <w:t xml:space="preserve">  </w:t>
      </w:r>
      <w:r w:rsidR="009479B6" w:rsidRPr="007A4FE8">
        <w:rPr>
          <w:rFonts w:cs="Times New Roman"/>
          <w:i/>
          <w:iCs/>
          <w:noProof/>
          <w:szCs w:val="24"/>
        </w:rPr>
        <w:t xml:space="preserve">Informe de </w:t>
      </w:r>
      <w:r w:rsidR="00366FC9" w:rsidRPr="007A4FE8">
        <w:rPr>
          <w:rFonts w:cs="Times New Roman"/>
          <w:i/>
          <w:iCs/>
          <w:noProof/>
          <w:szCs w:val="24"/>
        </w:rPr>
        <w:t>d</w:t>
      </w:r>
      <w:r w:rsidR="009479B6" w:rsidRPr="007A4FE8">
        <w:rPr>
          <w:rFonts w:cs="Times New Roman"/>
          <w:i/>
          <w:iCs/>
          <w:noProof/>
          <w:szCs w:val="24"/>
        </w:rPr>
        <w:t>iagnóstico de necesidades ambientales de la Municipalidad de Jiménez</w:t>
      </w:r>
      <w:r w:rsidR="009479B6" w:rsidRPr="00DD6966">
        <w:rPr>
          <w:rFonts w:cs="Times New Roman"/>
          <w:iCs/>
          <w:noProof/>
          <w:szCs w:val="24"/>
        </w:rPr>
        <w:t>. San Pedro, Costa Rica</w:t>
      </w:r>
      <w:r w:rsidR="00366FC9">
        <w:rPr>
          <w:rFonts w:cs="Times New Roman"/>
          <w:iCs/>
          <w:noProof/>
          <w:szCs w:val="24"/>
        </w:rPr>
        <w:t>.</w:t>
      </w:r>
    </w:p>
    <w:p w14:paraId="07F42063" w14:textId="353C9362" w:rsidR="009479B6" w:rsidRPr="00DD6966" w:rsidRDefault="009479B6" w:rsidP="007A4FE8">
      <w:pPr>
        <w:widowControl w:val="0"/>
        <w:autoSpaceDE w:val="0"/>
        <w:autoSpaceDN w:val="0"/>
        <w:adjustRightInd w:val="0"/>
        <w:spacing w:after="0"/>
        <w:ind w:left="480" w:hanging="480"/>
        <w:jc w:val="both"/>
        <w:rPr>
          <w:rFonts w:cs="Times New Roman"/>
          <w:iCs/>
          <w:noProof/>
          <w:szCs w:val="24"/>
        </w:rPr>
      </w:pPr>
      <w:r w:rsidRPr="00DD6966">
        <w:rPr>
          <w:rFonts w:cs="Times New Roman"/>
          <w:iCs/>
          <w:noProof/>
          <w:szCs w:val="24"/>
        </w:rPr>
        <w:t xml:space="preserve"> </w:t>
      </w:r>
    </w:p>
    <w:p w14:paraId="3B8B1B5B" w14:textId="6CE0C33C" w:rsidR="009479B6" w:rsidRPr="00DD6966" w:rsidRDefault="0006471D" w:rsidP="007A4FE8">
      <w:pPr>
        <w:widowControl w:val="0"/>
        <w:autoSpaceDE w:val="0"/>
        <w:autoSpaceDN w:val="0"/>
        <w:adjustRightInd w:val="0"/>
        <w:spacing w:after="0"/>
        <w:ind w:left="480" w:hanging="480"/>
        <w:jc w:val="both"/>
        <w:rPr>
          <w:rFonts w:cs="Times New Roman"/>
          <w:iCs/>
          <w:noProof/>
          <w:szCs w:val="24"/>
        </w:rPr>
      </w:pPr>
      <w:r w:rsidRPr="00DD6966">
        <w:rPr>
          <w:rFonts w:cs="Times New Roman"/>
          <w:iCs/>
          <w:noProof/>
          <w:szCs w:val="24"/>
        </w:rPr>
        <w:t>Trabajo Comunal Universitario [TCU] de la Universidad de Costa Rica [UCR].</w:t>
      </w:r>
      <w:r w:rsidR="009479B6" w:rsidRPr="00DD6966">
        <w:rPr>
          <w:rFonts w:cs="Times New Roman"/>
          <w:iCs/>
          <w:noProof/>
          <w:szCs w:val="24"/>
        </w:rPr>
        <w:t xml:space="preserve"> (2016</w:t>
      </w:r>
      <w:r w:rsidR="00366FC9">
        <w:rPr>
          <w:rFonts w:cs="Times New Roman"/>
          <w:iCs/>
          <w:noProof/>
          <w:szCs w:val="24"/>
        </w:rPr>
        <w:t>c</w:t>
      </w:r>
      <w:r w:rsidR="009479B6" w:rsidRPr="00DD6966">
        <w:rPr>
          <w:rFonts w:cs="Times New Roman"/>
          <w:iCs/>
          <w:noProof/>
          <w:szCs w:val="24"/>
        </w:rPr>
        <w:t>)</w:t>
      </w:r>
      <w:r w:rsidRPr="00DD6966">
        <w:rPr>
          <w:rFonts w:cs="Times New Roman"/>
          <w:iCs/>
          <w:noProof/>
          <w:szCs w:val="24"/>
        </w:rPr>
        <w:t>.</w:t>
      </w:r>
      <w:r w:rsidR="009479B6" w:rsidRPr="00DD6966">
        <w:rPr>
          <w:rFonts w:cs="Times New Roman"/>
          <w:iCs/>
          <w:noProof/>
          <w:szCs w:val="24"/>
        </w:rPr>
        <w:t xml:space="preserve"> </w:t>
      </w:r>
      <w:r w:rsidR="009479B6" w:rsidRPr="007A4FE8">
        <w:rPr>
          <w:rFonts w:cs="Times New Roman"/>
          <w:i/>
          <w:iCs/>
          <w:noProof/>
          <w:szCs w:val="24"/>
        </w:rPr>
        <w:t xml:space="preserve">Informe de </w:t>
      </w:r>
      <w:r w:rsidR="00366FC9" w:rsidRPr="007A4FE8">
        <w:rPr>
          <w:rFonts w:cs="Times New Roman"/>
          <w:i/>
          <w:iCs/>
          <w:noProof/>
          <w:szCs w:val="24"/>
        </w:rPr>
        <w:t xml:space="preserve">diagnóstico de necesidades </w:t>
      </w:r>
      <w:r w:rsidR="009479B6" w:rsidRPr="007A4FE8">
        <w:rPr>
          <w:rFonts w:cs="Times New Roman"/>
          <w:i/>
          <w:iCs/>
          <w:noProof/>
          <w:szCs w:val="24"/>
        </w:rPr>
        <w:t>ambientales de la Municipalidad de Turrialba</w:t>
      </w:r>
      <w:r w:rsidR="009479B6" w:rsidRPr="00DD6966">
        <w:rPr>
          <w:rFonts w:cs="Times New Roman"/>
          <w:iCs/>
          <w:noProof/>
          <w:szCs w:val="24"/>
        </w:rPr>
        <w:t xml:space="preserve">. San Pedro, Costa Rica. </w:t>
      </w:r>
    </w:p>
    <w:p w14:paraId="6FEEE98B" w14:textId="77777777" w:rsidR="00AC2C5A" w:rsidRPr="00DD6966" w:rsidRDefault="00AC2C5A" w:rsidP="007A4FE8">
      <w:pPr>
        <w:widowControl w:val="0"/>
        <w:autoSpaceDE w:val="0"/>
        <w:autoSpaceDN w:val="0"/>
        <w:adjustRightInd w:val="0"/>
        <w:spacing w:after="0"/>
        <w:ind w:left="480" w:hanging="480"/>
        <w:jc w:val="both"/>
        <w:rPr>
          <w:rFonts w:cs="Times New Roman"/>
          <w:iCs/>
          <w:noProof/>
          <w:szCs w:val="24"/>
        </w:rPr>
      </w:pPr>
    </w:p>
    <w:p w14:paraId="62A53E09" w14:textId="2459534B" w:rsidR="009479B6" w:rsidRPr="00DD6966" w:rsidRDefault="0006471D" w:rsidP="007A4FE8">
      <w:pPr>
        <w:widowControl w:val="0"/>
        <w:autoSpaceDE w:val="0"/>
        <w:autoSpaceDN w:val="0"/>
        <w:adjustRightInd w:val="0"/>
        <w:spacing w:after="0"/>
        <w:ind w:left="480" w:hanging="480"/>
        <w:jc w:val="both"/>
        <w:rPr>
          <w:rFonts w:cs="Times New Roman"/>
          <w:iCs/>
          <w:noProof/>
          <w:szCs w:val="24"/>
        </w:rPr>
      </w:pPr>
      <w:r w:rsidRPr="00DD6966">
        <w:rPr>
          <w:rFonts w:cs="Times New Roman"/>
          <w:iCs/>
          <w:noProof/>
          <w:szCs w:val="24"/>
        </w:rPr>
        <w:t>Trabajo Comunal Universitario [</w:t>
      </w:r>
      <w:r w:rsidR="009479B6" w:rsidRPr="00DD6966">
        <w:rPr>
          <w:rFonts w:cs="Times New Roman"/>
          <w:iCs/>
          <w:noProof/>
          <w:szCs w:val="24"/>
        </w:rPr>
        <w:t>TCU</w:t>
      </w:r>
      <w:r w:rsidRPr="00DD6966">
        <w:rPr>
          <w:rFonts w:cs="Times New Roman"/>
          <w:iCs/>
          <w:noProof/>
          <w:szCs w:val="24"/>
        </w:rPr>
        <w:t>] de la Universidad de Costa Rica [</w:t>
      </w:r>
      <w:r w:rsidR="009479B6" w:rsidRPr="00DD6966">
        <w:rPr>
          <w:rFonts w:cs="Times New Roman"/>
          <w:iCs/>
          <w:noProof/>
          <w:szCs w:val="24"/>
        </w:rPr>
        <w:t>UCR</w:t>
      </w:r>
      <w:r w:rsidRPr="00DD6966">
        <w:rPr>
          <w:rFonts w:cs="Times New Roman"/>
          <w:iCs/>
          <w:noProof/>
          <w:szCs w:val="24"/>
        </w:rPr>
        <w:t>]</w:t>
      </w:r>
      <w:r w:rsidR="009479B6" w:rsidRPr="00DD6966">
        <w:rPr>
          <w:rFonts w:cs="Times New Roman"/>
          <w:iCs/>
          <w:noProof/>
          <w:szCs w:val="24"/>
        </w:rPr>
        <w:t xml:space="preserve"> (2017) </w:t>
      </w:r>
      <w:r w:rsidR="009479B6" w:rsidRPr="007A4FE8">
        <w:rPr>
          <w:rFonts w:cs="Times New Roman"/>
          <w:i/>
          <w:iCs/>
          <w:noProof/>
          <w:szCs w:val="24"/>
        </w:rPr>
        <w:t xml:space="preserve">Informe de </w:t>
      </w:r>
      <w:r w:rsidR="002F0B93" w:rsidRPr="007A4FE8">
        <w:rPr>
          <w:rFonts w:cs="Times New Roman"/>
          <w:i/>
          <w:iCs/>
          <w:noProof/>
          <w:szCs w:val="24"/>
        </w:rPr>
        <w:t>d</w:t>
      </w:r>
      <w:r w:rsidR="009479B6" w:rsidRPr="007A4FE8">
        <w:rPr>
          <w:rFonts w:cs="Times New Roman"/>
          <w:i/>
          <w:iCs/>
          <w:noProof/>
          <w:szCs w:val="24"/>
        </w:rPr>
        <w:t>iagnóstico de necesidades ambientales de la Municipalidad de Oreamuno.</w:t>
      </w:r>
      <w:r w:rsidR="009479B6" w:rsidRPr="00DD6966">
        <w:rPr>
          <w:rFonts w:cs="Times New Roman"/>
          <w:iCs/>
          <w:noProof/>
          <w:szCs w:val="24"/>
        </w:rPr>
        <w:t xml:space="preserve"> San Pedro, Costa Rica. </w:t>
      </w:r>
    </w:p>
    <w:p w14:paraId="3B827C9F" w14:textId="77777777" w:rsidR="00AC2C5A" w:rsidRPr="00DD6966" w:rsidRDefault="00AC2C5A" w:rsidP="007A4FE8">
      <w:pPr>
        <w:widowControl w:val="0"/>
        <w:autoSpaceDE w:val="0"/>
        <w:autoSpaceDN w:val="0"/>
        <w:adjustRightInd w:val="0"/>
        <w:spacing w:after="0"/>
        <w:ind w:left="480" w:hanging="480"/>
        <w:jc w:val="both"/>
        <w:rPr>
          <w:rFonts w:cs="Times New Roman"/>
          <w:iCs/>
          <w:noProof/>
          <w:szCs w:val="24"/>
        </w:rPr>
      </w:pPr>
    </w:p>
    <w:p w14:paraId="079E008E" w14:textId="64D7C19B" w:rsidR="00F60B69" w:rsidRPr="00DD6966" w:rsidRDefault="0006471D" w:rsidP="007A4FE8">
      <w:pPr>
        <w:spacing w:after="0"/>
        <w:ind w:left="709" w:hanging="709"/>
        <w:jc w:val="both"/>
        <w:rPr>
          <w:b/>
          <w:szCs w:val="24"/>
        </w:rPr>
      </w:pPr>
      <w:r w:rsidRPr="00DD6966">
        <w:rPr>
          <w:rFonts w:cs="Times New Roman"/>
          <w:iCs/>
          <w:noProof/>
          <w:szCs w:val="24"/>
        </w:rPr>
        <w:t xml:space="preserve">Universidad de Costa Rica [UCR] y Programa de las Naciones Unidas para el Desarrollo [PNUD]. (2016). </w:t>
      </w:r>
      <w:r w:rsidRPr="007A4FE8">
        <w:rPr>
          <w:rFonts w:cs="Times New Roman"/>
          <w:i/>
          <w:iCs/>
          <w:noProof/>
          <w:szCs w:val="24"/>
        </w:rPr>
        <w:t xml:space="preserve">Atlas </w:t>
      </w:r>
      <w:r w:rsidR="002F0B93" w:rsidRPr="007A4FE8">
        <w:rPr>
          <w:rFonts w:cs="Times New Roman"/>
          <w:i/>
          <w:iCs/>
          <w:noProof/>
          <w:szCs w:val="24"/>
        </w:rPr>
        <w:t xml:space="preserve">de desarrollo humano </w:t>
      </w:r>
      <w:r w:rsidRPr="007A4FE8">
        <w:rPr>
          <w:rFonts w:cs="Times New Roman"/>
          <w:i/>
          <w:iCs/>
          <w:noProof/>
          <w:szCs w:val="24"/>
        </w:rPr>
        <w:t>cantonal de Costa Rica</w:t>
      </w:r>
      <w:r w:rsidRPr="00DD6966">
        <w:rPr>
          <w:rFonts w:cs="Times New Roman"/>
          <w:iCs/>
          <w:noProof/>
          <w:szCs w:val="24"/>
        </w:rPr>
        <w:t xml:space="preserve">. Recuperado de </w:t>
      </w:r>
      <w:hyperlink r:id="rId29" w:history="1">
        <w:r w:rsidRPr="00DD6966">
          <w:rPr>
            <w:rStyle w:val="Hipervnculo"/>
            <w:rFonts w:cs="Times New Roman"/>
            <w:iCs/>
            <w:noProof/>
            <w:szCs w:val="24"/>
          </w:rPr>
          <w:t>http://desarrollohumano.or.cr/mapa-cantonal/index.php/ranking-idh</w:t>
        </w:r>
      </w:hyperlink>
      <w:r w:rsidRPr="00DD6966">
        <w:rPr>
          <w:rFonts w:cs="Times New Roman"/>
          <w:iCs/>
          <w:noProof/>
          <w:szCs w:val="24"/>
        </w:rPr>
        <w:t>. Consultado el 27/10/2019.</w:t>
      </w:r>
    </w:p>
    <w:p w14:paraId="51092818" w14:textId="77777777" w:rsidR="004525D3" w:rsidRPr="00DD6966" w:rsidRDefault="004525D3" w:rsidP="007A4FE8">
      <w:pPr>
        <w:spacing w:after="0"/>
        <w:jc w:val="both"/>
        <w:rPr>
          <w:b/>
          <w:szCs w:val="24"/>
        </w:rPr>
        <w:sectPr w:rsidR="004525D3" w:rsidRPr="00DD6966" w:rsidSect="00336F89">
          <w:headerReference w:type="even" r:id="rId30"/>
          <w:headerReference w:type="default" r:id="rId31"/>
          <w:footerReference w:type="even" r:id="rId32"/>
          <w:footerReference w:type="default" r:id="rId33"/>
          <w:headerReference w:type="first" r:id="rId34"/>
          <w:footerReference w:type="first" r:id="rId35"/>
          <w:pgSz w:w="11906" w:h="16838" w:code="9"/>
          <w:pgMar w:top="1418" w:right="1418" w:bottom="1418" w:left="1418" w:header="709" w:footer="709" w:gutter="0"/>
          <w:cols w:space="708"/>
          <w:docGrid w:linePitch="360"/>
        </w:sectPr>
      </w:pPr>
    </w:p>
    <w:p w14:paraId="2E5A5A27" w14:textId="63A550F9" w:rsidR="00492C5D" w:rsidRPr="00DD6966" w:rsidRDefault="00F60B69" w:rsidP="007A4FE8">
      <w:pPr>
        <w:pStyle w:val="Prrafodelista"/>
        <w:numPr>
          <w:ilvl w:val="0"/>
          <w:numId w:val="4"/>
        </w:numPr>
        <w:ind w:left="567" w:hanging="567"/>
        <w:jc w:val="both"/>
        <w:rPr>
          <w:b/>
          <w:szCs w:val="24"/>
        </w:rPr>
      </w:pPr>
      <w:r w:rsidRPr="00DD6966">
        <w:rPr>
          <w:b/>
          <w:szCs w:val="24"/>
        </w:rPr>
        <w:lastRenderedPageBreak/>
        <w:t>Apéndice</w:t>
      </w:r>
      <w:r w:rsidR="00B71F49" w:rsidRPr="00DD6966">
        <w:rPr>
          <w:b/>
          <w:szCs w:val="24"/>
        </w:rPr>
        <w:t>s</w:t>
      </w:r>
      <w:r w:rsidR="00F741FE" w:rsidRPr="00DD6966">
        <w:rPr>
          <w:b/>
          <w:szCs w:val="24"/>
        </w:rPr>
        <w:t xml:space="preserve"> </w:t>
      </w:r>
    </w:p>
    <w:p w14:paraId="6FC714CD" w14:textId="77777777" w:rsidR="00C859A4" w:rsidRPr="00DD6966" w:rsidRDefault="00C859A4" w:rsidP="007A4FE8">
      <w:pPr>
        <w:pStyle w:val="Prrafodelista"/>
        <w:ind w:left="426"/>
        <w:jc w:val="both"/>
        <w:rPr>
          <w:b/>
          <w:szCs w:val="24"/>
        </w:rPr>
      </w:pPr>
    </w:p>
    <w:p w14:paraId="49010FC3" w14:textId="11DD383E" w:rsidR="00056BE5" w:rsidRPr="00DD6966" w:rsidRDefault="00056BE5" w:rsidP="007A4FE8">
      <w:pPr>
        <w:pStyle w:val="Prrafodelista"/>
        <w:spacing w:after="0"/>
        <w:ind w:left="0"/>
        <w:jc w:val="both"/>
        <w:rPr>
          <w:b/>
          <w:szCs w:val="24"/>
        </w:rPr>
      </w:pPr>
      <w:r w:rsidRPr="00DD6966">
        <w:rPr>
          <w:b/>
          <w:szCs w:val="24"/>
        </w:rPr>
        <w:t>Apéndice 1</w:t>
      </w:r>
      <w:r w:rsidR="0027765B" w:rsidRPr="00DD6966">
        <w:rPr>
          <w:b/>
          <w:szCs w:val="24"/>
        </w:rPr>
        <w:t>.</w:t>
      </w:r>
      <w:r w:rsidR="00C859A4" w:rsidRPr="00DD6966">
        <w:rPr>
          <w:b/>
          <w:szCs w:val="24"/>
        </w:rPr>
        <w:t xml:space="preserve"> Distribución y características generales de los servicios de agua potable por operador y por cantón</w:t>
      </w:r>
    </w:p>
    <w:p w14:paraId="4243CA41" w14:textId="384BE259" w:rsidR="0027765B" w:rsidRPr="00BF3711" w:rsidRDefault="0027765B" w:rsidP="007A4FE8">
      <w:pPr>
        <w:spacing w:after="0"/>
        <w:rPr>
          <w:i/>
          <w:iCs/>
          <w:szCs w:val="24"/>
          <w:lang w:val="en-US"/>
        </w:rPr>
      </w:pPr>
      <w:r w:rsidRPr="00BF3711">
        <w:rPr>
          <w:b/>
          <w:i/>
          <w:iCs/>
          <w:szCs w:val="24"/>
          <w:lang w:val="en-US"/>
        </w:rPr>
        <w:t xml:space="preserve">Appendix 1. </w:t>
      </w:r>
      <w:r w:rsidRPr="00BF3711">
        <w:rPr>
          <w:i/>
          <w:iCs/>
          <w:szCs w:val="24"/>
          <w:lang w:val="en-US"/>
        </w:rPr>
        <w:t xml:space="preserve">Distribution and general characteristics of the drinking water supply service by operator and by </w:t>
      </w:r>
      <w:r w:rsidR="00253215" w:rsidRPr="00BF3711">
        <w:rPr>
          <w:i/>
          <w:iCs/>
          <w:szCs w:val="24"/>
          <w:lang w:val="en-US"/>
        </w:rPr>
        <w:t>county</w:t>
      </w:r>
      <w:r w:rsidR="00BF3711">
        <w:rPr>
          <w:i/>
          <w:iCs/>
          <w:szCs w:val="24"/>
          <w:lang w:val="en-US"/>
        </w:rPr>
        <w:t>.</w:t>
      </w:r>
    </w:p>
    <w:p w14:paraId="229F1526" w14:textId="77777777" w:rsidR="00F31813" w:rsidRPr="00B17525" w:rsidRDefault="00F31813" w:rsidP="007A4FE8">
      <w:pPr>
        <w:spacing w:after="0"/>
        <w:rPr>
          <w:lang w:val="en-US"/>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4"/>
        <w:gridCol w:w="1079"/>
        <w:gridCol w:w="2692"/>
        <w:gridCol w:w="1158"/>
        <w:gridCol w:w="1574"/>
        <w:gridCol w:w="4823"/>
        <w:gridCol w:w="741"/>
        <w:gridCol w:w="741"/>
      </w:tblGrid>
      <w:tr w:rsidR="004525D3" w:rsidRPr="009C244C" w14:paraId="3E1908D0" w14:textId="77777777" w:rsidTr="009F5136">
        <w:trPr>
          <w:gridAfter w:val="1"/>
          <w:wAfter w:w="266" w:type="pct"/>
          <w:tblHeader/>
        </w:trPr>
        <w:tc>
          <w:tcPr>
            <w:tcW w:w="422" w:type="pct"/>
            <w:vMerge w:val="restart"/>
            <w:tcBorders>
              <w:top w:val="single" w:sz="4" w:space="0" w:color="auto"/>
              <w:bottom w:val="single" w:sz="4" w:space="0" w:color="auto"/>
            </w:tcBorders>
          </w:tcPr>
          <w:p w14:paraId="48C685FA" w14:textId="3EA99687" w:rsidR="00056BE5" w:rsidRPr="009C244C" w:rsidRDefault="004525D3" w:rsidP="00B36B1D">
            <w:pPr>
              <w:jc w:val="both"/>
              <w:rPr>
                <w:rFonts w:cs="Times New Roman"/>
                <w:b/>
                <w:sz w:val="22"/>
              </w:rPr>
            </w:pPr>
            <w:r>
              <w:rPr>
                <w:rFonts w:cs="Times New Roman"/>
                <w:b/>
                <w:sz w:val="22"/>
              </w:rPr>
              <w:t>Cantón</w:t>
            </w:r>
          </w:p>
        </w:tc>
        <w:tc>
          <w:tcPr>
            <w:tcW w:w="1758" w:type="pct"/>
            <w:gridSpan w:val="3"/>
            <w:tcBorders>
              <w:top w:val="single" w:sz="4" w:space="0" w:color="auto"/>
              <w:bottom w:val="single" w:sz="4" w:space="0" w:color="auto"/>
            </w:tcBorders>
          </w:tcPr>
          <w:p w14:paraId="030EB55F" w14:textId="77777777" w:rsidR="00056BE5" w:rsidRPr="009C244C" w:rsidRDefault="00056BE5" w:rsidP="007A4FE8">
            <w:pPr>
              <w:jc w:val="center"/>
              <w:rPr>
                <w:rFonts w:cs="Times New Roman"/>
                <w:b/>
                <w:sz w:val="22"/>
              </w:rPr>
            </w:pPr>
            <w:r w:rsidRPr="009C244C">
              <w:rPr>
                <w:rFonts w:cs="Times New Roman"/>
                <w:b/>
                <w:sz w:val="22"/>
              </w:rPr>
              <w:t>Acueducto municipal</w:t>
            </w:r>
          </w:p>
        </w:tc>
        <w:tc>
          <w:tcPr>
            <w:tcW w:w="2554" w:type="pct"/>
            <w:gridSpan w:val="3"/>
            <w:tcBorders>
              <w:top w:val="single" w:sz="4" w:space="0" w:color="auto"/>
              <w:bottom w:val="single" w:sz="4" w:space="0" w:color="auto"/>
            </w:tcBorders>
          </w:tcPr>
          <w:p w14:paraId="6650A00D" w14:textId="77777777" w:rsidR="00056BE5" w:rsidRPr="009C244C" w:rsidRDefault="00056BE5" w:rsidP="007A4FE8">
            <w:pPr>
              <w:jc w:val="center"/>
              <w:rPr>
                <w:rFonts w:cs="Times New Roman"/>
                <w:b/>
                <w:sz w:val="22"/>
              </w:rPr>
            </w:pPr>
            <w:r w:rsidRPr="009C244C">
              <w:rPr>
                <w:rFonts w:cs="Times New Roman"/>
                <w:b/>
                <w:sz w:val="22"/>
              </w:rPr>
              <w:t>ASADA</w:t>
            </w:r>
          </w:p>
        </w:tc>
      </w:tr>
      <w:tr w:rsidR="004525D3" w:rsidRPr="009C244C" w14:paraId="7288A7F1" w14:textId="77777777" w:rsidTr="009F5136">
        <w:trPr>
          <w:tblHeader/>
        </w:trPr>
        <w:tc>
          <w:tcPr>
            <w:tcW w:w="422" w:type="pct"/>
            <w:vMerge/>
            <w:tcBorders>
              <w:top w:val="single" w:sz="4" w:space="0" w:color="auto"/>
              <w:bottom w:val="single" w:sz="4" w:space="0" w:color="auto"/>
            </w:tcBorders>
          </w:tcPr>
          <w:p w14:paraId="6173E83B" w14:textId="77777777" w:rsidR="00056BE5" w:rsidRPr="009C244C" w:rsidRDefault="00056BE5" w:rsidP="007A4FE8">
            <w:pPr>
              <w:jc w:val="both"/>
              <w:rPr>
                <w:rFonts w:cs="Times New Roman"/>
                <w:b/>
                <w:sz w:val="22"/>
              </w:rPr>
            </w:pPr>
          </w:p>
        </w:tc>
        <w:tc>
          <w:tcPr>
            <w:tcW w:w="387" w:type="pct"/>
            <w:tcBorders>
              <w:top w:val="single" w:sz="4" w:space="0" w:color="auto"/>
              <w:bottom w:val="single" w:sz="4" w:space="0" w:color="auto"/>
            </w:tcBorders>
          </w:tcPr>
          <w:p w14:paraId="36A10304" w14:textId="573CC23B" w:rsidR="00056BE5" w:rsidRPr="009C244C" w:rsidRDefault="00C859A4" w:rsidP="007A4FE8">
            <w:pPr>
              <w:rPr>
                <w:rFonts w:cs="Times New Roman"/>
                <w:b/>
                <w:sz w:val="22"/>
              </w:rPr>
            </w:pPr>
            <w:r w:rsidRPr="009C244C">
              <w:rPr>
                <w:rFonts w:cs="Times New Roman"/>
                <w:b/>
                <w:sz w:val="22"/>
              </w:rPr>
              <w:t>Número</w:t>
            </w:r>
            <w:r w:rsidR="00056BE5" w:rsidRPr="009C244C">
              <w:rPr>
                <w:rFonts w:cs="Times New Roman"/>
                <w:b/>
                <w:sz w:val="22"/>
              </w:rPr>
              <w:t xml:space="preserve"> sistemas</w:t>
            </w:r>
          </w:p>
        </w:tc>
        <w:tc>
          <w:tcPr>
            <w:tcW w:w="963" w:type="pct"/>
            <w:tcBorders>
              <w:top w:val="single" w:sz="4" w:space="0" w:color="auto"/>
              <w:bottom w:val="single" w:sz="4" w:space="0" w:color="auto"/>
            </w:tcBorders>
          </w:tcPr>
          <w:p w14:paraId="59FD734A" w14:textId="40F5BAFB" w:rsidR="00056BE5" w:rsidRPr="009C244C" w:rsidRDefault="00F1789F" w:rsidP="007A4FE8">
            <w:pPr>
              <w:rPr>
                <w:rFonts w:cs="Times New Roman"/>
                <w:b/>
                <w:sz w:val="22"/>
              </w:rPr>
            </w:pPr>
            <w:r w:rsidRPr="009C244C">
              <w:rPr>
                <w:rFonts w:cs="Times New Roman"/>
                <w:b/>
                <w:sz w:val="22"/>
              </w:rPr>
              <w:t>Barrios</w:t>
            </w:r>
            <w:r w:rsidR="00056BE5" w:rsidRPr="009C244C">
              <w:rPr>
                <w:rFonts w:cs="Times New Roman"/>
                <w:b/>
                <w:sz w:val="22"/>
              </w:rPr>
              <w:t xml:space="preserve"> servidos </w:t>
            </w:r>
          </w:p>
        </w:tc>
        <w:tc>
          <w:tcPr>
            <w:tcW w:w="408" w:type="pct"/>
            <w:tcBorders>
              <w:top w:val="single" w:sz="4" w:space="0" w:color="auto"/>
              <w:bottom w:val="single" w:sz="4" w:space="0" w:color="auto"/>
            </w:tcBorders>
          </w:tcPr>
          <w:p w14:paraId="6B3CB89E" w14:textId="77777777" w:rsidR="00056BE5" w:rsidRPr="009C244C" w:rsidRDefault="00056BE5" w:rsidP="007A4FE8">
            <w:pPr>
              <w:rPr>
                <w:rFonts w:cs="Times New Roman"/>
                <w:b/>
                <w:sz w:val="22"/>
              </w:rPr>
            </w:pPr>
            <w:r w:rsidRPr="009C244C">
              <w:rPr>
                <w:rFonts w:cs="Times New Roman"/>
                <w:b/>
                <w:sz w:val="22"/>
              </w:rPr>
              <w:t>Abonados</w:t>
            </w:r>
          </w:p>
        </w:tc>
        <w:tc>
          <w:tcPr>
            <w:tcW w:w="564" w:type="pct"/>
            <w:tcBorders>
              <w:top w:val="single" w:sz="4" w:space="0" w:color="auto"/>
              <w:bottom w:val="single" w:sz="4" w:space="0" w:color="auto"/>
            </w:tcBorders>
          </w:tcPr>
          <w:p w14:paraId="13838454" w14:textId="6EC36DC0" w:rsidR="00056BE5" w:rsidRPr="009C244C" w:rsidRDefault="00C859A4" w:rsidP="007A4FE8">
            <w:pPr>
              <w:rPr>
                <w:rFonts w:cs="Times New Roman"/>
                <w:b/>
                <w:sz w:val="22"/>
              </w:rPr>
            </w:pPr>
            <w:r w:rsidRPr="009C244C">
              <w:rPr>
                <w:rFonts w:cs="Times New Roman"/>
                <w:b/>
                <w:sz w:val="22"/>
              </w:rPr>
              <w:t>Número</w:t>
            </w:r>
            <w:r w:rsidR="00056BE5" w:rsidRPr="009C244C">
              <w:rPr>
                <w:rFonts w:cs="Times New Roman"/>
                <w:b/>
                <w:sz w:val="22"/>
              </w:rPr>
              <w:t xml:space="preserve"> </w:t>
            </w:r>
            <w:r w:rsidR="00BF3711">
              <w:rPr>
                <w:rFonts w:cs="Times New Roman"/>
                <w:b/>
                <w:sz w:val="22"/>
              </w:rPr>
              <w:t xml:space="preserve">de </w:t>
            </w:r>
            <w:r w:rsidR="00056BE5" w:rsidRPr="009C244C">
              <w:rPr>
                <w:rFonts w:cs="Times New Roman"/>
                <w:b/>
                <w:sz w:val="22"/>
              </w:rPr>
              <w:t>ASADA</w:t>
            </w:r>
          </w:p>
        </w:tc>
        <w:tc>
          <w:tcPr>
            <w:tcW w:w="1724" w:type="pct"/>
            <w:tcBorders>
              <w:top w:val="single" w:sz="4" w:space="0" w:color="auto"/>
              <w:bottom w:val="single" w:sz="4" w:space="0" w:color="auto"/>
            </w:tcBorders>
          </w:tcPr>
          <w:p w14:paraId="377858F7" w14:textId="48068331" w:rsidR="00056BE5" w:rsidRPr="009C244C" w:rsidRDefault="00F1789F" w:rsidP="007A4FE8">
            <w:pPr>
              <w:rPr>
                <w:rFonts w:cs="Times New Roman"/>
                <w:b/>
                <w:sz w:val="22"/>
              </w:rPr>
            </w:pPr>
            <w:r w:rsidRPr="009C244C">
              <w:rPr>
                <w:rFonts w:cs="Times New Roman"/>
                <w:b/>
                <w:sz w:val="22"/>
              </w:rPr>
              <w:t>Barrios</w:t>
            </w:r>
            <w:r w:rsidR="00056BE5" w:rsidRPr="009C244C">
              <w:rPr>
                <w:rFonts w:cs="Times New Roman"/>
                <w:b/>
                <w:sz w:val="22"/>
              </w:rPr>
              <w:t xml:space="preserve"> servidos </w:t>
            </w:r>
          </w:p>
        </w:tc>
        <w:tc>
          <w:tcPr>
            <w:tcW w:w="532" w:type="pct"/>
            <w:gridSpan w:val="2"/>
            <w:tcBorders>
              <w:top w:val="single" w:sz="4" w:space="0" w:color="auto"/>
              <w:bottom w:val="single" w:sz="4" w:space="0" w:color="auto"/>
            </w:tcBorders>
          </w:tcPr>
          <w:p w14:paraId="1EF9DC64" w14:textId="77777777" w:rsidR="00056BE5" w:rsidRPr="009C244C" w:rsidRDefault="00056BE5" w:rsidP="007A4FE8">
            <w:pPr>
              <w:jc w:val="both"/>
              <w:rPr>
                <w:rFonts w:cs="Times New Roman"/>
                <w:b/>
                <w:sz w:val="22"/>
              </w:rPr>
            </w:pPr>
            <w:r w:rsidRPr="009C244C">
              <w:rPr>
                <w:rFonts w:cs="Times New Roman"/>
                <w:b/>
                <w:sz w:val="22"/>
              </w:rPr>
              <w:t>Abonados</w:t>
            </w:r>
          </w:p>
        </w:tc>
      </w:tr>
      <w:tr w:rsidR="004525D3" w:rsidRPr="009C244C" w14:paraId="5E68DC5F" w14:textId="77777777" w:rsidTr="009F5136">
        <w:tc>
          <w:tcPr>
            <w:tcW w:w="422" w:type="pct"/>
            <w:tcBorders>
              <w:top w:val="single" w:sz="4" w:space="0" w:color="auto"/>
            </w:tcBorders>
          </w:tcPr>
          <w:p w14:paraId="7F9FAA8E" w14:textId="77777777" w:rsidR="00056BE5" w:rsidRPr="009C244C" w:rsidRDefault="00056BE5" w:rsidP="00B36B1D">
            <w:pPr>
              <w:jc w:val="both"/>
              <w:rPr>
                <w:rFonts w:cs="Times New Roman"/>
                <w:sz w:val="22"/>
              </w:rPr>
            </w:pPr>
            <w:r w:rsidRPr="009C244C">
              <w:rPr>
                <w:rFonts w:cs="Times New Roman"/>
                <w:sz w:val="22"/>
              </w:rPr>
              <w:t>Alvarado</w:t>
            </w:r>
          </w:p>
        </w:tc>
        <w:tc>
          <w:tcPr>
            <w:tcW w:w="387" w:type="pct"/>
            <w:tcBorders>
              <w:top w:val="single" w:sz="4" w:space="0" w:color="auto"/>
            </w:tcBorders>
          </w:tcPr>
          <w:p w14:paraId="2B5EF9E8" w14:textId="77777777" w:rsidR="00056BE5" w:rsidRPr="009C244C" w:rsidRDefault="00056BE5" w:rsidP="007A4FE8">
            <w:pPr>
              <w:jc w:val="both"/>
              <w:rPr>
                <w:rFonts w:cs="Times New Roman"/>
                <w:sz w:val="22"/>
              </w:rPr>
            </w:pPr>
            <w:r w:rsidRPr="009C244C">
              <w:rPr>
                <w:rFonts w:cs="Times New Roman"/>
                <w:sz w:val="22"/>
              </w:rPr>
              <w:t>12 (1)</w:t>
            </w:r>
          </w:p>
        </w:tc>
        <w:tc>
          <w:tcPr>
            <w:tcW w:w="963" w:type="pct"/>
            <w:tcBorders>
              <w:top w:val="single" w:sz="4" w:space="0" w:color="auto"/>
            </w:tcBorders>
          </w:tcPr>
          <w:p w14:paraId="75A5F78B" w14:textId="113104D5" w:rsidR="00056BE5" w:rsidRPr="009C244C" w:rsidRDefault="00056BE5" w:rsidP="007A4FE8">
            <w:pPr>
              <w:jc w:val="both"/>
              <w:rPr>
                <w:rFonts w:cs="Times New Roman"/>
                <w:sz w:val="22"/>
              </w:rPr>
            </w:pPr>
            <w:r w:rsidRPr="009C244C">
              <w:rPr>
                <w:rFonts w:cs="Times New Roman"/>
                <w:sz w:val="22"/>
              </w:rPr>
              <w:t xml:space="preserve">Pacayas: centro, Los </w:t>
            </w:r>
            <w:r w:rsidR="00EA6458" w:rsidRPr="009C244C">
              <w:rPr>
                <w:rFonts w:cs="Times New Roman"/>
                <w:sz w:val="22"/>
              </w:rPr>
              <w:t>Ángeles</w:t>
            </w:r>
            <w:r w:rsidRPr="009C244C">
              <w:rPr>
                <w:rFonts w:cs="Times New Roman"/>
                <w:sz w:val="22"/>
              </w:rPr>
              <w:t>, Buenos Aires, Llano Grande</w:t>
            </w:r>
          </w:p>
          <w:p w14:paraId="7B168D86" w14:textId="77777777" w:rsidR="00056BE5" w:rsidRPr="009C244C" w:rsidRDefault="00056BE5" w:rsidP="007A4FE8">
            <w:pPr>
              <w:jc w:val="both"/>
              <w:rPr>
                <w:rFonts w:cs="Times New Roman"/>
                <w:sz w:val="22"/>
              </w:rPr>
            </w:pPr>
            <w:proofErr w:type="spellStart"/>
            <w:r w:rsidRPr="009C244C">
              <w:rPr>
                <w:rFonts w:cs="Times New Roman"/>
                <w:sz w:val="22"/>
              </w:rPr>
              <w:t>Capellades</w:t>
            </w:r>
            <w:proofErr w:type="spellEnd"/>
            <w:r w:rsidRPr="009C244C">
              <w:rPr>
                <w:rFonts w:cs="Times New Roman"/>
                <w:sz w:val="22"/>
              </w:rPr>
              <w:t xml:space="preserve">: Centro, Lourdes, Barrio Fátima, </w:t>
            </w:r>
            <w:proofErr w:type="spellStart"/>
            <w:r w:rsidRPr="009C244C">
              <w:rPr>
                <w:rFonts w:cs="Times New Roman"/>
                <w:sz w:val="22"/>
              </w:rPr>
              <w:t>Patalillo</w:t>
            </w:r>
            <w:proofErr w:type="spellEnd"/>
            <w:r w:rsidRPr="009C244C">
              <w:rPr>
                <w:rFonts w:cs="Times New Roman"/>
                <w:sz w:val="22"/>
              </w:rPr>
              <w:t>, La Capilla, Encierrillo, Los Brenes</w:t>
            </w:r>
          </w:p>
        </w:tc>
        <w:tc>
          <w:tcPr>
            <w:tcW w:w="408" w:type="pct"/>
            <w:tcBorders>
              <w:top w:val="single" w:sz="4" w:space="0" w:color="auto"/>
            </w:tcBorders>
          </w:tcPr>
          <w:p w14:paraId="2B403B9A" w14:textId="3ECFCFAD" w:rsidR="00056BE5" w:rsidRPr="009C244C" w:rsidRDefault="00056BE5" w:rsidP="007A4FE8">
            <w:pPr>
              <w:rPr>
                <w:rFonts w:cs="Times New Roman"/>
                <w:sz w:val="22"/>
              </w:rPr>
            </w:pPr>
            <w:r w:rsidRPr="009C244C">
              <w:rPr>
                <w:rFonts w:cs="Times New Roman"/>
                <w:sz w:val="22"/>
              </w:rPr>
              <w:t>2</w:t>
            </w:r>
            <w:r w:rsidR="001E71B5">
              <w:rPr>
                <w:rFonts w:cs="Times New Roman"/>
                <w:sz w:val="22"/>
              </w:rPr>
              <w:t xml:space="preserve"> </w:t>
            </w:r>
            <w:r w:rsidRPr="009C244C">
              <w:rPr>
                <w:rFonts w:cs="Times New Roman"/>
                <w:sz w:val="22"/>
              </w:rPr>
              <w:t>600 aprox. (3)</w:t>
            </w:r>
          </w:p>
        </w:tc>
        <w:tc>
          <w:tcPr>
            <w:tcW w:w="564" w:type="pct"/>
            <w:tcBorders>
              <w:top w:val="single" w:sz="4" w:space="0" w:color="auto"/>
            </w:tcBorders>
          </w:tcPr>
          <w:p w14:paraId="5A3B4867" w14:textId="77777777" w:rsidR="00056BE5" w:rsidRPr="009C244C" w:rsidRDefault="00056BE5" w:rsidP="007A4FE8">
            <w:pPr>
              <w:jc w:val="both"/>
              <w:rPr>
                <w:rFonts w:cs="Times New Roman"/>
                <w:sz w:val="22"/>
              </w:rPr>
            </w:pPr>
            <w:r w:rsidRPr="009C244C">
              <w:rPr>
                <w:rFonts w:cs="Times New Roman"/>
                <w:sz w:val="22"/>
              </w:rPr>
              <w:t>5 (3)</w:t>
            </w:r>
          </w:p>
        </w:tc>
        <w:tc>
          <w:tcPr>
            <w:tcW w:w="1724" w:type="pct"/>
            <w:tcBorders>
              <w:top w:val="single" w:sz="4" w:space="0" w:color="auto"/>
            </w:tcBorders>
          </w:tcPr>
          <w:p w14:paraId="2F557FDF" w14:textId="77777777" w:rsidR="00056BE5" w:rsidRPr="009C244C" w:rsidRDefault="00056BE5" w:rsidP="007A4FE8">
            <w:pPr>
              <w:jc w:val="both"/>
              <w:rPr>
                <w:rFonts w:cs="Times New Roman"/>
                <w:sz w:val="22"/>
              </w:rPr>
            </w:pPr>
            <w:r w:rsidRPr="009C244C">
              <w:rPr>
                <w:rFonts w:cs="Times New Roman"/>
                <w:sz w:val="22"/>
              </w:rPr>
              <w:t xml:space="preserve">San Pablo, San Martín, San Rafael, Buena Vista y </w:t>
            </w:r>
            <w:proofErr w:type="spellStart"/>
            <w:r w:rsidRPr="009C244C">
              <w:rPr>
                <w:rFonts w:cs="Times New Roman"/>
                <w:sz w:val="22"/>
              </w:rPr>
              <w:t>Asua</w:t>
            </w:r>
            <w:proofErr w:type="spellEnd"/>
            <w:r w:rsidRPr="009C244C">
              <w:rPr>
                <w:rFonts w:cs="Times New Roman"/>
                <w:sz w:val="22"/>
              </w:rPr>
              <w:t xml:space="preserve"> de Pinos (3)</w:t>
            </w:r>
          </w:p>
        </w:tc>
        <w:tc>
          <w:tcPr>
            <w:tcW w:w="532" w:type="pct"/>
            <w:gridSpan w:val="2"/>
            <w:tcBorders>
              <w:top w:val="single" w:sz="4" w:space="0" w:color="auto"/>
            </w:tcBorders>
          </w:tcPr>
          <w:p w14:paraId="7E17496D" w14:textId="77777777" w:rsidR="00056BE5" w:rsidRPr="009C244C" w:rsidRDefault="00056BE5" w:rsidP="007A4FE8">
            <w:pPr>
              <w:jc w:val="both"/>
              <w:rPr>
                <w:rFonts w:cs="Times New Roman"/>
                <w:sz w:val="22"/>
              </w:rPr>
            </w:pPr>
          </w:p>
        </w:tc>
      </w:tr>
      <w:tr w:rsidR="004525D3" w:rsidRPr="009C244C" w14:paraId="15FB2912" w14:textId="77777777" w:rsidTr="009F5136">
        <w:trPr>
          <w:trHeight w:val="1056"/>
        </w:trPr>
        <w:tc>
          <w:tcPr>
            <w:tcW w:w="422" w:type="pct"/>
          </w:tcPr>
          <w:p w14:paraId="77DB196D" w14:textId="77777777" w:rsidR="00056BE5" w:rsidRPr="009C244C" w:rsidRDefault="00056BE5" w:rsidP="00B36B1D">
            <w:pPr>
              <w:jc w:val="both"/>
              <w:rPr>
                <w:rFonts w:cs="Times New Roman"/>
                <w:sz w:val="22"/>
              </w:rPr>
            </w:pPr>
            <w:r w:rsidRPr="009C244C">
              <w:rPr>
                <w:rFonts w:cs="Times New Roman"/>
                <w:sz w:val="22"/>
              </w:rPr>
              <w:t>Cervantes (Consejo distrito)</w:t>
            </w:r>
          </w:p>
        </w:tc>
        <w:tc>
          <w:tcPr>
            <w:tcW w:w="387" w:type="pct"/>
          </w:tcPr>
          <w:p w14:paraId="2B6B6089" w14:textId="77777777" w:rsidR="00056BE5" w:rsidRPr="009C244C" w:rsidRDefault="00056BE5" w:rsidP="007A4FE8">
            <w:pPr>
              <w:jc w:val="both"/>
              <w:rPr>
                <w:rFonts w:cs="Times New Roman"/>
                <w:sz w:val="22"/>
              </w:rPr>
            </w:pPr>
            <w:r w:rsidRPr="009C244C">
              <w:rPr>
                <w:rFonts w:cs="Times New Roman"/>
                <w:sz w:val="22"/>
              </w:rPr>
              <w:t>4 (3)</w:t>
            </w:r>
          </w:p>
        </w:tc>
        <w:tc>
          <w:tcPr>
            <w:tcW w:w="963" w:type="pct"/>
          </w:tcPr>
          <w:p w14:paraId="51633E03" w14:textId="77777777" w:rsidR="00056BE5" w:rsidRPr="009C244C" w:rsidRDefault="00056BE5" w:rsidP="007A4FE8">
            <w:pPr>
              <w:jc w:val="both"/>
              <w:rPr>
                <w:rFonts w:cs="Times New Roman"/>
                <w:sz w:val="22"/>
              </w:rPr>
            </w:pPr>
            <w:r w:rsidRPr="009C244C">
              <w:rPr>
                <w:rFonts w:cs="Times New Roman"/>
                <w:sz w:val="22"/>
              </w:rPr>
              <w:t>Bajo Cervantes, Descanso, San Pancracio, Centro (3)</w:t>
            </w:r>
          </w:p>
        </w:tc>
        <w:tc>
          <w:tcPr>
            <w:tcW w:w="408" w:type="pct"/>
          </w:tcPr>
          <w:p w14:paraId="674ED58D" w14:textId="77777777" w:rsidR="00056BE5" w:rsidRPr="009C244C" w:rsidRDefault="00056BE5" w:rsidP="007A4FE8">
            <w:pPr>
              <w:jc w:val="both"/>
              <w:rPr>
                <w:rFonts w:cs="Times New Roman"/>
                <w:sz w:val="22"/>
              </w:rPr>
            </w:pPr>
            <w:r w:rsidRPr="009C244C">
              <w:rPr>
                <w:rFonts w:cs="Times New Roman"/>
                <w:sz w:val="22"/>
              </w:rPr>
              <w:t>1880 (3)</w:t>
            </w:r>
          </w:p>
          <w:p w14:paraId="5663619B" w14:textId="77777777" w:rsidR="00056BE5" w:rsidRPr="009C244C" w:rsidRDefault="00056BE5" w:rsidP="007A4FE8">
            <w:pPr>
              <w:jc w:val="both"/>
              <w:rPr>
                <w:rFonts w:cs="Times New Roman"/>
                <w:sz w:val="22"/>
              </w:rPr>
            </w:pPr>
          </w:p>
        </w:tc>
        <w:tc>
          <w:tcPr>
            <w:tcW w:w="564" w:type="pct"/>
          </w:tcPr>
          <w:p w14:paraId="3DA459EA" w14:textId="77777777" w:rsidR="00056BE5" w:rsidRPr="009C244C" w:rsidRDefault="00056BE5" w:rsidP="007A4FE8">
            <w:pPr>
              <w:jc w:val="both"/>
              <w:rPr>
                <w:rFonts w:cs="Times New Roman"/>
                <w:sz w:val="22"/>
              </w:rPr>
            </w:pPr>
            <w:r w:rsidRPr="009C244C">
              <w:rPr>
                <w:rFonts w:cs="Times New Roman"/>
                <w:sz w:val="22"/>
              </w:rPr>
              <w:t>1 (3)</w:t>
            </w:r>
          </w:p>
        </w:tc>
        <w:tc>
          <w:tcPr>
            <w:tcW w:w="1724" w:type="pct"/>
          </w:tcPr>
          <w:p w14:paraId="651A4158" w14:textId="52249991" w:rsidR="00056BE5" w:rsidRPr="009C244C" w:rsidRDefault="00056BE5" w:rsidP="007A4FE8">
            <w:pPr>
              <w:jc w:val="both"/>
              <w:rPr>
                <w:rFonts w:cs="Times New Roman"/>
                <w:sz w:val="22"/>
              </w:rPr>
            </w:pPr>
            <w:r w:rsidRPr="009C244C">
              <w:rPr>
                <w:rFonts w:cs="Times New Roman"/>
                <w:sz w:val="22"/>
              </w:rPr>
              <w:t>María Auxiliadora, Santa Marta y Santiago (3)</w:t>
            </w:r>
          </w:p>
        </w:tc>
        <w:tc>
          <w:tcPr>
            <w:tcW w:w="532" w:type="pct"/>
            <w:gridSpan w:val="2"/>
          </w:tcPr>
          <w:p w14:paraId="3B49B6EB" w14:textId="77777777" w:rsidR="00056BE5" w:rsidRPr="009C244C" w:rsidRDefault="00056BE5" w:rsidP="007A4FE8">
            <w:pPr>
              <w:jc w:val="both"/>
              <w:rPr>
                <w:rFonts w:cs="Times New Roman"/>
                <w:sz w:val="22"/>
              </w:rPr>
            </w:pPr>
            <w:r w:rsidRPr="009C244C">
              <w:rPr>
                <w:rFonts w:cs="Times New Roman"/>
                <w:sz w:val="22"/>
              </w:rPr>
              <w:t xml:space="preserve">No hay dato </w:t>
            </w:r>
          </w:p>
        </w:tc>
      </w:tr>
      <w:tr w:rsidR="004525D3" w:rsidRPr="009C244C" w14:paraId="180378E0" w14:textId="77777777" w:rsidTr="009F5136">
        <w:tc>
          <w:tcPr>
            <w:tcW w:w="422" w:type="pct"/>
          </w:tcPr>
          <w:p w14:paraId="5F6346E4" w14:textId="77777777" w:rsidR="00056BE5" w:rsidRPr="009C244C" w:rsidRDefault="00056BE5" w:rsidP="00B36B1D">
            <w:pPr>
              <w:jc w:val="both"/>
              <w:rPr>
                <w:rFonts w:cs="Times New Roman"/>
                <w:sz w:val="22"/>
              </w:rPr>
            </w:pPr>
            <w:r w:rsidRPr="009C244C">
              <w:rPr>
                <w:rFonts w:cs="Times New Roman"/>
                <w:sz w:val="22"/>
              </w:rPr>
              <w:t>Oreamuno</w:t>
            </w:r>
          </w:p>
        </w:tc>
        <w:tc>
          <w:tcPr>
            <w:tcW w:w="387" w:type="pct"/>
          </w:tcPr>
          <w:p w14:paraId="7EA3913C" w14:textId="77777777" w:rsidR="00056BE5" w:rsidRPr="009C244C" w:rsidRDefault="00056BE5" w:rsidP="007A4FE8">
            <w:pPr>
              <w:jc w:val="both"/>
              <w:rPr>
                <w:rFonts w:cs="Times New Roman"/>
                <w:sz w:val="22"/>
              </w:rPr>
            </w:pPr>
            <w:r w:rsidRPr="009C244C">
              <w:rPr>
                <w:rFonts w:cs="Times New Roman"/>
                <w:sz w:val="22"/>
              </w:rPr>
              <w:t>9 (1)</w:t>
            </w:r>
          </w:p>
        </w:tc>
        <w:tc>
          <w:tcPr>
            <w:tcW w:w="963" w:type="pct"/>
          </w:tcPr>
          <w:p w14:paraId="6407A707" w14:textId="77777777" w:rsidR="00056BE5" w:rsidRPr="009C244C" w:rsidRDefault="00056BE5" w:rsidP="007A4FE8">
            <w:pPr>
              <w:jc w:val="both"/>
              <w:rPr>
                <w:rFonts w:cs="Times New Roman"/>
                <w:sz w:val="22"/>
              </w:rPr>
            </w:pPr>
            <w:r w:rsidRPr="009C244C">
              <w:rPr>
                <w:rFonts w:cs="Times New Roman"/>
                <w:sz w:val="22"/>
              </w:rPr>
              <w:t xml:space="preserve">San Rafael: centro, norte, noreste, sur, Segura, Santa Eduviges, Calle Chinchilla, </w:t>
            </w:r>
            <w:proofErr w:type="spellStart"/>
            <w:r w:rsidRPr="009C244C">
              <w:rPr>
                <w:rFonts w:cs="Times New Roman"/>
                <w:sz w:val="22"/>
              </w:rPr>
              <w:t>Yerris</w:t>
            </w:r>
            <w:proofErr w:type="spellEnd"/>
            <w:r w:rsidRPr="009C244C">
              <w:rPr>
                <w:rFonts w:cs="Times New Roman"/>
                <w:sz w:val="22"/>
              </w:rPr>
              <w:t>, Calle Lucas (1)</w:t>
            </w:r>
          </w:p>
        </w:tc>
        <w:tc>
          <w:tcPr>
            <w:tcW w:w="408" w:type="pct"/>
          </w:tcPr>
          <w:p w14:paraId="149F97AE" w14:textId="77777777" w:rsidR="00056BE5" w:rsidRPr="009C244C" w:rsidRDefault="00056BE5" w:rsidP="007A4FE8">
            <w:pPr>
              <w:jc w:val="both"/>
              <w:rPr>
                <w:rFonts w:cs="Times New Roman"/>
                <w:sz w:val="22"/>
              </w:rPr>
            </w:pPr>
          </w:p>
        </w:tc>
        <w:tc>
          <w:tcPr>
            <w:tcW w:w="564" w:type="pct"/>
          </w:tcPr>
          <w:p w14:paraId="498AA369" w14:textId="77777777" w:rsidR="00056BE5" w:rsidRPr="009C244C" w:rsidRDefault="00056BE5" w:rsidP="007A4FE8">
            <w:pPr>
              <w:jc w:val="both"/>
              <w:rPr>
                <w:rFonts w:cs="Times New Roman"/>
                <w:sz w:val="22"/>
              </w:rPr>
            </w:pPr>
            <w:r w:rsidRPr="009C244C">
              <w:rPr>
                <w:rFonts w:cs="Times New Roman"/>
                <w:sz w:val="22"/>
              </w:rPr>
              <w:t>7 (2)</w:t>
            </w:r>
          </w:p>
        </w:tc>
        <w:tc>
          <w:tcPr>
            <w:tcW w:w="1724" w:type="pct"/>
          </w:tcPr>
          <w:p w14:paraId="66ABCBA2" w14:textId="77777777" w:rsidR="00056BE5" w:rsidRPr="009C244C" w:rsidRDefault="00056BE5" w:rsidP="007A4FE8">
            <w:pPr>
              <w:jc w:val="both"/>
              <w:rPr>
                <w:rFonts w:cs="Times New Roman"/>
                <w:sz w:val="22"/>
              </w:rPr>
            </w:pPr>
            <w:proofErr w:type="spellStart"/>
            <w:r w:rsidRPr="009C244C">
              <w:rPr>
                <w:rFonts w:cs="Times New Roman"/>
                <w:sz w:val="22"/>
              </w:rPr>
              <w:t>Cot</w:t>
            </w:r>
            <w:proofErr w:type="spellEnd"/>
            <w:r w:rsidRPr="009C244C">
              <w:rPr>
                <w:rFonts w:cs="Times New Roman"/>
                <w:sz w:val="22"/>
              </w:rPr>
              <w:t xml:space="preserve">; Potrero Cerrado: San Juan de </w:t>
            </w:r>
            <w:proofErr w:type="spellStart"/>
            <w:r w:rsidRPr="009C244C">
              <w:rPr>
                <w:rFonts w:cs="Times New Roman"/>
                <w:sz w:val="22"/>
              </w:rPr>
              <w:t>Chicoa</w:t>
            </w:r>
            <w:proofErr w:type="spellEnd"/>
            <w:r w:rsidRPr="009C244C">
              <w:rPr>
                <w:rFonts w:cs="Times New Roman"/>
                <w:sz w:val="22"/>
              </w:rPr>
              <w:t xml:space="preserve"> y centro;</w:t>
            </w:r>
          </w:p>
          <w:p w14:paraId="67AFF38B" w14:textId="77777777" w:rsidR="00056BE5" w:rsidRPr="009C244C" w:rsidRDefault="00056BE5" w:rsidP="007A4FE8">
            <w:pPr>
              <w:jc w:val="both"/>
              <w:rPr>
                <w:rFonts w:cs="Times New Roman"/>
                <w:sz w:val="22"/>
              </w:rPr>
            </w:pPr>
            <w:r w:rsidRPr="009C244C">
              <w:rPr>
                <w:rFonts w:cs="Times New Roman"/>
                <w:sz w:val="22"/>
              </w:rPr>
              <w:t xml:space="preserve">Cipreses: centro, Paso Ancho y </w:t>
            </w:r>
            <w:proofErr w:type="spellStart"/>
            <w:r w:rsidRPr="009C244C">
              <w:rPr>
                <w:rFonts w:cs="Times New Roman"/>
                <w:sz w:val="22"/>
              </w:rPr>
              <w:t>Boqueron</w:t>
            </w:r>
            <w:proofErr w:type="spellEnd"/>
            <w:r w:rsidRPr="009C244C">
              <w:rPr>
                <w:rFonts w:cs="Times New Roman"/>
                <w:sz w:val="22"/>
              </w:rPr>
              <w:t>; Santa Rosa: San Pablo y centro.  (2)</w:t>
            </w:r>
          </w:p>
        </w:tc>
        <w:tc>
          <w:tcPr>
            <w:tcW w:w="532" w:type="pct"/>
            <w:gridSpan w:val="2"/>
          </w:tcPr>
          <w:p w14:paraId="641F18B3" w14:textId="77777777" w:rsidR="00056BE5" w:rsidRPr="009C244C" w:rsidRDefault="00056BE5" w:rsidP="007A4FE8">
            <w:pPr>
              <w:jc w:val="both"/>
              <w:rPr>
                <w:rFonts w:cs="Times New Roman"/>
                <w:sz w:val="22"/>
              </w:rPr>
            </w:pPr>
            <w:r w:rsidRPr="009C244C">
              <w:rPr>
                <w:rFonts w:cs="Times New Roman"/>
                <w:sz w:val="22"/>
              </w:rPr>
              <w:t>ND</w:t>
            </w:r>
          </w:p>
        </w:tc>
      </w:tr>
      <w:tr w:rsidR="004525D3" w:rsidRPr="009C244C" w14:paraId="663733B2" w14:textId="77777777" w:rsidTr="009F5136">
        <w:tc>
          <w:tcPr>
            <w:tcW w:w="422" w:type="pct"/>
          </w:tcPr>
          <w:p w14:paraId="5840E7CA" w14:textId="77777777" w:rsidR="00056BE5" w:rsidRPr="009C244C" w:rsidRDefault="00056BE5" w:rsidP="00B36B1D">
            <w:pPr>
              <w:jc w:val="both"/>
              <w:rPr>
                <w:rFonts w:cs="Times New Roman"/>
                <w:sz w:val="22"/>
              </w:rPr>
            </w:pPr>
            <w:r w:rsidRPr="009C244C">
              <w:rPr>
                <w:rFonts w:cs="Times New Roman"/>
                <w:sz w:val="22"/>
              </w:rPr>
              <w:t>Jiménez</w:t>
            </w:r>
          </w:p>
        </w:tc>
        <w:tc>
          <w:tcPr>
            <w:tcW w:w="387" w:type="pct"/>
          </w:tcPr>
          <w:p w14:paraId="4D0915FC" w14:textId="77777777" w:rsidR="00056BE5" w:rsidRPr="009C244C" w:rsidRDefault="00056BE5" w:rsidP="007A4FE8">
            <w:pPr>
              <w:jc w:val="both"/>
              <w:rPr>
                <w:rFonts w:cs="Times New Roman"/>
                <w:sz w:val="22"/>
              </w:rPr>
            </w:pPr>
            <w:r w:rsidRPr="009C244C">
              <w:rPr>
                <w:rFonts w:cs="Times New Roman"/>
                <w:sz w:val="22"/>
              </w:rPr>
              <w:t>2 (1)</w:t>
            </w:r>
          </w:p>
        </w:tc>
        <w:tc>
          <w:tcPr>
            <w:tcW w:w="963" w:type="pct"/>
          </w:tcPr>
          <w:p w14:paraId="709D4A12" w14:textId="77777777" w:rsidR="00056BE5" w:rsidRPr="009C244C" w:rsidRDefault="00056BE5" w:rsidP="007A4FE8">
            <w:pPr>
              <w:jc w:val="both"/>
              <w:rPr>
                <w:rFonts w:cs="Times New Roman"/>
                <w:sz w:val="22"/>
              </w:rPr>
            </w:pPr>
            <w:r w:rsidRPr="009C244C">
              <w:rPr>
                <w:rFonts w:cs="Times New Roman"/>
                <w:sz w:val="22"/>
              </w:rPr>
              <w:t>Juan Viñas centro, La Victoria (3)</w:t>
            </w:r>
          </w:p>
        </w:tc>
        <w:tc>
          <w:tcPr>
            <w:tcW w:w="408" w:type="pct"/>
          </w:tcPr>
          <w:p w14:paraId="5D2F9976" w14:textId="77777777" w:rsidR="00056BE5" w:rsidRPr="009C244C" w:rsidRDefault="00056BE5" w:rsidP="007A4FE8">
            <w:pPr>
              <w:jc w:val="both"/>
              <w:rPr>
                <w:rFonts w:cs="Times New Roman"/>
                <w:sz w:val="22"/>
              </w:rPr>
            </w:pPr>
            <w:r w:rsidRPr="009C244C">
              <w:rPr>
                <w:rFonts w:cs="Times New Roman"/>
                <w:sz w:val="22"/>
              </w:rPr>
              <w:t>1718 (3)</w:t>
            </w:r>
          </w:p>
        </w:tc>
        <w:tc>
          <w:tcPr>
            <w:tcW w:w="564" w:type="pct"/>
          </w:tcPr>
          <w:p w14:paraId="061F26B4" w14:textId="77777777" w:rsidR="00056BE5" w:rsidRPr="009C244C" w:rsidRDefault="00056BE5" w:rsidP="007A4FE8">
            <w:pPr>
              <w:jc w:val="both"/>
              <w:rPr>
                <w:rFonts w:cs="Times New Roman"/>
                <w:sz w:val="22"/>
              </w:rPr>
            </w:pPr>
            <w:r w:rsidRPr="009C244C">
              <w:rPr>
                <w:rFonts w:cs="Times New Roman"/>
                <w:sz w:val="22"/>
              </w:rPr>
              <w:t xml:space="preserve">7 (4 en Juan Viñas, 3 en Pejibaye y 1 en </w:t>
            </w:r>
            <w:proofErr w:type="spellStart"/>
            <w:r w:rsidRPr="009C244C">
              <w:rPr>
                <w:rFonts w:cs="Times New Roman"/>
                <w:sz w:val="22"/>
              </w:rPr>
              <w:t>Tucurrique</w:t>
            </w:r>
            <w:proofErr w:type="spellEnd"/>
            <w:r w:rsidRPr="009C244C">
              <w:rPr>
                <w:rFonts w:cs="Times New Roman"/>
                <w:sz w:val="22"/>
              </w:rPr>
              <w:t>)</w:t>
            </w:r>
          </w:p>
        </w:tc>
        <w:tc>
          <w:tcPr>
            <w:tcW w:w="1724" w:type="pct"/>
          </w:tcPr>
          <w:p w14:paraId="741C6AE7" w14:textId="77777777" w:rsidR="00056BE5" w:rsidRPr="009C244C" w:rsidRDefault="00056BE5" w:rsidP="007A4FE8">
            <w:pPr>
              <w:jc w:val="both"/>
              <w:rPr>
                <w:rFonts w:cs="Times New Roman"/>
                <w:sz w:val="22"/>
              </w:rPr>
            </w:pPr>
            <w:r w:rsidRPr="009C244C">
              <w:rPr>
                <w:rFonts w:cs="Times New Roman"/>
                <w:sz w:val="22"/>
              </w:rPr>
              <w:t>Juan Viñas: San Martín, Los Alpes, Buenos Aires, Santa Eduviges.</w:t>
            </w:r>
          </w:p>
          <w:p w14:paraId="013E23DF" w14:textId="77777777" w:rsidR="00056BE5" w:rsidRPr="009C244C" w:rsidRDefault="00056BE5" w:rsidP="007A4FE8">
            <w:pPr>
              <w:jc w:val="both"/>
              <w:rPr>
                <w:rFonts w:cs="Times New Roman"/>
                <w:sz w:val="22"/>
              </w:rPr>
            </w:pPr>
            <w:r w:rsidRPr="009C244C">
              <w:rPr>
                <w:rFonts w:cs="Times New Roman"/>
                <w:sz w:val="22"/>
              </w:rPr>
              <w:t>Pejibaye: Humo, centro;</w:t>
            </w:r>
          </w:p>
          <w:p w14:paraId="47F2D08B" w14:textId="77777777" w:rsidR="00056BE5" w:rsidRPr="009C244C" w:rsidRDefault="00056BE5" w:rsidP="007A4FE8">
            <w:pPr>
              <w:jc w:val="both"/>
              <w:rPr>
                <w:rFonts w:cs="Times New Roman"/>
                <w:sz w:val="22"/>
              </w:rPr>
            </w:pPr>
            <w:proofErr w:type="spellStart"/>
            <w:r w:rsidRPr="009C244C">
              <w:rPr>
                <w:rFonts w:cs="Times New Roman"/>
                <w:sz w:val="22"/>
              </w:rPr>
              <w:t>Tucurrique</w:t>
            </w:r>
            <w:proofErr w:type="spellEnd"/>
            <w:r w:rsidRPr="009C244C">
              <w:rPr>
                <w:rFonts w:cs="Times New Roman"/>
                <w:sz w:val="22"/>
              </w:rPr>
              <w:t xml:space="preserve"> completo</w:t>
            </w:r>
          </w:p>
        </w:tc>
        <w:tc>
          <w:tcPr>
            <w:tcW w:w="532" w:type="pct"/>
            <w:gridSpan w:val="2"/>
          </w:tcPr>
          <w:p w14:paraId="4937369E" w14:textId="77777777" w:rsidR="00056BE5" w:rsidRPr="009C244C" w:rsidRDefault="00056BE5" w:rsidP="007A4FE8">
            <w:pPr>
              <w:jc w:val="both"/>
              <w:rPr>
                <w:rFonts w:cs="Times New Roman"/>
                <w:sz w:val="22"/>
              </w:rPr>
            </w:pPr>
            <w:r w:rsidRPr="009C244C">
              <w:rPr>
                <w:rFonts w:cs="Times New Roman"/>
                <w:sz w:val="22"/>
              </w:rPr>
              <w:t>270 aprox. En Juan Viñas; resto no hay dato.</w:t>
            </w:r>
          </w:p>
        </w:tc>
      </w:tr>
      <w:tr w:rsidR="004525D3" w:rsidRPr="009C244C" w14:paraId="08C80CFE" w14:textId="77777777" w:rsidTr="009F5136">
        <w:tc>
          <w:tcPr>
            <w:tcW w:w="422" w:type="pct"/>
          </w:tcPr>
          <w:p w14:paraId="6EC72DDF" w14:textId="77777777" w:rsidR="00056BE5" w:rsidRPr="009C244C" w:rsidRDefault="00056BE5" w:rsidP="00B36B1D">
            <w:pPr>
              <w:jc w:val="both"/>
              <w:rPr>
                <w:rFonts w:cs="Times New Roman"/>
                <w:sz w:val="22"/>
              </w:rPr>
            </w:pPr>
            <w:proofErr w:type="spellStart"/>
            <w:r w:rsidRPr="009C244C">
              <w:rPr>
                <w:rFonts w:cs="Times New Roman"/>
                <w:sz w:val="22"/>
              </w:rPr>
              <w:t>Tucurrique</w:t>
            </w:r>
            <w:proofErr w:type="spellEnd"/>
            <w:r w:rsidRPr="009C244C">
              <w:rPr>
                <w:rFonts w:cs="Times New Roman"/>
                <w:sz w:val="22"/>
              </w:rPr>
              <w:t xml:space="preserve"> (Consejo de distrito)</w:t>
            </w:r>
          </w:p>
        </w:tc>
        <w:tc>
          <w:tcPr>
            <w:tcW w:w="387" w:type="pct"/>
          </w:tcPr>
          <w:p w14:paraId="6A37A7AA" w14:textId="77777777" w:rsidR="00056BE5" w:rsidRPr="009C244C" w:rsidRDefault="00056BE5" w:rsidP="007A4FE8">
            <w:pPr>
              <w:jc w:val="both"/>
              <w:rPr>
                <w:rFonts w:cs="Times New Roman"/>
                <w:sz w:val="22"/>
              </w:rPr>
            </w:pPr>
            <w:r w:rsidRPr="009C244C">
              <w:rPr>
                <w:rFonts w:cs="Times New Roman"/>
                <w:sz w:val="22"/>
              </w:rPr>
              <w:t>No tiene</w:t>
            </w:r>
          </w:p>
        </w:tc>
        <w:tc>
          <w:tcPr>
            <w:tcW w:w="963" w:type="pct"/>
          </w:tcPr>
          <w:p w14:paraId="74281513" w14:textId="77777777" w:rsidR="00056BE5" w:rsidRPr="009C244C" w:rsidRDefault="00056BE5" w:rsidP="007A4FE8">
            <w:pPr>
              <w:jc w:val="both"/>
              <w:rPr>
                <w:rFonts w:cs="Times New Roman"/>
                <w:sz w:val="22"/>
              </w:rPr>
            </w:pPr>
          </w:p>
        </w:tc>
        <w:tc>
          <w:tcPr>
            <w:tcW w:w="408" w:type="pct"/>
          </w:tcPr>
          <w:p w14:paraId="40BD5E75" w14:textId="77777777" w:rsidR="00056BE5" w:rsidRPr="009C244C" w:rsidRDefault="00056BE5" w:rsidP="007A4FE8">
            <w:pPr>
              <w:jc w:val="both"/>
              <w:rPr>
                <w:rFonts w:cs="Times New Roman"/>
                <w:sz w:val="22"/>
              </w:rPr>
            </w:pPr>
          </w:p>
        </w:tc>
        <w:tc>
          <w:tcPr>
            <w:tcW w:w="564" w:type="pct"/>
          </w:tcPr>
          <w:p w14:paraId="3BDD7F5A" w14:textId="77777777" w:rsidR="00056BE5" w:rsidRPr="009C244C" w:rsidRDefault="00056BE5" w:rsidP="007A4FE8">
            <w:pPr>
              <w:jc w:val="both"/>
              <w:rPr>
                <w:rFonts w:cs="Times New Roman"/>
                <w:sz w:val="22"/>
              </w:rPr>
            </w:pPr>
            <w:r w:rsidRPr="009C244C">
              <w:rPr>
                <w:rFonts w:cs="Times New Roman"/>
                <w:sz w:val="22"/>
              </w:rPr>
              <w:t>7 (3)</w:t>
            </w:r>
          </w:p>
        </w:tc>
        <w:tc>
          <w:tcPr>
            <w:tcW w:w="1724" w:type="pct"/>
          </w:tcPr>
          <w:p w14:paraId="3B6B7929" w14:textId="0DAED6E9" w:rsidR="00056BE5" w:rsidRPr="009C244C" w:rsidRDefault="00056BE5" w:rsidP="007A4FE8">
            <w:pPr>
              <w:jc w:val="both"/>
              <w:rPr>
                <w:rFonts w:cs="Times New Roman"/>
                <w:sz w:val="22"/>
              </w:rPr>
            </w:pPr>
            <w:r w:rsidRPr="009C244C">
              <w:rPr>
                <w:rFonts w:cs="Times New Roman"/>
                <w:sz w:val="22"/>
              </w:rPr>
              <w:t xml:space="preserve">El Congo, La Flor, Las Vueltas, Los </w:t>
            </w:r>
            <w:r w:rsidR="00EA6458" w:rsidRPr="009C244C">
              <w:rPr>
                <w:rFonts w:cs="Times New Roman"/>
                <w:sz w:val="22"/>
              </w:rPr>
              <w:t>Ángeles</w:t>
            </w:r>
            <w:r w:rsidRPr="009C244C">
              <w:rPr>
                <w:rFonts w:cs="Times New Roman"/>
                <w:sz w:val="22"/>
              </w:rPr>
              <w:t>, Sabanilla, Pueblo Nuevo, San Miguel (3)</w:t>
            </w:r>
          </w:p>
        </w:tc>
        <w:tc>
          <w:tcPr>
            <w:tcW w:w="532" w:type="pct"/>
            <w:gridSpan w:val="2"/>
          </w:tcPr>
          <w:p w14:paraId="2513EF17" w14:textId="77777777" w:rsidR="00056BE5" w:rsidRPr="009C244C" w:rsidRDefault="00056BE5" w:rsidP="007A4FE8">
            <w:pPr>
              <w:jc w:val="both"/>
              <w:rPr>
                <w:rFonts w:cs="Times New Roman"/>
                <w:sz w:val="22"/>
              </w:rPr>
            </w:pPr>
            <w:r w:rsidRPr="009C244C">
              <w:rPr>
                <w:rFonts w:cs="Times New Roman"/>
                <w:sz w:val="22"/>
              </w:rPr>
              <w:t>No hay dato</w:t>
            </w:r>
          </w:p>
        </w:tc>
      </w:tr>
      <w:tr w:rsidR="004525D3" w:rsidRPr="009C244C" w14:paraId="1587A8E1" w14:textId="77777777" w:rsidTr="009F5136">
        <w:tc>
          <w:tcPr>
            <w:tcW w:w="422" w:type="pct"/>
            <w:tcBorders>
              <w:bottom w:val="single" w:sz="4" w:space="0" w:color="auto"/>
            </w:tcBorders>
          </w:tcPr>
          <w:p w14:paraId="7DA71242" w14:textId="77777777" w:rsidR="00056BE5" w:rsidRPr="009C244C" w:rsidRDefault="00056BE5" w:rsidP="00B36B1D">
            <w:pPr>
              <w:jc w:val="both"/>
              <w:rPr>
                <w:rFonts w:cs="Times New Roman"/>
                <w:sz w:val="22"/>
              </w:rPr>
            </w:pPr>
            <w:r w:rsidRPr="009C244C">
              <w:rPr>
                <w:rFonts w:cs="Times New Roman"/>
                <w:sz w:val="22"/>
              </w:rPr>
              <w:t>Turrialba</w:t>
            </w:r>
          </w:p>
        </w:tc>
        <w:tc>
          <w:tcPr>
            <w:tcW w:w="387" w:type="pct"/>
            <w:tcBorders>
              <w:bottom w:val="single" w:sz="4" w:space="0" w:color="auto"/>
            </w:tcBorders>
          </w:tcPr>
          <w:p w14:paraId="0D7471B4" w14:textId="77777777" w:rsidR="00056BE5" w:rsidRPr="009C244C" w:rsidRDefault="00056BE5" w:rsidP="007A4FE8">
            <w:pPr>
              <w:jc w:val="both"/>
              <w:rPr>
                <w:rFonts w:cs="Times New Roman"/>
                <w:sz w:val="22"/>
              </w:rPr>
            </w:pPr>
            <w:r w:rsidRPr="009C244C">
              <w:rPr>
                <w:rFonts w:cs="Times New Roman"/>
                <w:sz w:val="22"/>
              </w:rPr>
              <w:t>7 (1)</w:t>
            </w:r>
          </w:p>
        </w:tc>
        <w:tc>
          <w:tcPr>
            <w:tcW w:w="963" w:type="pct"/>
            <w:tcBorders>
              <w:bottom w:val="single" w:sz="4" w:space="0" w:color="auto"/>
            </w:tcBorders>
          </w:tcPr>
          <w:p w14:paraId="473AC674" w14:textId="77777777" w:rsidR="00056BE5" w:rsidRPr="009C244C" w:rsidRDefault="00056BE5" w:rsidP="007A4FE8">
            <w:pPr>
              <w:jc w:val="both"/>
              <w:rPr>
                <w:rFonts w:cs="Times New Roman"/>
                <w:sz w:val="22"/>
              </w:rPr>
            </w:pPr>
            <w:r w:rsidRPr="009C244C">
              <w:rPr>
                <w:rFonts w:cs="Times New Roman"/>
                <w:sz w:val="22"/>
              </w:rPr>
              <w:t>Centro, Guayabo, Azul, Chitaría, Río Claro, Alto Cruz y Repasto (1)</w:t>
            </w:r>
          </w:p>
        </w:tc>
        <w:tc>
          <w:tcPr>
            <w:tcW w:w="408" w:type="pct"/>
            <w:tcBorders>
              <w:bottom w:val="single" w:sz="4" w:space="0" w:color="auto"/>
            </w:tcBorders>
          </w:tcPr>
          <w:p w14:paraId="34DC3598" w14:textId="77777777" w:rsidR="00056BE5" w:rsidRPr="009C244C" w:rsidRDefault="00056BE5" w:rsidP="007A4FE8">
            <w:pPr>
              <w:jc w:val="both"/>
              <w:rPr>
                <w:rFonts w:cs="Times New Roman"/>
                <w:sz w:val="22"/>
              </w:rPr>
            </w:pPr>
          </w:p>
        </w:tc>
        <w:tc>
          <w:tcPr>
            <w:tcW w:w="564" w:type="pct"/>
            <w:tcBorders>
              <w:bottom w:val="single" w:sz="4" w:space="0" w:color="auto"/>
            </w:tcBorders>
          </w:tcPr>
          <w:p w14:paraId="7F00DFCE" w14:textId="77777777" w:rsidR="00056BE5" w:rsidRPr="009C244C" w:rsidRDefault="00056BE5" w:rsidP="007A4FE8">
            <w:pPr>
              <w:jc w:val="both"/>
              <w:rPr>
                <w:rFonts w:cs="Times New Roman"/>
                <w:sz w:val="22"/>
              </w:rPr>
            </w:pPr>
            <w:r w:rsidRPr="009C244C">
              <w:rPr>
                <w:rFonts w:cs="Times New Roman"/>
                <w:sz w:val="22"/>
              </w:rPr>
              <w:t>53 (3)</w:t>
            </w:r>
          </w:p>
        </w:tc>
        <w:tc>
          <w:tcPr>
            <w:tcW w:w="1724" w:type="pct"/>
            <w:tcBorders>
              <w:bottom w:val="single" w:sz="4" w:space="0" w:color="auto"/>
            </w:tcBorders>
          </w:tcPr>
          <w:p w14:paraId="5F96EF00" w14:textId="77777777" w:rsidR="00056BE5" w:rsidRPr="009C244C" w:rsidRDefault="00056BE5" w:rsidP="007A4FE8">
            <w:pPr>
              <w:jc w:val="both"/>
              <w:rPr>
                <w:rFonts w:cs="Times New Roman"/>
                <w:sz w:val="22"/>
              </w:rPr>
            </w:pPr>
            <w:r w:rsidRPr="009C244C">
              <w:rPr>
                <w:rFonts w:cs="Times New Roman"/>
                <w:b/>
                <w:sz w:val="22"/>
              </w:rPr>
              <w:t>Turrialba:</w:t>
            </w:r>
            <w:r w:rsidRPr="009C244C">
              <w:rPr>
                <w:rFonts w:cs="Times New Roman"/>
                <w:sz w:val="22"/>
              </w:rPr>
              <w:t xml:space="preserve"> Coyol, Nuevos Horizontes, Colorado, La Esmeralda, </w:t>
            </w:r>
            <w:proofErr w:type="spellStart"/>
            <w:r w:rsidRPr="009C244C">
              <w:rPr>
                <w:rFonts w:cs="Times New Roman"/>
                <w:sz w:val="22"/>
              </w:rPr>
              <w:t>Chiz</w:t>
            </w:r>
            <w:proofErr w:type="spellEnd"/>
            <w:r w:rsidRPr="009C244C">
              <w:rPr>
                <w:rFonts w:cs="Times New Roman"/>
                <w:sz w:val="22"/>
              </w:rPr>
              <w:t xml:space="preserve">, Murcia, </w:t>
            </w:r>
            <w:proofErr w:type="spellStart"/>
            <w:r w:rsidRPr="009C244C">
              <w:rPr>
                <w:rFonts w:cs="Times New Roman"/>
                <w:sz w:val="22"/>
              </w:rPr>
              <w:t>Aquiares</w:t>
            </w:r>
            <w:proofErr w:type="spellEnd"/>
            <w:r w:rsidRPr="009C244C">
              <w:rPr>
                <w:rFonts w:cs="Times New Roman"/>
                <w:sz w:val="22"/>
              </w:rPr>
              <w:t xml:space="preserve">, El Recreo, Carmen Lyra; </w:t>
            </w:r>
            <w:r w:rsidRPr="009C244C">
              <w:rPr>
                <w:rFonts w:cs="Times New Roman"/>
                <w:b/>
                <w:sz w:val="22"/>
              </w:rPr>
              <w:t>La Suiza</w:t>
            </w:r>
            <w:r w:rsidRPr="009C244C">
              <w:rPr>
                <w:rFonts w:cs="Times New Roman"/>
                <w:sz w:val="22"/>
              </w:rPr>
              <w:t xml:space="preserve">: El progreso, Pacayitas, centro, La Colonia, Mollejones, El Carmen, Silencio, Canadá, </w:t>
            </w:r>
            <w:proofErr w:type="spellStart"/>
            <w:r w:rsidRPr="009C244C">
              <w:rPr>
                <w:rFonts w:cs="Times New Roman"/>
                <w:sz w:val="22"/>
              </w:rPr>
              <w:t>Atirro</w:t>
            </w:r>
            <w:proofErr w:type="spellEnd"/>
            <w:r w:rsidRPr="009C244C">
              <w:rPr>
                <w:rFonts w:cs="Times New Roman"/>
                <w:sz w:val="22"/>
              </w:rPr>
              <w:t xml:space="preserve">, Silencio Arriba; </w:t>
            </w:r>
          </w:p>
          <w:p w14:paraId="3C5BB4EF" w14:textId="77777777" w:rsidR="00056BE5" w:rsidRPr="009C244C" w:rsidRDefault="00056BE5" w:rsidP="007A4FE8">
            <w:pPr>
              <w:jc w:val="both"/>
              <w:rPr>
                <w:rFonts w:cs="Times New Roman"/>
                <w:sz w:val="22"/>
              </w:rPr>
            </w:pPr>
            <w:r w:rsidRPr="009C244C">
              <w:rPr>
                <w:rFonts w:cs="Times New Roman"/>
                <w:b/>
                <w:sz w:val="22"/>
              </w:rPr>
              <w:lastRenderedPageBreak/>
              <w:t>Peralta</w:t>
            </w:r>
            <w:r w:rsidRPr="009C244C">
              <w:rPr>
                <w:rFonts w:cs="Times New Roman"/>
                <w:sz w:val="22"/>
              </w:rPr>
              <w:t xml:space="preserve">: centro, El Seis, ; </w:t>
            </w:r>
            <w:r w:rsidRPr="009C244C">
              <w:rPr>
                <w:rFonts w:cs="Times New Roman"/>
                <w:b/>
                <w:sz w:val="22"/>
              </w:rPr>
              <w:t>Santa Cruz</w:t>
            </w:r>
            <w:r w:rsidRPr="009C244C">
              <w:rPr>
                <w:rFonts w:cs="Times New Roman"/>
                <w:sz w:val="22"/>
              </w:rPr>
              <w:t xml:space="preserve">: La Pastora, Calle Vargas, centro, Las Virtudes San Antonio, </w:t>
            </w:r>
            <w:proofErr w:type="spellStart"/>
            <w:r w:rsidRPr="009C244C">
              <w:rPr>
                <w:rFonts w:cs="Times New Roman"/>
                <w:sz w:val="22"/>
              </w:rPr>
              <w:t>Tarrazu</w:t>
            </w:r>
            <w:proofErr w:type="spellEnd"/>
            <w:r w:rsidRPr="009C244C">
              <w:rPr>
                <w:rFonts w:cs="Times New Roman"/>
                <w:sz w:val="22"/>
              </w:rPr>
              <w:t xml:space="preserve">; </w:t>
            </w:r>
            <w:r w:rsidRPr="009C244C">
              <w:rPr>
                <w:rFonts w:cs="Times New Roman"/>
                <w:b/>
                <w:sz w:val="22"/>
              </w:rPr>
              <w:t>Santa Teresita</w:t>
            </w:r>
            <w:r w:rsidRPr="009C244C">
              <w:rPr>
                <w:rFonts w:cs="Times New Roman"/>
                <w:sz w:val="22"/>
              </w:rPr>
              <w:t xml:space="preserve">: centro,  San Ramón, Guayabos abajo, El Sauce, Torito y La Oriente; </w:t>
            </w:r>
            <w:r w:rsidRPr="009C244C">
              <w:rPr>
                <w:rFonts w:cs="Times New Roman"/>
                <w:b/>
                <w:sz w:val="22"/>
              </w:rPr>
              <w:t>Pavones</w:t>
            </w:r>
            <w:r w:rsidRPr="009C244C">
              <w:rPr>
                <w:rFonts w:cs="Times New Roman"/>
                <w:sz w:val="22"/>
              </w:rPr>
              <w:t xml:space="preserve">: centro, </w:t>
            </w:r>
            <w:proofErr w:type="spellStart"/>
            <w:r w:rsidRPr="009C244C">
              <w:rPr>
                <w:rFonts w:cs="Times New Roman"/>
                <w:sz w:val="22"/>
              </w:rPr>
              <w:t>Eslabon</w:t>
            </w:r>
            <w:proofErr w:type="spellEnd"/>
            <w:r w:rsidRPr="009C244C">
              <w:rPr>
                <w:rFonts w:cs="Times New Roman"/>
                <w:sz w:val="22"/>
              </w:rPr>
              <w:t xml:space="preserve">, Sitio de Mata, Mata de Guineo; </w:t>
            </w:r>
            <w:r w:rsidRPr="009C244C">
              <w:rPr>
                <w:rFonts w:cs="Times New Roman"/>
                <w:b/>
                <w:sz w:val="22"/>
              </w:rPr>
              <w:t>Tuis</w:t>
            </w:r>
            <w:r w:rsidRPr="009C244C">
              <w:rPr>
                <w:rFonts w:cs="Times New Roman"/>
                <w:sz w:val="22"/>
              </w:rPr>
              <w:t xml:space="preserve">: centro, Las Nubes, </w:t>
            </w:r>
            <w:proofErr w:type="spellStart"/>
            <w:r w:rsidRPr="009C244C">
              <w:rPr>
                <w:rFonts w:cs="Times New Roman"/>
                <w:b/>
                <w:sz w:val="22"/>
              </w:rPr>
              <w:t>Tayutic</w:t>
            </w:r>
            <w:proofErr w:type="spellEnd"/>
            <w:r w:rsidRPr="009C244C">
              <w:rPr>
                <w:rFonts w:cs="Times New Roman"/>
                <w:sz w:val="22"/>
              </w:rPr>
              <w:t xml:space="preserve">: Piedras Redondas, San Martín, San Antonio, Bajo Pacuare, Dulce Nombre, Platanillo, San Juan Bosco, Santa Rosa; </w:t>
            </w:r>
            <w:r w:rsidRPr="009C244C">
              <w:rPr>
                <w:rFonts w:cs="Times New Roman"/>
                <w:b/>
                <w:sz w:val="22"/>
              </w:rPr>
              <w:t>Tres Equis</w:t>
            </w:r>
            <w:r w:rsidRPr="009C244C">
              <w:rPr>
                <w:rFonts w:cs="Times New Roman"/>
                <w:sz w:val="22"/>
              </w:rPr>
              <w:t xml:space="preserve">: centro, La Flor; </w:t>
            </w:r>
            <w:r w:rsidRPr="009C244C">
              <w:rPr>
                <w:rFonts w:cs="Times New Roman"/>
                <w:b/>
                <w:sz w:val="22"/>
              </w:rPr>
              <w:t>Santa Isabel</w:t>
            </w:r>
            <w:r w:rsidRPr="009C244C">
              <w:rPr>
                <w:rFonts w:cs="Times New Roman"/>
                <w:sz w:val="22"/>
              </w:rPr>
              <w:t xml:space="preserve">: Olivos, San Martín, Las Brisas, Alto Varas; Santa Rosa: Verbena Sur, Santa Eduviges (3) </w:t>
            </w:r>
          </w:p>
        </w:tc>
        <w:tc>
          <w:tcPr>
            <w:tcW w:w="532" w:type="pct"/>
            <w:gridSpan w:val="2"/>
            <w:tcBorders>
              <w:bottom w:val="single" w:sz="4" w:space="0" w:color="auto"/>
            </w:tcBorders>
          </w:tcPr>
          <w:p w14:paraId="2538F7D0" w14:textId="77777777" w:rsidR="00056BE5" w:rsidRPr="009C244C" w:rsidRDefault="00056BE5" w:rsidP="007A4FE8">
            <w:pPr>
              <w:jc w:val="both"/>
              <w:rPr>
                <w:rFonts w:cs="Times New Roman"/>
                <w:sz w:val="22"/>
              </w:rPr>
            </w:pPr>
            <w:r w:rsidRPr="009C244C">
              <w:rPr>
                <w:rFonts w:cs="Times New Roman"/>
                <w:sz w:val="22"/>
              </w:rPr>
              <w:lastRenderedPageBreak/>
              <w:t>No hay dato</w:t>
            </w:r>
          </w:p>
        </w:tc>
      </w:tr>
    </w:tbl>
    <w:p w14:paraId="19A9A9ED" w14:textId="5B410A54" w:rsidR="00056BE5" w:rsidRPr="00EA6458" w:rsidRDefault="00B27F5B" w:rsidP="00B36B1D">
      <w:pPr>
        <w:spacing w:after="0"/>
        <w:ind w:left="851" w:hanging="851"/>
        <w:jc w:val="both"/>
        <w:rPr>
          <w:sz w:val="20"/>
          <w:szCs w:val="20"/>
        </w:rPr>
      </w:pPr>
      <w:r>
        <w:rPr>
          <w:sz w:val="20"/>
          <w:szCs w:val="20"/>
        </w:rPr>
        <w:t>Fuentes:</w:t>
      </w:r>
      <w:r>
        <w:rPr>
          <w:sz w:val="20"/>
          <w:szCs w:val="20"/>
        </w:rPr>
        <w:tab/>
      </w:r>
      <w:r w:rsidR="00056BE5" w:rsidRPr="00EA6458">
        <w:rPr>
          <w:sz w:val="20"/>
          <w:szCs w:val="20"/>
        </w:rPr>
        <w:t xml:space="preserve">(1) </w:t>
      </w:r>
      <w:r w:rsidR="00056BE5" w:rsidRPr="00BF3711">
        <w:rPr>
          <w:color w:val="4F81BD" w:themeColor="accent1"/>
          <w:sz w:val="20"/>
          <w:szCs w:val="20"/>
        </w:rPr>
        <w:t xml:space="preserve">Contraloría General de la República </w:t>
      </w:r>
      <w:r w:rsidR="00BF3711" w:rsidRPr="00BF3711">
        <w:rPr>
          <w:color w:val="4F81BD" w:themeColor="accent1"/>
          <w:sz w:val="20"/>
          <w:szCs w:val="20"/>
        </w:rPr>
        <w:t>(</w:t>
      </w:r>
      <w:r w:rsidR="00056BE5" w:rsidRPr="00BF3711">
        <w:rPr>
          <w:color w:val="4F81BD" w:themeColor="accent1"/>
          <w:sz w:val="20"/>
          <w:szCs w:val="20"/>
        </w:rPr>
        <w:t>2016</w:t>
      </w:r>
      <w:r w:rsidR="00BF3711" w:rsidRPr="00BF3711">
        <w:rPr>
          <w:color w:val="4F81BD" w:themeColor="accent1"/>
          <w:sz w:val="20"/>
          <w:szCs w:val="20"/>
        </w:rPr>
        <w:t>)</w:t>
      </w:r>
      <w:r w:rsidR="00BF3711">
        <w:rPr>
          <w:sz w:val="20"/>
          <w:szCs w:val="20"/>
        </w:rPr>
        <w:t xml:space="preserve">; </w:t>
      </w:r>
      <w:r w:rsidR="00056BE5" w:rsidRPr="00EA6458">
        <w:rPr>
          <w:sz w:val="20"/>
          <w:szCs w:val="20"/>
        </w:rPr>
        <w:t xml:space="preserve">(2) Consulta personal a: Ing. </w:t>
      </w:r>
      <w:proofErr w:type="spellStart"/>
      <w:r w:rsidR="00056BE5" w:rsidRPr="00EA6458">
        <w:rPr>
          <w:sz w:val="20"/>
          <w:szCs w:val="20"/>
        </w:rPr>
        <w:t>Nataly</w:t>
      </w:r>
      <w:proofErr w:type="spellEnd"/>
      <w:r w:rsidR="00056BE5" w:rsidRPr="00EA6458">
        <w:rPr>
          <w:sz w:val="20"/>
          <w:szCs w:val="20"/>
        </w:rPr>
        <w:t xml:space="preserve"> Quesada Víquez, encargada acueducto Alvarado; Ing. Atahualpa Pérez, encargado acueducto Cervantes; Ing. Carlos Petersen, encargado acueducto Jiménez; 2019.</w:t>
      </w:r>
      <w:r w:rsidR="00BF3711">
        <w:rPr>
          <w:sz w:val="20"/>
          <w:szCs w:val="20"/>
        </w:rPr>
        <w:t xml:space="preserve">; </w:t>
      </w:r>
      <w:r w:rsidR="00056BE5" w:rsidRPr="00EA6458">
        <w:rPr>
          <w:sz w:val="20"/>
          <w:szCs w:val="20"/>
        </w:rPr>
        <w:t>(3) Listado de Asadas</w:t>
      </w:r>
      <w:r>
        <w:rPr>
          <w:sz w:val="20"/>
          <w:szCs w:val="20"/>
        </w:rPr>
        <w:t>.</w:t>
      </w:r>
    </w:p>
    <w:p w14:paraId="2DCEE2CE" w14:textId="61242BD6" w:rsidR="00056BE5" w:rsidRDefault="00056BE5" w:rsidP="007A4FE8">
      <w:pPr>
        <w:jc w:val="both"/>
      </w:pPr>
    </w:p>
    <w:p w14:paraId="43B29A9E" w14:textId="35E26C20" w:rsidR="004525D3" w:rsidRDefault="004525D3" w:rsidP="007A4FE8">
      <w:pPr>
        <w:jc w:val="both"/>
      </w:pPr>
    </w:p>
    <w:p w14:paraId="4A5AE177" w14:textId="332D9AED" w:rsidR="004525D3" w:rsidRDefault="004525D3" w:rsidP="007A4FE8">
      <w:pPr>
        <w:jc w:val="both"/>
      </w:pPr>
    </w:p>
    <w:p w14:paraId="779D41D9" w14:textId="497E24E9" w:rsidR="004525D3" w:rsidRDefault="004525D3" w:rsidP="007A4FE8">
      <w:pPr>
        <w:jc w:val="both"/>
      </w:pPr>
    </w:p>
    <w:p w14:paraId="075ACC0D" w14:textId="0ECC545E" w:rsidR="004525D3" w:rsidRDefault="004525D3" w:rsidP="007A4FE8">
      <w:pPr>
        <w:jc w:val="both"/>
      </w:pPr>
    </w:p>
    <w:p w14:paraId="4FCD48AE" w14:textId="6B081257" w:rsidR="004525D3" w:rsidRDefault="004525D3" w:rsidP="007A4FE8">
      <w:pPr>
        <w:jc w:val="both"/>
      </w:pPr>
    </w:p>
    <w:p w14:paraId="10AA2075" w14:textId="77777777" w:rsidR="004525D3" w:rsidRDefault="004525D3" w:rsidP="007A4FE8">
      <w:pPr>
        <w:spacing w:after="0"/>
        <w:rPr>
          <w:b/>
        </w:rPr>
        <w:sectPr w:rsidR="004525D3" w:rsidSect="004525D3">
          <w:pgSz w:w="16838" w:h="11906" w:orient="landscape" w:code="9"/>
          <w:pgMar w:top="1418" w:right="1418" w:bottom="1418" w:left="1418" w:header="709" w:footer="709" w:gutter="0"/>
          <w:cols w:space="708"/>
          <w:docGrid w:linePitch="360"/>
        </w:sectPr>
      </w:pPr>
      <w:bookmarkStart w:id="12" w:name="_Ref14520485"/>
    </w:p>
    <w:p w14:paraId="1F9E09BD" w14:textId="4BFB08C1" w:rsidR="00F60B69" w:rsidRDefault="00B71F49" w:rsidP="007A4FE8">
      <w:pPr>
        <w:spacing w:after="0"/>
      </w:pPr>
      <w:r>
        <w:rPr>
          <w:b/>
        </w:rPr>
        <w:lastRenderedPageBreak/>
        <w:t xml:space="preserve">Apéndice </w:t>
      </w:r>
      <w:bookmarkEnd w:id="12"/>
      <w:r w:rsidR="00C859A4">
        <w:rPr>
          <w:b/>
          <w:noProof/>
        </w:rPr>
        <w:t>2</w:t>
      </w:r>
      <w:r w:rsidR="00F60B69" w:rsidRPr="00B338A8">
        <w:rPr>
          <w:b/>
        </w:rPr>
        <w:t>.</w:t>
      </w:r>
      <w:r w:rsidR="00F60B69">
        <w:t xml:space="preserve"> </w:t>
      </w:r>
      <w:r w:rsidR="00F60B69" w:rsidRPr="00BD0BD7">
        <w:t>Tamaño de muestra por distrito</w:t>
      </w:r>
      <w:r w:rsidR="00F31813">
        <w:t>.</w:t>
      </w:r>
    </w:p>
    <w:p w14:paraId="04EBB247" w14:textId="788BA58F" w:rsidR="004525D3" w:rsidRPr="00522597" w:rsidRDefault="004525D3" w:rsidP="007A4FE8">
      <w:pPr>
        <w:rPr>
          <w:i/>
          <w:iCs/>
          <w:lang w:val="en-US"/>
        </w:rPr>
      </w:pPr>
      <w:r w:rsidRPr="00522597">
        <w:rPr>
          <w:b/>
          <w:i/>
          <w:iCs/>
          <w:lang w:val="en-US"/>
        </w:rPr>
        <w:t xml:space="preserve">Appendix 2. </w:t>
      </w:r>
      <w:r w:rsidRPr="00522597">
        <w:rPr>
          <w:i/>
          <w:iCs/>
          <w:lang w:val="en-US"/>
        </w:rPr>
        <w:t>Sample size by district</w:t>
      </w:r>
      <w:r w:rsidR="00F31813" w:rsidRPr="00522597">
        <w:rPr>
          <w:i/>
          <w:iCs/>
          <w:lang w:val="en-US"/>
        </w:rPr>
        <w:t>.</w:t>
      </w:r>
    </w:p>
    <w:tbl>
      <w:tblPr>
        <w:tblStyle w:val="Tablanormal31"/>
        <w:tblW w:w="4063" w:type="pct"/>
        <w:jc w:val="center"/>
        <w:tblLook w:val="0420" w:firstRow="1" w:lastRow="0" w:firstColumn="0" w:lastColumn="0" w:noHBand="0" w:noVBand="1"/>
      </w:tblPr>
      <w:tblGrid>
        <w:gridCol w:w="1419"/>
        <w:gridCol w:w="1843"/>
        <w:gridCol w:w="2124"/>
        <w:gridCol w:w="1984"/>
      </w:tblGrid>
      <w:tr w:rsidR="00F60B69" w:rsidRPr="00463D9B" w14:paraId="08CB6248" w14:textId="77777777" w:rsidTr="00B816DC">
        <w:trPr>
          <w:cnfStyle w:val="100000000000" w:firstRow="1" w:lastRow="0" w:firstColumn="0" w:lastColumn="0" w:oddVBand="0" w:evenVBand="0" w:oddHBand="0" w:evenHBand="0" w:firstRowFirstColumn="0" w:firstRowLastColumn="0" w:lastRowFirstColumn="0" w:lastRowLastColumn="0"/>
          <w:trHeight w:val="300"/>
          <w:tblHeader/>
          <w:jc w:val="center"/>
        </w:trPr>
        <w:tc>
          <w:tcPr>
            <w:tcW w:w="963" w:type="pct"/>
            <w:tcBorders>
              <w:top w:val="single" w:sz="4" w:space="0" w:color="auto"/>
              <w:bottom w:val="single" w:sz="4" w:space="0" w:color="auto"/>
            </w:tcBorders>
            <w:shd w:val="clear" w:color="auto" w:fill="auto"/>
            <w:noWrap/>
            <w:hideMark/>
          </w:tcPr>
          <w:p w14:paraId="0CE852DB" w14:textId="77777777" w:rsidR="00F60B69" w:rsidRPr="00463D9B" w:rsidRDefault="00F60B69" w:rsidP="00B36B1D">
            <w:pPr>
              <w:jc w:val="center"/>
              <w:rPr>
                <w:rFonts w:eastAsia="Times New Roman" w:cs="Times New Roman"/>
                <w:sz w:val="22"/>
                <w:lang w:eastAsia="es-CR"/>
              </w:rPr>
            </w:pPr>
            <w:r w:rsidRPr="00463D9B">
              <w:rPr>
                <w:rFonts w:eastAsia="Times New Roman" w:cs="Times New Roman"/>
                <w:sz w:val="22"/>
                <w:lang w:eastAsia="es-CR"/>
              </w:rPr>
              <w:t>C</w:t>
            </w:r>
            <w:r w:rsidRPr="00463D9B">
              <w:rPr>
                <w:rFonts w:eastAsia="Times New Roman" w:cs="Times New Roman"/>
                <w:caps w:val="0"/>
                <w:sz w:val="22"/>
                <w:lang w:eastAsia="es-CR"/>
              </w:rPr>
              <w:t>antón</w:t>
            </w:r>
          </w:p>
        </w:tc>
        <w:tc>
          <w:tcPr>
            <w:tcW w:w="1250" w:type="pct"/>
            <w:tcBorders>
              <w:top w:val="single" w:sz="4" w:space="0" w:color="auto"/>
              <w:bottom w:val="single" w:sz="4" w:space="0" w:color="auto"/>
            </w:tcBorders>
            <w:shd w:val="clear" w:color="auto" w:fill="auto"/>
            <w:noWrap/>
            <w:hideMark/>
          </w:tcPr>
          <w:p w14:paraId="47BF6211"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D</w:t>
            </w:r>
            <w:r w:rsidRPr="00463D9B">
              <w:rPr>
                <w:rFonts w:eastAsia="Times New Roman" w:cs="Times New Roman"/>
                <w:caps w:val="0"/>
                <w:sz w:val="22"/>
                <w:lang w:eastAsia="es-CR"/>
              </w:rPr>
              <w:t>istrito</w:t>
            </w:r>
          </w:p>
        </w:tc>
        <w:tc>
          <w:tcPr>
            <w:tcW w:w="1441" w:type="pct"/>
            <w:tcBorders>
              <w:top w:val="single" w:sz="4" w:space="0" w:color="auto"/>
              <w:bottom w:val="single" w:sz="4" w:space="0" w:color="auto"/>
            </w:tcBorders>
            <w:shd w:val="clear" w:color="auto" w:fill="auto"/>
          </w:tcPr>
          <w:p w14:paraId="1421FD18"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T</w:t>
            </w:r>
            <w:r w:rsidRPr="00463D9B">
              <w:rPr>
                <w:rFonts w:eastAsia="Times New Roman" w:cs="Times New Roman"/>
                <w:caps w:val="0"/>
                <w:sz w:val="22"/>
                <w:lang w:eastAsia="es-CR"/>
              </w:rPr>
              <w:t>amaño</w:t>
            </w:r>
            <w:r>
              <w:rPr>
                <w:rFonts w:eastAsia="Times New Roman" w:cs="Times New Roman"/>
                <w:caps w:val="0"/>
                <w:sz w:val="22"/>
                <w:lang w:eastAsia="es-CR"/>
              </w:rPr>
              <w:t xml:space="preserve"> de</w:t>
            </w:r>
            <w:r w:rsidRPr="00463D9B">
              <w:rPr>
                <w:rFonts w:eastAsia="Times New Roman" w:cs="Times New Roman"/>
                <w:caps w:val="0"/>
                <w:sz w:val="22"/>
                <w:lang w:eastAsia="es-CR"/>
              </w:rPr>
              <w:t xml:space="preserve"> muestra requerido</w:t>
            </w:r>
          </w:p>
        </w:tc>
        <w:tc>
          <w:tcPr>
            <w:tcW w:w="1346" w:type="pct"/>
            <w:tcBorders>
              <w:top w:val="single" w:sz="4" w:space="0" w:color="auto"/>
              <w:bottom w:val="single" w:sz="4" w:space="0" w:color="auto"/>
            </w:tcBorders>
            <w:shd w:val="clear" w:color="auto" w:fill="auto"/>
          </w:tcPr>
          <w:p w14:paraId="76F7502A" w14:textId="77777777" w:rsidR="00F60B69" w:rsidRPr="00463D9B" w:rsidRDefault="00F60B69" w:rsidP="007A4FE8">
            <w:pPr>
              <w:jc w:val="center"/>
              <w:rPr>
                <w:rFonts w:eastAsia="Times New Roman" w:cs="Times New Roman"/>
                <w:sz w:val="22"/>
                <w:lang w:eastAsia="es-CR"/>
              </w:rPr>
            </w:pPr>
            <w:r>
              <w:rPr>
                <w:rFonts w:eastAsia="Times New Roman" w:cs="Times New Roman"/>
                <w:sz w:val="22"/>
                <w:lang w:eastAsia="es-CR"/>
              </w:rPr>
              <w:t>t</w:t>
            </w:r>
            <w:r>
              <w:rPr>
                <w:rFonts w:eastAsia="Times New Roman" w:cs="Times New Roman"/>
                <w:caps w:val="0"/>
                <w:sz w:val="22"/>
                <w:lang w:eastAsia="es-CR"/>
              </w:rPr>
              <w:t>amaño de m</w:t>
            </w:r>
            <w:r w:rsidRPr="00463D9B">
              <w:rPr>
                <w:rFonts w:eastAsia="Times New Roman" w:cs="Times New Roman"/>
                <w:caps w:val="0"/>
                <w:sz w:val="22"/>
                <w:lang w:eastAsia="es-CR"/>
              </w:rPr>
              <w:t xml:space="preserve">uestra </w:t>
            </w:r>
            <w:r>
              <w:rPr>
                <w:rFonts w:eastAsia="Times New Roman" w:cs="Times New Roman"/>
                <w:caps w:val="0"/>
                <w:sz w:val="22"/>
                <w:lang w:eastAsia="es-CR"/>
              </w:rPr>
              <w:t>colectada</w:t>
            </w:r>
          </w:p>
        </w:tc>
      </w:tr>
      <w:tr w:rsidR="00F60B69" w:rsidRPr="00463D9B" w14:paraId="1F269441" w14:textId="77777777" w:rsidTr="00B816DC">
        <w:trPr>
          <w:cnfStyle w:val="000000100000" w:firstRow="0" w:lastRow="0" w:firstColumn="0" w:lastColumn="0" w:oddVBand="0" w:evenVBand="0" w:oddHBand="1" w:evenHBand="0" w:firstRowFirstColumn="0" w:firstRowLastColumn="0" w:lastRowFirstColumn="0" w:lastRowLastColumn="0"/>
          <w:trHeight w:val="300"/>
          <w:jc w:val="center"/>
        </w:trPr>
        <w:tc>
          <w:tcPr>
            <w:tcW w:w="963" w:type="pct"/>
            <w:vMerge w:val="restart"/>
            <w:tcBorders>
              <w:top w:val="single" w:sz="4" w:space="0" w:color="auto"/>
            </w:tcBorders>
            <w:shd w:val="clear" w:color="auto" w:fill="auto"/>
            <w:noWrap/>
          </w:tcPr>
          <w:p w14:paraId="7D8623EB" w14:textId="77777777" w:rsidR="00F60B69" w:rsidRPr="00463D9B" w:rsidRDefault="00F60B69" w:rsidP="00B36B1D">
            <w:pPr>
              <w:jc w:val="center"/>
              <w:rPr>
                <w:rFonts w:eastAsia="Times New Roman" w:cs="Times New Roman"/>
                <w:sz w:val="22"/>
                <w:lang w:eastAsia="es-CR"/>
              </w:rPr>
            </w:pPr>
            <w:r w:rsidRPr="00463D9B">
              <w:rPr>
                <w:rFonts w:eastAsia="Times New Roman" w:cs="Times New Roman"/>
                <w:sz w:val="22"/>
                <w:lang w:eastAsia="es-CR"/>
              </w:rPr>
              <w:t>Alvarado</w:t>
            </w:r>
          </w:p>
        </w:tc>
        <w:tc>
          <w:tcPr>
            <w:tcW w:w="1250" w:type="pct"/>
            <w:tcBorders>
              <w:top w:val="single" w:sz="4" w:space="0" w:color="auto"/>
            </w:tcBorders>
            <w:shd w:val="clear" w:color="auto" w:fill="auto"/>
            <w:noWrap/>
          </w:tcPr>
          <w:p w14:paraId="1E1CDE51" w14:textId="77777777" w:rsidR="00F60B69" w:rsidRPr="00463D9B" w:rsidRDefault="00F60B69" w:rsidP="007A4FE8">
            <w:pPr>
              <w:jc w:val="center"/>
              <w:rPr>
                <w:rFonts w:eastAsia="Times New Roman" w:cs="Times New Roman"/>
                <w:sz w:val="22"/>
                <w:lang w:eastAsia="es-CR"/>
              </w:rPr>
            </w:pPr>
            <w:proofErr w:type="spellStart"/>
            <w:r w:rsidRPr="00463D9B">
              <w:rPr>
                <w:rFonts w:eastAsia="Times New Roman" w:cs="Times New Roman"/>
                <w:sz w:val="22"/>
                <w:lang w:eastAsia="es-CR"/>
              </w:rPr>
              <w:t>Capellades</w:t>
            </w:r>
            <w:proofErr w:type="spellEnd"/>
          </w:p>
        </w:tc>
        <w:tc>
          <w:tcPr>
            <w:tcW w:w="1441" w:type="pct"/>
            <w:tcBorders>
              <w:top w:val="single" w:sz="4" w:space="0" w:color="auto"/>
            </w:tcBorders>
            <w:shd w:val="clear" w:color="auto" w:fill="auto"/>
          </w:tcPr>
          <w:p w14:paraId="54898B49"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71</w:t>
            </w:r>
          </w:p>
        </w:tc>
        <w:tc>
          <w:tcPr>
            <w:tcW w:w="1346" w:type="pct"/>
            <w:tcBorders>
              <w:top w:val="single" w:sz="4" w:space="0" w:color="auto"/>
            </w:tcBorders>
            <w:shd w:val="clear" w:color="auto" w:fill="auto"/>
          </w:tcPr>
          <w:p w14:paraId="3BB162C3"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73</w:t>
            </w:r>
          </w:p>
        </w:tc>
      </w:tr>
      <w:tr w:rsidR="00F60B69" w:rsidRPr="00463D9B" w14:paraId="750466AA" w14:textId="77777777" w:rsidTr="00B816DC">
        <w:trPr>
          <w:trHeight w:val="300"/>
          <w:jc w:val="center"/>
        </w:trPr>
        <w:tc>
          <w:tcPr>
            <w:tcW w:w="963" w:type="pct"/>
            <w:vMerge/>
            <w:shd w:val="clear" w:color="auto" w:fill="auto"/>
            <w:noWrap/>
          </w:tcPr>
          <w:p w14:paraId="26124B0B" w14:textId="77777777" w:rsidR="00F60B69" w:rsidRPr="00463D9B" w:rsidRDefault="00F60B69" w:rsidP="007A4FE8">
            <w:pPr>
              <w:jc w:val="center"/>
              <w:rPr>
                <w:rFonts w:eastAsia="Times New Roman" w:cs="Times New Roman"/>
                <w:sz w:val="22"/>
                <w:lang w:eastAsia="es-CR"/>
              </w:rPr>
            </w:pPr>
          </w:p>
        </w:tc>
        <w:tc>
          <w:tcPr>
            <w:tcW w:w="1250" w:type="pct"/>
            <w:shd w:val="clear" w:color="auto" w:fill="auto"/>
            <w:noWrap/>
          </w:tcPr>
          <w:p w14:paraId="26D5BF23"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Pacayas</w:t>
            </w:r>
          </w:p>
        </w:tc>
        <w:tc>
          <w:tcPr>
            <w:tcW w:w="1441" w:type="pct"/>
            <w:shd w:val="clear" w:color="auto" w:fill="auto"/>
          </w:tcPr>
          <w:p w14:paraId="711268E5"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161</w:t>
            </w:r>
          </w:p>
        </w:tc>
        <w:tc>
          <w:tcPr>
            <w:tcW w:w="1346" w:type="pct"/>
            <w:shd w:val="clear" w:color="auto" w:fill="auto"/>
          </w:tcPr>
          <w:p w14:paraId="6A4F0875"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161</w:t>
            </w:r>
          </w:p>
        </w:tc>
      </w:tr>
      <w:tr w:rsidR="00F60B69" w:rsidRPr="00463D9B" w14:paraId="1FBC331C" w14:textId="77777777" w:rsidTr="00B816DC">
        <w:trPr>
          <w:cnfStyle w:val="000000100000" w:firstRow="0" w:lastRow="0" w:firstColumn="0" w:lastColumn="0" w:oddVBand="0" w:evenVBand="0" w:oddHBand="1" w:evenHBand="0" w:firstRowFirstColumn="0" w:firstRowLastColumn="0" w:lastRowFirstColumn="0" w:lastRowLastColumn="0"/>
          <w:trHeight w:val="300"/>
          <w:jc w:val="center"/>
        </w:trPr>
        <w:tc>
          <w:tcPr>
            <w:tcW w:w="963" w:type="pct"/>
            <w:vMerge/>
            <w:shd w:val="clear" w:color="auto" w:fill="auto"/>
            <w:noWrap/>
          </w:tcPr>
          <w:p w14:paraId="44E372C1" w14:textId="77777777" w:rsidR="00F60B69" w:rsidRPr="00463D9B" w:rsidRDefault="00F60B69" w:rsidP="007A4FE8">
            <w:pPr>
              <w:jc w:val="center"/>
              <w:rPr>
                <w:rFonts w:eastAsia="Times New Roman" w:cs="Times New Roman"/>
                <w:sz w:val="22"/>
                <w:lang w:eastAsia="es-CR"/>
              </w:rPr>
            </w:pPr>
          </w:p>
        </w:tc>
        <w:tc>
          <w:tcPr>
            <w:tcW w:w="1250" w:type="pct"/>
            <w:shd w:val="clear" w:color="auto" w:fill="auto"/>
            <w:noWrap/>
          </w:tcPr>
          <w:p w14:paraId="64B63EA3"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Cervantes</w:t>
            </w:r>
          </w:p>
        </w:tc>
        <w:tc>
          <w:tcPr>
            <w:tcW w:w="1441" w:type="pct"/>
            <w:shd w:val="clear" w:color="auto" w:fill="auto"/>
          </w:tcPr>
          <w:p w14:paraId="3E8DDBF7"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180</w:t>
            </w:r>
          </w:p>
        </w:tc>
        <w:tc>
          <w:tcPr>
            <w:tcW w:w="1346" w:type="pct"/>
            <w:shd w:val="clear" w:color="auto" w:fill="auto"/>
          </w:tcPr>
          <w:p w14:paraId="633C6A05"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194</w:t>
            </w:r>
          </w:p>
        </w:tc>
      </w:tr>
      <w:tr w:rsidR="00F60B69" w:rsidRPr="00463D9B" w14:paraId="5C08BD40" w14:textId="77777777" w:rsidTr="00B816DC">
        <w:trPr>
          <w:trHeight w:val="300"/>
          <w:jc w:val="center"/>
        </w:trPr>
        <w:tc>
          <w:tcPr>
            <w:tcW w:w="963" w:type="pct"/>
            <w:vMerge w:val="restart"/>
            <w:shd w:val="clear" w:color="auto" w:fill="auto"/>
            <w:noWrap/>
            <w:hideMark/>
          </w:tcPr>
          <w:p w14:paraId="1201853A" w14:textId="77777777" w:rsidR="00F60B69" w:rsidRPr="00463D9B" w:rsidRDefault="00F60B69" w:rsidP="00B36B1D">
            <w:pPr>
              <w:jc w:val="center"/>
              <w:rPr>
                <w:rFonts w:eastAsia="Times New Roman" w:cs="Times New Roman"/>
                <w:sz w:val="22"/>
                <w:lang w:eastAsia="es-CR"/>
              </w:rPr>
            </w:pPr>
            <w:r w:rsidRPr="00463D9B">
              <w:rPr>
                <w:rFonts w:eastAsia="Times New Roman" w:cs="Times New Roman"/>
                <w:sz w:val="22"/>
                <w:lang w:eastAsia="es-CR"/>
              </w:rPr>
              <w:t>Jiménez</w:t>
            </w:r>
          </w:p>
        </w:tc>
        <w:tc>
          <w:tcPr>
            <w:tcW w:w="1250" w:type="pct"/>
            <w:shd w:val="clear" w:color="auto" w:fill="auto"/>
            <w:noWrap/>
            <w:hideMark/>
          </w:tcPr>
          <w:p w14:paraId="5F60C38E"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Pejibaye</w:t>
            </w:r>
          </w:p>
        </w:tc>
        <w:tc>
          <w:tcPr>
            <w:tcW w:w="1441" w:type="pct"/>
            <w:shd w:val="clear" w:color="auto" w:fill="auto"/>
          </w:tcPr>
          <w:p w14:paraId="1E3B155A"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93</w:t>
            </w:r>
          </w:p>
        </w:tc>
        <w:tc>
          <w:tcPr>
            <w:tcW w:w="1346" w:type="pct"/>
            <w:shd w:val="clear" w:color="auto" w:fill="auto"/>
          </w:tcPr>
          <w:p w14:paraId="5BAECD59"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122</w:t>
            </w:r>
          </w:p>
        </w:tc>
      </w:tr>
      <w:tr w:rsidR="00F60B69" w:rsidRPr="00463D9B" w14:paraId="609304AB" w14:textId="77777777" w:rsidTr="00B816DC">
        <w:trPr>
          <w:cnfStyle w:val="000000100000" w:firstRow="0" w:lastRow="0" w:firstColumn="0" w:lastColumn="0" w:oddVBand="0" w:evenVBand="0" w:oddHBand="1" w:evenHBand="0" w:firstRowFirstColumn="0" w:firstRowLastColumn="0" w:lastRowFirstColumn="0" w:lastRowLastColumn="0"/>
          <w:trHeight w:val="300"/>
          <w:jc w:val="center"/>
        </w:trPr>
        <w:tc>
          <w:tcPr>
            <w:tcW w:w="963" w:type="pct"/>
            <w:vMerge/>
            <w:shd w:val="clear" w:color="auto" w:fill="auto"/>
            <w:hideMark/>
          </w:tcPr>
          <w:p w14:paraId="56512BFF" w14:textId="77777777" w:rsidR="00F60B69" w:rsidRPr="00463D9B" w:rsidRDefault="00F60B69" w:rsidP="007A4FE8">
            <w:pPr>
              <w:jc w:val="center"/>
              <w:rPr>
                <w:rFonts w:eastAsia="Times New Roman" w:cs="Times New Roman"/>
                <w:sz w:val="22"/>
                <w:lang w:eastAsia="es-CR"/>
              </w:rPr>
            </w:pPr>
          </w:p>
        </w:tc>
        <w:tc>
          <w:tcPr>
            <w:tcW w:w="1250" w:type="pct"/>
            <w:shd w:val="clear" w:color="auto" w:fill="auto"/>
            <w:noWrap/>
            <w:hideMark/>
          </w:tcPr>
          <w:p w14:paraId="0311B71F" w14:textId="77777777" w:rsidR="00F60B69" w:rsidRPr="00463D9B" w:rsidRDefault="00F60B69" w:rsidP="007A4FE8">
            <w:pPr>
              <w:jc w:val="center"/>
              <w:rPr>
                <w:rFonts w:eastAsia="Times New Roman" w:cs="Times New Roman"/>
                <w:sz w:val="22"/>
                <w:lang w:eastAsia="es-CR"/>
              </w:rPr>
            </w:pPr>
            <w:proofErr w:type="spellStart"/>
            <w:r w:rsidRPr="00463D9B">
              <w:rPr>
                <w:rFonts w:eastAsia="Times New Roman" w:cs="Times New Roman"/>
                <w:sz w:val="22"/>
                <w:lang w:eastAsia="es-CR"/>
              </w:rPr>
              <w:t>Tucurrique</w:t>
            </w:r>
            <w:proofErr w:type="spellEnd"/>
          </w:p>
        </w:tc>
        <w:tc>
          <w:tcPr>
            <w:tcW w:w="1441" w:type="pct"/>
            <w:shd w:val="clear" w:color="auto" w:fill="auto"/>
          </w:tcPr>
          <w:p w14:paraId="59AADFCD"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138</w:t>
            </w:r>
          </w:p>
        </w:tc>
        <w:tc>
          <w:tcPr>
            <w:tcW w:w="1346" w:type="pct"/>
            <w:shd w:val="clear" w:color="auto" w:fill="auto"/>
          </w:tcPr>
          <w:p w14:paraId="0B589684"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169</w:t>
            </w:r>
          </w:p>
        </w:tc>
      </w:tr>
      <w:tr w:rsidR="00F60B69" w:rsidRPr="00463D9B" w14:paraId="1ABAF818" w14:textId="77777777" w:rsidTr="00B816DC">
        <w:trPr>
          <w:trHeight w:val="300"/>
          <w:jc w:val="center"/>
        </w:trPr>
        <w:tc>
          <w:tcPr>
            <w:tcW w:w="963" w:type="pct"/>
            <w:vMerge/>
            <w:shd w:val="clear" w:color="auto" w:fill="auto"/>
          </w:tcPr>
          <w:p w14:paraId="0326EF3D" w14:textId="77777777" w:rsidR="00F60B69" w:rsidRPr="00463D9B" w:rsidRDefault="00F60B69" w:rsidP="007A4FE8">
            <w:pPr>
              <w:jc w:val="center"/>
              <w:rPr>
                <w:rFonts w:eastAsia="Times New Roman" w:cs="Times New Roman"/>
                <w:sz w:val="22"/>
                <w:lang w:eastAsia="es-CR"/>
              </w:rPr>
            </w:pPr>
          </w:p>
        </w:tc>
        <w:tc>
          <w:tcPr>
            <w:tcW w:w="1250" w:type="pct"/>
            <w:shd w:val="clear" w:color="auto" w:fill="auto"/>
            <w:noWrap/>
          </w:tcPr>
          <w:p w14:paraId="07B4A5D8"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Juan Viñas</w:t>
            </w:r>
          </w:p>
        </w:tc>
        <w:tc>
          <w:tcPr>
            <w:tcW w:w="1441" w:type="pct"/>
            <w:shd w:val="clear" w:color="auto" w:fill="auto"/>
          </w:tcPr>
          <w:p w14:paraId="384B092B"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182</w:t>
            </w:r>
          </w:p>
        </w:tc>
        <w:tc>
          <w:tcPr>
            <w:tcW w:w="1346" w:type="pct"/>
            <w:shd w:val="clear" w:color="auto" w:fill="auto"/>
          </w:tcPr>
          <w:p w14:paraId="31AB7BD9"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231</w:t>
            </w:r>
          </w:p>
        </w:tc>
      </w:tr>
      <w:tr w:rsidR="00F60B69" w:rsidRPr="00463D9B" w14:paraId="7E6EA82E" w14:textId="77777777" w:rsidTr="00B816DC">
        <w:trPr>
          <w:cnfStyle w:val="000000100000" w:firstRow="0" w:lastRow="0" w:firstColumn="0" w:lastColumn="0" w:oddVBand="0" w:evenVBand="0" w:oddHBand="1" w:evenHBand="0" w:firstRowFirstColumn="0" w:firstRowLastColumn="0" w:lastRowFirstColumn="0" w:lastRowLastColumn="0"/>
          <w:trHeight w:val="300"/>
          <w:jc w:val="center"/>
        </w:trPr>
        <w:tc>
          <w:tcPr>
            <w:tcW w:w="963" w:type="pct"/>
            <w:vMerge w:val="restart"/>
            <w:shd w:val="clear" w:color="auto" w:fill="auto"/>
            <w:noWrap/>
            <w:hideMark/>
          </w:tcPr>
          <w:p w14:paraId="11CC7668" w14:textId="77777777" w:rsidR="00F60B69" w:rsidRPr="00463D9B" w:rsidRDefault="00F60B69" w:rsidP="00B36B1D">
            <w:pPr>
              <w:jc w:val="center"/>
              <w:rPr>
                <w:rFonts w:eastAsia="Times New Roman" w:cs="Times New Roman"/>
                <w:sz w:val="22"/>
                <w:lang w:eastAsia="es-CR"/>
              </w:rPr>
            </w:pPr>
            <w:r w:rsidRPr="00463D9B">
              <w:rPr>
                <w:rFonts w:eastAsia="Times New Roman" w:cs="Times New Roman"/>
                <w:sz w:val="22"/>
                <w:lang w:eastAsia="es-CR"/>
              </w:rPr>
              <w:t>Oreamuno</w:t>
            </w:r>
          </w:p>
        </w:tc>
        <w:tc>
          <w:tcPr>
            <w:tcW w:w="1250" w:type="pct"/>
            <w:shd w:val="clear" w:color="auto" w:fill="auto"/>
            <w:noWrap/>
            <w:hideMark/>
          </w:tcPr>
          <w:p w14:paraId="6BE72468"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Cipreses</w:t>
            </w:r>
          </w:p>
        </w:tc>
        <w:tc>
          <w:tcPr>
            <w:tcW w:w="1441" w:type="pct"/>
            <w:shd w:val="clear" w:color="auto" w:fill="auto"/>
          </w:tcPr>
          <w:p w14:paraId="1D6CA591"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34</w:t>
            </w:r>
          </w:p>
        </w:tc>
        <w:tc>
          <w:tcPr>
            <w:tcW w:w="1346" w:type="pct"/>
            <w:shd w:val="clear" w:color="auto" w:fill="auto"/>
          </w:tcPr>
          <w:p w14:paraId="6C1861D9"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59</w:t>
            </w:r>
          </w:p>
        </w:tc>
      </w:tr>
      <w:tr w:rsidR="00F60B69" w:rsidRPr="00463D9B" w14:paraId="58867172" w14:textId="77777777" w:rsidTr="00B816DC">
        <w:trPr>
          <w:trHeight w:val="300"/>
          <w:jc w:val="center"/>
        </w:trPr>
        <w:tc>
          <w:tcPr>
            <w:tcW w:w="963" w:type="pct"/>
            <w:vMerge/>
            <w:shd w:val="clear" w:color="auto" w:fill="auto"/>
            <w:hideMark/>
          </w:tcPr>
          <w:p w14:paraId="7636F1B5" w14:textId="77777777" w:rsidR="00F60B69" w:rsidRPr="00463D9B" w:rsidRDefault="00F60B69" w:rsidP="007A4FE8">
            <w:pPr>
              <w:jc w:val="center"/>
              <w:rPr>
                <w:rFonts w:eastAsia="Times New Roman" w:cs="Times New Roman"/>
                <w:sz w:val="22"/>
                <w:lang w:eastAsia="es-CR"/>
              </w:rPr>
            </w:pPr>
          </w:p>
        </w:tc>
        <w:tc>
          <w:tcPr>
            <w:tcW w:w="1250" w:type="pct"/>
            <w:shd w:val="clear" w:color="auto" w:fill="auto"/>
            <w:noWrap/>
            <w:hideMark/>
          </w:tcPr>
          <w:p w14:paraId="34E3967B" w14:textId="77777777" w:rsidR="00F60B69" w:rsidRPr="00463D9B" w:rsidRDefault="00F60B69" w:rsidP="007A4FE8">
            <w:pPr>
              <w:jc w:val="center"/>
              <w:rPr>
                <w:rFonts w:eastAsia="Times New Roman" w:cs="Times New Roman"/>
                <w:sz w:val="22"/>
                <w:lang w:eastAsia="es-CR"/>
              </w:rPr>
            </w:pPr>
            <w:proofErr w:type="spellStart"/>
            <w:r w:rsidRPr="00463D9B">
              <w:rPr>
                <w:rFonts w:eastAsia="Times New Roman" w:cs="Times New Roman"/>
                <w:sz w:val="22"/>
                <w:lang w:eastAsia="es-CR"/>
              </w:rPr>
              <w:t>Cot</w:t>
            </w:r>
            <w:proofErr w:type="spellEnd"/>
          </w:p>
        </w:tc>
        <w:tc>
          <w:tcPr>
            <w:tcW w:w="1441" w:type="pct"/>
            <w:shd w:val="clear" w:color="auto" w:fill="auto"/>
          </w:tcPr>
          <w:p w14:paraId="1A10AB8D"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89</w:t>
            </w:r>
          </w:p>
        </w:tc>
        <w:tc>
          <w:tcPr>
            <w:tcW w:w="1346" w:type="pct"/>
            <w:shd w:val="clear" w:color="auto" w:fill="auto"/>
          </w:tcPr>
          <w:p w14:paraId="0C9202EA"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123</w:t>
            </w:r>
          </w:p>
        </w:tc>
      </w:tr>
      <w:tr w:rsidR="00F60B69" w:rsidRPr="00463D9B" w14:paraId="558E63E5" w14:textId="77777777" w:rsidTr="00B816DC">
        <w:trPr>
          <w:cnfStyle w:val="000000100000" w:firstRow="0" w:lastRow="0" w:firstColumn="0" w:lastColumn="0" w:oddVBand="0" w:evenVBand="0" w:oddHBand="1" w:evenHBand="0" w:firstRowFirstColumn="0" w:firstRowLastColumn="0" w:lastRowFirstColumn="0" w:lastRowLastColumn="0"/>
          <w:trHeight w:val="300"/>
          <w:jc w:val="center"/>
        </w:trPr>
        <w:tc>
          <w:tcPr>
            <w:tcW w:w="963" w:type="pct"/>
            <w:vMerge/>
            <w:shd w:val="clear" w:color="auto" w:fill="auto"/>
            <w:hideMark/>
          </w:tcPr>
          <w:p w14:paraId="38BB0339" w14:textId="77777777" w:rsidR="00F60B69" w:rsidRPr="00463D9B" w:rsidRDefault="00F60B69" w:rsidP="007A4FE8">
            <w:pPr>
              <w:jc w:val="center"/>
              <w:rPr>
                <w:rFonts w:eastAsia="Times New Roman" w:cs="Times New Roman"/>
                <w:sz w:val="22"/>
                <w:lang w:eastAsia="es-CR"/>
              </w:rPr>
            </w:pPr>
          </w:p>
        </w:tc>
        <w:tc>
          <w:tcPr>
            <w:tcW w:w="1250" w:type="pct"/>
            <w:shd w:val="clear" w:color="auto" w:fill="auto"/>
            <w:noWrap/>
            <w:hideMark/>
          </w:tcPr>
          <w:p w14:paraId="79776F41"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Santa Rosa</w:t>
            </w:r>
          </w:p>
        </w:tc>
        <w:tc>
          <w:tcPr>
            <w:tcW w:w="1441" w:type="pct"/>
            <w:shd w:val="clear" w:color="auto" w:fill="auto"/>
          </w:tcPr>
          <w:p w14:paraId="75F410BD"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24</w:t>
            </w:r>
          </w:p>
        </w:tc>
        <w:tc>
          <w:tcPr>
            <w:tcW w:w="1346" w:type="pct"/>
            <w:shd w:val="clear" w:color="auto" w:fill="auto"/>
          </w:tcPr>
          <w:p w14:paraId="2F3313E1"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95</w:t>
            </w:r>
          </w:p>
        </w:tc>
      </w:tr>
      <w:tr w:rsidR="00F60B69" w:rsidRPr="00463D9B" w14:paraId="2D2623D8" w14:textId="77777777" w:rsidTr="00B816DC">
        <w:trPr>
          <w:trHeight w:val="300"/>
          <w:jc w:val="center"/>
        </w:trPr>
        <w:tc>
          <w:tcPr>
            <w:tcW w:w="963" w:type="pct"/>
            <w:vMerge/>
            <w:shd w:val="clear" w:color="auto" w:fill="auto"/>
          </w:tcPr>
          <w:p w14:paraId="529B3B21" w14:textId="77777777" w:rsidR="00F60B69" w:rsidRPr="00463D9B" w:rsidRDefault="00F60B69" w:rsidP="007A4FE8">
            <w:pPr>
              <w:jc w:val="center"/>
              <w:rPr>
                <w:rFonts w:eastAsia="Times New Roman" w:cs="Times New Roman"/>
                <w:sz w:val="22"/>
                <w:lang w:eastAsia="es-CR"/>
              </w:rPr>
            </w:pPr>
          </w:p>
        </w:tc>
        <w:tc>
          <w:tcPr>
            <w:tcW w:w="1250" w:type="pct"/>
            <w:shd w:val="clear" w:color="auto" w:fill="auto"/>
            <w:noWrap/>
          </w:tcPr>
          <w:p w14:paraId="28385341"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San Rafael</w:t>
            </w:r>
          </w:p>
        </w:tc>
        <w:tc>
          <w:tcPr>
            <w:tcW w:w="1441" w:type="pct"/>
            <w:shd w:val="clear" w:color="auto" w:fill="auto"/>
          </w:tcPr>
          <w:p w14:paraId="13DEBE88"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250</w:t>
            </w:r>
          </w:p>
        </w:tc>
        <w:tc>
          <w:tcPr>
            <w:tcW w:w="1346" w:type="pct"/>
            <w:shd w:val="clear" w:color="auto" w:fill="auto"/>
          </w:tcPr>
          <w:p w14:paraId="634019AE"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363</w:t>
            </w:r>
          </w:p>
        </w:tc>
      </w:tr>
      <w:tr w:rsidR="00F60B69" w:rsidRPr="00463D9B" w14:paraId="510B45D8" w14:textId="77777777" w:rsidTr="00B816DC">
        <w:trPr>
          <w:cnfStyle w:val="000000100000" w:firstRow="0" w:lastRow="0" w:firstColumn="0" w:lastColumn="0" w:oddVBand="0" w:evenVBand="0" w:oddHBand="1" w:evenHBand="0" w:firstRowFirstColumn="0" w:firstRowLastColumn="0" w:lastRowFirstColumn="0" w:lastRowLastColumn="0"/>
          <w:trHeight w:val="300"/>
          <w:jc w:val="center"/>
        </w:trPr>
        <w:tc>
          <w:tcPr>
            <w:tcW w:w="963" w:type="pct"/>
            <w:vMerge/>
            <w:shd w:val="clear" w:color="auto" w:fill="auto"/>
          </w:tcPr>
          <w:p w14:paraId="2B39E412" w14:textId="77777777" w:rsidR="00F60B69" w:rsidRPr="00463D9B" w:rsidRDefault="00F60B69" w:rsidP="007A4FE8">
            <w:pPr>
              <w:jc w:val="center"/>
              <w:rPr>
                <w:rFonts w:eastAsia="Times New Roman" w:cs="Times New Roman"/>
                <w:sz w:val="22"/>
                <w:lang w:eastAsia="es-CR"/>
              </w:rPr>
            </w:pPr>
          </w:p>
        </w:tc>
        <w:tc>
          <w:tcPr>
            <w:tcW w:w="1250" w:type="pct"/>
            <w:shd w:val="clear" w:color="auto" w:fill="auto"/>
            <w:noWrap/>
          </w:tcPr>
          <w:p w14:paraId="66EF4EC5"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Potrero Cerrado</w:t>
            </w:r>
          </w:p>
        </w:tc>
        <w:tc>
          <w:tcPr>
            <w:tcW w:w="1441" w:type="pct"/>
            <w:shd w:val="clear" w:color="auto" w:fill="auto"/>
          </w:tcPr>
          <w:p w14:paraId="05ADB94E"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23</w:t>
            </w:r>
          </w:p>
        </w:tc>
        <w:tc>
          <w:tcPr>
            <w:tcW w:w="1346" w:type="pct"/>
            <w:shd w:val="clear" w:color="auto" w:fill="auto"/>
          </w:tcPr>
          <w:p w14:paraId="74AAA1BA"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47</w:t>
            </w:r>
          </w:p>
        </w:tc>
      </w:tr>
      <w:tr w:rsidR="00F60B69" w:rsidRPr="00463D9B" w14:paraId="0DFB1E50" w14:textId="77777777" w:rsidTr="00B816DC">
        <w:trPr>
          <w:trHeight w:val="300"/>
          <w:jc w:val="center"/>
        </w:trPr>
        <w:tc>
          <w:tcPr>
            <w:tcW w:w="963" w:type="pct"/>
            <w:vMerge w:val="restart"/>
            <w:shd w:val="clear" w:color="auto" w:fill="auto"/>
          </w:tcPr>
          <w:p w14:paraId="38835140" w14:textId="77777777" w:rsidR="00F60B69" w:rsidRPr="00463D9B" w:rsidRDefault="00F60B69" w:rsidP="00B36B1D">
            <w:pPr>
              <w:jc w:val="center"/>
              <w:rPr>
                <w:rFonts w:eastAsia="Times New Roman" w:cs="Times New Roman"/>
                <w:sz w:val="22"/>
                <w:lang w:eastAsia="es-CR"/>
              </w:rPr>
            </w:pPr>
            <w:r w:rsidRPr="00463D9B">
              <w:rPr>
                <w:rFonts w:eastAsia="Times New Roman" w:cs="Times New Roman"/>
                <w:sz w:val="22"/>
                <w:lang w:eastAsia="es-CR"/>
              </w:rPr>
              <w:t>Turrialba</w:t>
            </w:r>
          </w:p>
        </w:tc>
        <w:tc>
          <w:tcPr>
            <w:tcW w:w="1250" w:type="pct"/>
            <w:shd w:val="clear" w:color="auto" w:fill="auto"/>
            <w:noWrap/>
          </w:tcPr>
          <w:p w14:paraId="20D0DFAA"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Turrialba</w:t>
            </w:r>
          </w:p>
        </w:tc>
        <w:tc>
          <w:tcPr>
            <w:tcW w:w="1441" w:type="pct"/>
            <w:shd w:val="clear" w:color="auto" w:fill="auto"/>
          </w:tcPr>
          <w:p w14:paraId="08214751"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159</w:t>
            </w:r>
          </w:p>
        </w:tc>
        <w:tc>
          <w:tcPr>
            <w:tcW w:w="1346" w:type="pct"/>
            <w:shd w:val="clear" w:color="auto" w:fill="auto"/>
          </w:tcPr>
          <w:p w14:paraId="7FB997A2"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172</w:t>
            </w:r>
          </w:p>
        </w:tc>
      </w:tr>
      <w:tr w:rsidR="00F60B69" w:rsidRPr="00463D9B" w14:paraId="52088A03" w14:textId="77777777" w:rsidTr="00B816DC">
        <w:trPr>
          <w:cnfStyle w:val="000000100000" w:firstRow="0" w:lastRow="0" w:firstColumn="0" w:lastColumn="0" w:oddVBand="0" w:evenVBand="0" w:oddHBand="1" w:evenHBand="0" w:firstRowFirstColumn="0" w:firstRowLastColumn="0" w:lastRowFirstColumn="0" w:lastRowLastColumn="0"/>
          <w:trHeight w:val="300"/>
          <w:jc w:val="center"/>
        </w:trPr>
        <w:tc>
          <w:tcPr>
            <w:tcW w:w="963" w:type="pct"/>
            <w:vMerge/>
            <w:shd w:val="clear" w:color="auto" w:fill="auto"/>
            <w:noWrap/>
            <w:hideMark/>
          </w:tcPr>
          <w:p w14:paraId="75C68B4C" w14:textId="77777777" w:rsidR="00F60B69" w:rsidRPr="00463D9B" w:rsidRDefault="00F60B69" w:rsidP="007A4FE8">
            <w:pPr>
              <w:jc w:val="center"/>
              <w:rPr>
                <w:rFonts w:eastAsia="Times New Roman" w:cs="Times New Roman"/>
                <w:sz w:val="22"/>
                <w:lang w:eastAsia="es-CR"/>
              </w:rPr>
            </w:pPr>
          </w:p>
        </w:tc>
        <w:tc>
          <w:tcPr>
            <w:tcW w:w="1250" w:type="pct"/>
            <w:shd w:val="clear" w:color="auto" w:fill="auto"/>
            <w:noWrap/>
            <w:hideMark/>
          </w:tcPr>
          <w:p w14:paraId="5CDAD134"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La Isabel</w:t>
            </w:r>
          </w:p>
        </w:tc>
        <w:tc>
          <w:tcPr>
            <w:tcW w:w="1441" w:type="pct"/>
            <w:shd w:val="clear" w:color="auto" w:fill="auto"/>
          </w:tcPr>
          <w:p w14:paraId="519895A0"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36</w:t>
            </w:r>
          </w:p>
        </w:tc>
        <w:tc>
          <w:tcPr>
            <w:tcW w:w="1346" w:type="pct"/>
            <w:shd w:val="clear" w:color="auto" w:fill="auto"/>
          </w:tcPr>
          <w:p w14:paraId="65B0FDE1"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49</w:t>
            </w:r>
          </w:p>
        </w:tc>
      </w:tr>
      <w:tr w:rsidR="00F60B69" w:rsidRPr="00463D9B" w14:paraId="301BF6C0" w14:textId="77777777" w:rsidTr="00B816DC">
        <w:trPr>
          <w:trHeight w:val="300"/>
          <w:jc w:val="center"/>
        </w:trPr>
        <w:tc>
          <w:tcPr>
            <w:tcW w:w="963" w:type="pct"/>
            <w:vMerge/>
            <w:shd w:val="clear" w:color="auto" w:fill="auto"/>
            <w:hideMark/>
          </w:tcPr>
          <w:p w14:paraId="2CA376CC" w14:textId="77777777" w:rsidR="00F60B69" w:rsidRPr="00463D9B" w:rsidRDefault="00F60B69" w:rsidP="007A4FE8">
            <w:pPr>
              <w:jc w:val="center"/>
              <w:rPr>
                <w:rFonts w:eastAsia="Times New Roman" w:cs="Times New Roman"/>
                <w:sz w:val="22"/>
                <w:lang w:eastAsia="es-CR"/>
              </w:rPr>
            </w:pPr>
          </w:p>
        </w:tc>
        <w:tc>
          <w:tcPr>
            <w:tcW w:w="1250" w:type="pct"/>
            <w:shd w:val="clear" w:color="auto" w:fill="auto"/>
            <w:noWrap/>
            <w:hideMark/>
          </w:tcPr>
          <w:p w14:paraId="1611448E"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La Suiza</w:t>
            </w:r>
          </w:p>
        </w:tc>
        <w:tc>
          <w:tcPr>
            <w:tcW w:w="1441" w:type="pct"/>
            <w:shd w:val="clear" w:color="auto" w:fill="auto"/>
          </w:tcPr>
          <w:p w14:paraId="2F7FCA43"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46</w:t>
            </w:r>
          </w:p>
        </w:tc>
        <w:tc>
          <w:tcPr>
            <w:tcW w:w="1346" w:type="pct"/>
            <w:shd w:val="clear" w:color="auto" w:fill="auto"/>
          </w:tcPr>
          <w:p w14:paraId="547F3B8A"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142</w:t>
            </w:r>
          </w:p>
        </w:tc>
      </w:tr>
      <w:tr w:rsidR="00F60B69" w:rsidRPr="00463D9B" w14:paraId="2DA9ACCE" w14:textId="77777777" w:rsidTr="00B816DC">
        <w:trPr>
          <w:cnfStyle w:val="000000100000" w:firstRow="0" w:lastRow="0" w:firstColumn="0" w:lastColumn="0" w:oddVBand="0" w:evenVBand="0" w:oddHBand="1" w:evenHBand="0" w:firstRowFirstColumn="0" w:firstRowLastColumn="0" w:lastRowFirstColumn="0" w:lastRowLastColumn="0"/>
          <w:trHeight w:val="300"/>
          <w:jc w:val="center"/>
        </w:trPr>
        <w:tc>
          <w:tcPr>
            <w:tcW w:w="963" w:type="pct"/>
            <w:vMerge/>
            <w:shd w:val="clear" w:color="auto" w:fill="auto"/>
            <w:hideMark/>
          </w:tcPr>
          <w:p w14:paraId="3BD5E084" w14:textId="77777777" w:rsidR="00F60B69" w:rsidRPr="00463D9B" w:rsidRDefault="00F60B69" w:rsidP="007A4FE8">
            <w:pPr>
              <w:jc w:val="center"/>
              <w:rPr>
                <w:rFonts w:eastAsia="Times New Roman" w:cs="Times New Roman"/>
                <w:sz w:val="22"/>
                <w:lang w:eastAsia="es-CR"/>
              </w:rPr>
            </w:pPr>
          </w:p>
        </w:tc>
        <w:tc>
          <w:tcPr>
            <w:tcW w:w="1250" w:type="pct"/>
            <w:shd w:val="clear" w:color="auto" w:fill="auto"/>
            <w:noWrap/>
            <w:hideMark/>
          </w:tcPr>
          <w:p w14:paraId="17130DB5"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Santa Rosa</w:t>
            </w:r>
          </w:p>
        </w:tc>
        <w:tc>
          <w:tcPr>
            <w:tcW w:w="1441" w:type="pct"/>
            <w:shd w:val="clear" w:color="auto" w:fill="auto"/>
          </w:tcPr>
          <w:p w14:paraId="5101A5DB"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32</w:t>
            </w:r>
          </w:p>
        </w:tc>
        <w:tc>
          <w:tcPr>
            <w:tcW w:w="1346" w:type="pct"/>
            <w:shd w:val="clear" w:color="auto" w:fill="auto"/>
          </w:tcPr>
          <w:p w14:paraId="474498E0"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95</w:t>
            </w:r>
          </w:p>
        </w:tc>
      </w:tr>
      <w:tr w:rsidR="00F60B69" w:rsidRPr="00463D9B" w14:paraId="50C7E6F3" w14:textId="77777777" w:rsidTr="00B816DC">
        <w:trPr>
          <w:trHeight w:val="300"/>
          <w:jc w:val="center"/>
        </w:trPr>
        <w:tc>
          <w:tcPr>
            <w:tcW w:w="963" w:type="pct"/>
            <w:vMerge/>
            <w:shd w:val="clear" w:color="auto" w:fill="auto"/>
            <w:hideMark/>
          </w:tcPr>
          <w:p w14:paraId="61573619" w14:textId="77777777" w:rsidR="00F60B69" w:rsidRPr="00463D9B" w:rsidRDefault="00F60B69" w:rsidP="007A4FE8">
            <w:pPr>
              <w:jc w:val="center"/>
              <w:rPr>
                <w:rFonts w:eastAsia="Times New Roman" w:cs="Times New Roman"/>
                <w:sz w:val="22"/>
                <w:lang w:eastAsia="es-CR"/>
              </w:rPr>
            </w:pPr>
          </w:p>
        </w:tc>
        <w:tc>
          <w:tcPr>
            <w:tcW w:w="1250" w:type="pct"/>
            <w:shd w:val="clear" w:color="auto" w:fill="auto"/>
            <w:noWrap/>
            <w:hideMark/>
          </w:tcPr>
          <w:p w14:paraId="69C3400F"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Tuis</w:t>
            </w:r>
          </w:p>
        </w:tc>
        <w:tc>
          <w:tcPr>
            <w:tcW w:w="1441" w:type="pct"/>
            <w:shd w:val="clear" w:color="auto" w:fill="auto"/>
          </w:tcPr>
          <w:p w14:paraId="027D7DA2"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18</w:t>
            </w:r>
          </w:p>
        </w:tc>
        <w:tc>
          <w:tcPr>
            <w:tcW w:w="1346" w:type="pct"/>
            <w:shd w:val="clear" w:color="auto" w:fill="auto"/>
          </w:tcPr>
          <w:p w14:paraId="23495ED5"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56</w:t>
            </w:r>
          </w:p>
        </w:tc>
      </w:tr>
      <w:tr w:rsidR="00F60B69" w:rsidRPr="00463D9B" w14:paraId="635B3876" w14:textId="77777777" w:rsidTr="00B816DC">
        <w:trPr>
          <w:cnfStyle w:val="000000100000" w:firstRow="0" w:lastRow="0" w:firstColumn="0" w:lastColumn="0" w:oddVBand="0" w:evenVBand="0" w:oddHBand="1" w:evenHBand="0" w:firstRowFirstColumn="0" w:firstRowLastColumn="0" w:lastRowFirstColumn="0" w:lastRowLastColumn="0"/>
          <w:trHeight w:val="300"/>
          <w:jc w:val="center"/>
        </w:trPr>
        <w:tc>
          <w:tcPr>
            <w:tcW w:w="963" w:type="pct"/>
            <w:vMerge/>
            <w:shd w:val="clear" w:color="auto" w:fill="auto"/>
          </w:tcPr>
          <w:p w14:paraId="1FF3D364" w14:textId="77777777" w:rsidR="00F60B69" w:rsidRPr="00463D9B" w:rsidRDefault="00F60B69" w:rsidP="007A4FE8">
            <w:pPr>
              <w:jc w:val="center"/>
              <w:rPr>
                <w:rFonts w:eastAsia="Times New Roman" w:cs="Times New Roman"/>
                <w:sz w:val="22"/>
                <w:lang w:eastAsia="es-CR"/>
              </w:rPr>
            </w:pPr>
          </w:p>
        </w:tc>
        <w:tc>
          <w:tcPr>
            <w:tcW w:w="1250" w:type="pct"/>
            <w:shd w:val="clear" w:color="auto" w:fill="auto"/>
            <w:noWrap/>
          </w:tcPr>
          <w:p w14:paraId="6801785F"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Santa Teresita</w:t>
            </w:r>
          </w:p>
        </w:tc>
        <w:tc>
          <w:tcPr>
            <w:tcW w:w="1441" w:type="pct"/>
            <w:shd w:val="clear" w:color="auto" w:fill="auto"/>
          </w:tcPr>
          <w:p w14:paraId="1B73B493"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30</w:t>
            </w:r>
          </w:p>
        </w:tc>
        <w:tc>
          <w:tcPr>
            <w:tcW w:w="1346" w:type="pct"/>
            <w:shd w:val="clear" w:color="auto" w:fill="auto"/>
          </w:tcPr>
          <w:p w14:paraId="40E319A2"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22**</w:t>
            </w:r>
          </w:p>
        </w:tc>
      </w:tr>
      <w:tr w:rsidR="00F60B69" w:rsidRPr="00463D9B" w14:paraId="3A505168" w14:textId="77777777" w:rsidTr="00B816DC">
        <w:trPr>
          <w:trHeight w:val="300"/>
          <w:jc w:val="center"/>
        </w:trPr>
        <w:tc>
          <w:tcPr>
            <w:tcW w:w="963" w:type="pct"/>
            <w:vMerge/>
            <w:shd w:val="clear" w:color="auto" w:fill="auto"/>
          </w:tcPr>
          <w:p w14:paraId="3D91F430" w14:textId="77777777" w:rsidR="00F60B69" w:rsidRPr="00463D9B" w:rsidRDefault="00F60B69" w:rsidP="007A4FE8">
            <w:pPr>
              <w:jc w:val="center"/>
              <w:rPr>
                <w:rFonts w:eastAsia="Times New Roman" w:cs="Times New Roman"/>
                <w:sz w:val="22"/>
                <w:lang w:eastAsia="es-CR"/>
              </w:rPr>
            </w:pPr>
          </w:p>
        </w:tc>
        <w:tc>
          <w:tcPr>
            <w:tcW w:w="1250" w:type="pct"/>
            <w:shd w:val="clear" w:color="auto" w:fill="auto"/>
            <w:noWrap/>
          </w:tcPr>
          <w:p w14:paraId="2351AFCE"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Pavones</w:t>
            </w:r>
          </w:p>
        </w:tc>
        <w:tc>
          <w:tcPr>
            <w:tcW w:w="1441" w:type="pct"/>
            <w:shd w:val="clear" w:color="auto" w:fill="auto"/>
          </w:tcPr>
          <w:p w14:paraId="0FD22790"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26</w:t>
            </w:r>
          </w:p>
        </w:tc>
        <w:tc>
          <w:tcPr>
            <w:tcW w:w="1346" w:type="pct"/>
            <w:shd w:val="clear" w:color="auto" w:fill="auto"/>
          </w:tcPr>
          <w:p w14:paraId="0C447BDC"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27</w:t>
            </w:r>
          </w:p>
        </w:tc>
      </w:tr>
      <w:tr w:rsidR="00F60B69" w:rsidRPr="00463D9B" w14:paraId="438730BD" w14:textId="77777777" w:rsidTr="00B816DC">
        <w:trPr>
          <w:cnfStyle w:val="000000100000" w:firstRow="0" w:lastRow="0" w:firstColumn="0" w:lastColumn="0" w:oddVBand="0" w:evenVBand="0" w:oddHBand="1" w:evenHBand="0" w:firstRowFirstColumn="0" w:firstRowLastColumn="0" w:lastRowFirstColumn="0" w:lastRowLastColumn="0"/>
          <w:trHeight w:val="300"/>
          <w:jc w:val="center"/>
        </w:trPr>
        <w:tc>
          <w:tcPr>
            <w:tcW w:w="963" w:type="pct"/>
            <w:vMerge/>
            <w:shd w:val="clear" w:color="auto" w:fill="auto"/>
          </w:tcPr>
          <w:p w14:paraId="364FDC3F" w14:textId="77777777" w:rsidR="00F60B69" w:rsidRPr="00463D9B" w:rsidRDefault="00F60B69" w:rsidP="007A4FE8">
            <w:pPr>
              <w:jc w:val="center"/>
              <w:rPr>
                <w:rFonts w:eastAsia="Times New Roman" w:cs="Times New Roman"/>
                <w:sz w:val="22"/>
                <w:lang w:eastAsia="es-CR"/>
              </w:rPr>
            </w:pPr>
          </w:p>
        </w:tc>
        <w:tc>
          <w:tcPr>
            <w:tcW w:w="1250" w:type="pct"/>
            <w:shd w:val="clear" w:color="auto" w:fill="auto"/>
            <w:noWrap/>
          </w:tcPr>
          <w:p w14:paraId="30C13215"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Chirripó</w:t>
            </w:r>
          </w:p>
        </w:tc>
        <w:tc>
          <w:tcPr>
            <w:tcW w:w="1441" w:type="pct"/>
            <w:shd w:val="clear" w:color="auto" w:fill="auto"/>
          </w:tcPr>
          <w:p w14:paraId="7EAB1742"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w:t>
            </w:r>
          </w:p>
        </w:tc>
        <w:tc>
          <w:tcPr>
            <w:tcW w:w="1346" w:type="pct"/>
            <w:shd w:val="clear" w:color="auto" w:fill="auto"/>
          </w:tcPr>
          <w:p w14:paraId="04A831B2"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w:t>
            </w:r>
          </w:p>
        </w:tc>
      </w:tr>
      <w:tr w:rsidR="00F60B69" w:rsidRPr="00463D9B" w14:paraId="0C4BBAD8" w14:textId="77777777" w:rsidTr="00B816DC">
        <w:trPr>
          <w:trHeight w:val="300"/>
          <w:jc w:val="center"/>
        </w:trPr>
        <w:tc>
          <w:tcPr>
            <w:tcW w:w="963" w:type="pct"/>
            <w:vMerge/>
            <w:shd w:val="clear" w:color="auto" w:fill="auto"/>
          </w:tcPr>
          <w:p w14:paraId="3465898B" w14:textId="77777777" w:rsidR="00F60B69" w:rsidRPr="00463D9B" w:rsidRDefault="00F60B69" w:rsidP="007A4FE8">
            <w:pPr>
              <w:jc w:val="center"/>
              <w:rPr>
                <w:rFonts w:eastAsia="Times New Roman" w:cs="Times New Roman"/>
                <w:sz w:val="22"/>
                <w:lang w:eastAsia="es-CR"/>
              </w:rPr>
            </w:pPr>
          </w:p>
        </w:tc>
        <w:tc>
          <w:tcPr>
            <w:tcW w:w="1250" w:type="pct"/>
            <w:shd w:val="clear" w:color="auto" w:fill="auto"/>
            <w:noWrap/>
          </w:tcPr>
          <w:p w14:paraId="365A6CE4"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Santa Cruz</w:t>
            </w:r>
          </w:p>
        </w:tc>
        <w:tc>
          <w:tcPr>
            <w:tcW w:w="1441" w:type="pct"/>
            <w:shd w:val="clear" w:color="auto" w:fill="auto"/>
          </w:tcPr>
          <w:p w14:paraId="46104709"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21</w:t>
            </w:r>
          </w:p>
        </w:tc>
        <w:tc>
          <w:tcPr>
            <w:tcW w:w="1346" w:type="pct"/>
            <w:shd w:val="clear" w:color="auto" w:fill="auto"/>
          </w:tcPr>
          <w:p w14:paraId="798206CC"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22</w:t>
            </w:r>
          </w:p>
        </w:tc>
      </w:tr>
      <w:tr w:rsidR="00F60B69" w:rsidRPr="00463D9B" w14:paraId="4F3059A2" w14:textId="77777777" w:rsidTr="00B816DC">
        <w:trPr>
          <w:cnfStyle w:val="000000100000" w:firstRow="0" w:lastRow="0" w:firstColumn="0" w:lastColumn="0" w:oddVBand="0" w:evenVBand="0" w:oddHBand="1" w:evenHBand="0" w:firstRowFirstColumn="0" w:firstRowLastColumn="0" w:lastRowFirstColumn="0" w:lastRowLastColumn="0"/>
          <w:trHeight w:val="300"/>
          <w:jc w:val="center"/>
        </w:trPr>
        <w:tc>
          <w:tcPr>
            <w:tcW w:w="963" w:type="pct"/>
            <w:vMerge/>
            <w:shd w:val="clear" w:color="auto" w:fill="auto"/>
          </w:tcPr>
          <w:p w14:paraId="504BB853" w14:textId="77777777" w:rsidR="00F60B69" w:rsidRPr="00463D9B" w:rsidRDefault="00F60B69" w:rsidP="007A4FE8">
            <w:pPr>
              <w:jc w:val="center"/>
              <w:rPr>
                <w:rFonts w:eastAsia="Times New Roman" w:cs="Times New Roman"/>
                <w:sz w:val="22"/>
                <w:lang w:eastAsia="es-CR"/>
              </w:rPr>
            </w:pPr>
          </w:p>
        </w:tc>
        <w:tc>
          <w:tcPr>
            <w:tcW w:w="1250" w:type="pct"/>
            <w:shd w:val="clear" w:color="auto" w:fill="auto"/>
            <w:noWrap/>
          </w:tcPr>
          <w:p w14:paraId="03EB296A" w14:textId="77777777" w:rsidR="00F60B69" w:rsidRPr="00463D9B" w:rsidRDefault="00F60B69" w:rsidP="007A4FE8">
            <w:pPr>
              <w:jc w:val="center"/>
              <w:rPr>
                <w:rFonts w:eastAsia="Times New Roman" w:cs="Times New Roman"/>
                <w:sz w:val="22"/>
                <w:lang w:eastAsia="es-CR"/>
              </w:rPr>
            </w:pPr>
            <w:proofErr w:type="spellStart"/>
            <w:r w:rsidRPr="00463D9B">
              <w:rPr>
                <w:rFonts w:eastAsia="Times New Roman" w:cs="Times New Roman"/>
                <w:sz w:val="22"/>
                <w:lang w:eastAsia="es-CR"/>
              </w:rPr>
              <w:t>Tayutic</w:t>
            </w:r>
            <w:proofErr w:type="spellEnd"/>
          </w:p>
        </w:tc>
        <w:tc>
          <w:tcPr>
            <w:tcW w:w="1441" w:type="pct"/>
            <w:shd w:val="clear" w:color="auto" w:fill="auto"/>
          </w:tcPr>
          <w:p w14:paraId="6FA07224"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15</w:t>
            </w:r>
          </w:p>
        </w:tc>
        <w:tc>
          <w:tcPr>
            <w:tcW w:w="1346" w:type="pct"/>
            <w:shd w:val="clear" w:color="auto" w:fill="auto"/>
          </w:tcPr>
          <w:p w14:paraId="7947B67A"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40</w:t>
            </w:r>
          </w:p>
        </w:tc>
      </w:tr>
      <w:tr w:rsidR="00F60B69" w:rsidRPr="00463D9B" w14:paraId="4F752A85" w14:textId="77777777" w:rsidTr="00B816DC">
        <w:trPr>
          <w:trHeight w:val="300"/>
          <w:jc w:val="center"/>
        </w:trPr>
        <w:tc>
          <w:tcPr>
            <w:tcW w:w="963" w:type="pct"/>
            <w:vMerge/>
            <w:shd w:val="clear" w:color="auto" w:fill="auto"/>
          </w:tcPr>
          <w:p w14:paraId="0CEB8AAD" w14:textId="77777777" w:rsidR="00F60B69" w:rsidRPr="00463D9B" w:rsidRDefault="00F60B69" w:rsidP="007A4FE8">
            <w:pPr>
              <w:jc w:val="center"/>
              <w:rPr>
                <w:rFonts w:eastAsia="Times New Roman" w:cs="Times New Roman"/>
                <w:sz w:val="22"/>
                <w:lang w:eastAsia="es-CR"/>
              </w:rPr>
            </w:pPr>
          </w:p>
        </w:tc>
        <w:tc>
          <w:tcPr>
            <w:tcW w:w="1250" w:type="pct"/>
            <w:shd w:val="clear" w:color="auto" w:fill="auto"/>
            <w:noWrap/>
          </w:tcPr>
          <w:p w14:paraId="4333B4C3"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Tres Equis</w:t>
            </w:r>
          </w:p>
        </w:tc>
        <w:tc>
          <w:tcPr>
            <w:tcW w:w="1441" w:type="pct"/>
            <w:shd w:val="clear" w:color="auto" w:fill="auto"/>
          </w:tcPr>
          <w:p w14:paraId="31AA733C"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11</w:t>
            </w:r>
          </w:p>
        </w:tc>
        <w:tc>
          <w:tcPr>
            <w:tcW w:w="1346" w:type="pct"/>
            <w:shd w:val="clear" w:color="auto" w:fill="auto"/>
          </w:tcPr>
          <w:p w14:paraId="731388D4"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20</w:t>
            </w:r>
          </w:p>
        </w:tc>
      </w:tr>
      <w:tr w:rsidR="00F60B69" w:rsidRPr="00463D9B" w14:paraId="465B6096" w14:textId="77777777" w:rsidTr="00B816DC">
        <w:trPr>
          <w:cnfStyle w:val="000000100000" w:firstRow="0" w:lastRow="0" w:firstColumn="0" w:lastColumn="0" w:oddVBand="0" w:evenVBand="0" w:oddHBand="1" w:evenHBand="0" w:firstRowFirstColumn="0" w:firstRowLastColumn="0" w:lastRowFirstColumn="0" w:lastRowLastColumn="0"/>
          <w:trHeight w:val="300"/>
          <w:jc w:val="center"/>
        </w:trPr>
        <w:tc>
          <w:tcPr>
            <w:tcW w:w="963" w:type="pct"/>
            <w:vMerge/>
            <w:shd w:val="clear" w:color="auto" w:fill="auto"/>
          </w:tcPr>
          <w:p w14:paraId="5CED13BF" w14:textId="77777777" w:rsidR="00F60B69" w:rsidRPr="00463D9B" w:rsidRDefault="00F60B69" w:rsidP="007A4FE8">
            <w:pPr>
              <w:jc w:val="center"/>
              <w:rPr>
                <w:rFonts w:eastAsia="Times New Roman" w:cs="Times New Roman"/>
                <w:sz w:val="22"/>
                <w:lang w:eastAsia="es-CR"/>
              </w:rPr>
            </w:pPr>
          </w:p>
        </w:tc>
        <w:tc>
          <w:tcPr>
            <w:tcW w:w="1250" w:type="pct"/>
            <w:tcBorders>
              <w:bottom w:val="single" w:sz="4" w:space="0" w:color="auto"/>
            </w:tcBorders>
            <w:shd w:val="clear" w:color="auto" w:fill="auto"/>
            <w:noWrap/>
          </w:tcPr>
          <w:p w14:paraId="0E1B61A7"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Peralta</w:t>
            </w:r>
          </w:p>
        </w:tc>
        <w:tc>
          <w:tcPr>
            <w:tcW w:w="1441" w:type="pct"/>
            <w:tcBorders>
              <w:bottom w:val="single" w:sz="4" w:space="0" w:color="auto"/>
            </w:tcBorders>
            <w:shd w:val="clear" w:color="auto" w:fill="auto"/>
          </w:tcPr>
          <w:p w14:paraId="4B7E0049"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4</w:t>
            </w:r>
          </w:p>
        </w:tc>
        <w:tc>
          <w:tcPr>
            <w:tcW w:w="1346" w:type="pct"/>
            <w:tcBorders>
              <w:bottom w:val="single" w:sz="4" w:space="0" w:color="auto"/>
            </w:tcBorders>
            <w:shd w:val="clear" w:color="auto" w:fill="auto"/>
          </w:tcPr>
          <w:p w14:paraId="3BDDC856" w14:textId="77777777" w:rsidR="00F60B69" w:rsidRPr="00463D9B" w:rsidRDefault="00F60B69" w:rsidP="007A4FE8">
            <w:pPr>
              <w:jc w:val="center"/>
              <w:rPr>
                <w:rFonts w:eastAsia="Times New Roman" w:cs="Times New Roman"/>
                <w:sz w:val="22"/>
                <w:lang w:eastAsia="es-CR"/>
              </w:rPr>
            </w:pPr>
            <w:r w:rsidRPr="00463D9B">
              <w:rPr>
                <w:rFonts w:eastAsia="Times New Roman" w:cs="Times New Roman"/>
                <w:sz w:val="22"/>
                <w:lang w:eastAsia="es-CR"/>
              </w:rPr>
              <w:t>10</w:t>
            </w:r>
          </w:p>
        </w:tc>
      </w:tr>
      <w:tr w:rsidR="00F60B69" w:rsidRPr="00463D9B" w14:paraId="2F824710" w14:textId="77777777" w:rsidTr="00B816DC">
        <w:trPr>
          <w:trHeight w:val="300"/>
          <w:jc w:val="center"/>
        </w:trPr>
        <w:tc>
          <w:tcPr>
            <w:tcW w:w="963" w:type="pct"/>
            <w:tcBorders>
              <w:bottom w:val="single" w:sz="4" w:space="0" w:color="auto"/>
            </w:tcBorders>
            <w:shd w:val="clear" w:color="auto" w:fill="auto"/>
          </w:tcPr>
          <w:p w14:paraId="3A953010" w14:textId="77777777" w:rsidR="00F60B69" w:rsidRPr="00463D9B" w:rsidRDefault="00F60B69" w:rsidP="00B36B1D">
            <w:pPr>
              <w:jc w:val="center"/>
              <w:rPr>
                <w:rFonts w:eastAsia="Times New Roman" w:cs="Times New Roman"/>
                <w:sz w:val="22"/>
                <w:lang w:eastAsia="es-CR"/>
              </w:rPr>
            </w:pPr>
          </w:p>
        </w:tc>
        <w:tc>
          <w:tcPr>
            <w:tcW w:w="1250" w:type="pct"/>
            <w:tcBorders>
              <w:top w:val="single" w:sz="4" w:space="0" w:color="auto"/>
              <w:bottom w:val="single" w:sz="4" w:space="0" w:color="auto"/>
            </w:tcBorders>
            <w:shd w:val="clear" w:color="auto" w:fill="auto"/>
            <w:noWrap/>
          </w:tcPr>
          <w:p w14:paraId="086199ED" w14:textId="77777777" w:rsidR="00F60B69" w:rsidRPr="00463D9B" w:rsidRDefault="00F60B69" w:rsidP="007A4FE8">
            <w:pPr>
              <w:jc w:val="center"/>
              <w:rPr>
                <w:rFonts w:eastAsia="Times New Roman" w:cs="Times New Roman"/>
                <w:b/>
                <w:sz w:val="22"/>
                <w:lang w:eastAsia="es-CR"/>
              </w:rPr>
            </w:pPr>
            <w:r w:rsidRPr="00463D9B">
              <w:rPr>
                <w:rFonts w:eastAsia="Times New Roman" w:cs="Times New Roman"/>
                <w:b/>
                <w:sz w:val="22"/>
                <w:lang w:eastAsia="es-CR"/>
              </w:rPr>
              <w:t>TOTAL</w:t>
            </w:r>
          </w:p>
        </w:tc>
        <w:tc>
          <w:tcPr>
            <w:tcW w:w="1441" w:type="pct"/>
            <w:tcBorders>
              <w:top w:val="single" w:sz="4" w:space="0" w:color="auto"/>
              <w:bottom w:val="single" w:sz="4" w:space="0" w:color="auto"/>
            </w:tcBorders>
            <w:shd w:val="clear" w:color="auto" w:fill="auto"/>
          </w:tcPr>
          <w:p w14:paraId="235AD0D9" w14:textId="77777777" w:rsidR="00F60B69" w:rsidRPr="00463D9B" w:rsidRDefault="00F60B69" w:rsidP="007A4FE8">
            <w:pPr>
              <w:jc w:val="center"/>
              <w:rPr>
                <w:rFonts w:eastAsia="Times New Roman" w:cs="Times New Roman"/>
                <w:b/>
                <w:sz w:val="22"/>
                <w:lang w:eastAsia="es-CR"/>
              </w:rPr>
            </w:pPr>
            <w:r w:rsidRPr="00463D9B">
              <w:rPr>
                <w:rFonts w:eastAsia="Times New Roman" w:cs="Times New Roman"/>
                <w:b/>
                <w:sz w:val="22"/>
                <w:lang w:eastAsia="es-CR"/>
              </w:rPr>
              <w:t>1643</w:t>
            </w:r>
          </w:p>
        </w:tc>
        <w:tc>
          <w:tcPr>
            <w:tcW w:w="1346" w:type="pct"/>
            <w:tcBorders>
              <w:top w:val="single" w:sz="4" w:space="0" w:color="auto"/>
              <w:bottom w:val="single" w:sz="4" w:space="0" w:color="auto"/>
            </w:tcBorders>
            <w:shd w:val="clear" w:color="auto" w:fill="auto"/>
          </w:tcPr>
          <w:p w14:paraId="6E0ACDB3" w14:textId="77777777" w:rsidR="00F60B69" w:rsidRPr="00463D9B" w:rsidRDefault="00F60B69" w:rsidP="007A4FE8">
            <w:pPr>
              <w:jc w:val="center"/>
              <w:rPr>
                <w:rFonts w:eastAsia="Times New Roman" w:cs="Times New Roman"/>
                <w:b/>
                <w:sz w:val="22"/>
                <w:lang w:eastAsia="es-CR"/>
              </w:rPr>
            </w:pPr>
            <w:r w:rsidRPr="00463D9B">
              <w:rPr>
                <w:rFonts w:eastAsia="Times New Roman" w:cs="Times New Roman"/>
                <w:b/>
                <w:sz w:val="22"/>
                <w:lang w:eastAsia="es-CR"/>
              </w:rPr>
              <w:t>2292</w:t>
            </w:r>
          </w:p>
        </w:tc>
      </w:tr>
    </w:tbl>
    <w:p w14:paraId="33ECEE2E" w14:textId="77777777" w:rsidR="00F60B69" w:rsidRPr="00702919" w:rsidRDefault="00F60B69" w:rsidP="00B36B1D">
      <w:pPr>
        <w:spacing w:after="0"/>
        <w:rPr>
          <w:sz w:val="20"/>
        </w:rPr>
      </w:pPr>
      <w:r>
        <w:rPr>
          <w:sz w:val="20"/>
        </w:rPr>
        <w:t xml:space="preserve">                </w:t>
      </w:r>
      <w:r w:rsidRPr="00702919">
        <w:rPr>
          <w:sz w:val="20"/>
        </w:rPr>
        <w:t>** Distrito con problemas de recopilación de información.</w:t>
      </w:r>
    </w:p>
    <w:p w14:paraId="7985B7B6" w14:textId="1C8F3495" w:rsidR="00F60B69" w:rsidRPr="00F60B69" w:rsidRDefault="00F60B69" w:rsidP="007A4FE8">
      <w:pPr>
        <w:ind w:left="709" w:hanging="709"/>
        <w:jc w:val="both"/>
        <w:rPr>
          <w:b/>
        </w:rPr>
        <w:sectPr w:rsidR="00F60B69" w:rsidRPr="00F60B69" w:rsidSect="004525D3">
          <w:pgSz w:w="11906" w:h="16838" w:code="9"/>
          <w:pgMar w:top="1418" w:right="1418" w:bottom="1418" w:left="1418" w:header="709" w:footer="709" w:gutter="0"/>
          <w:cols w:space="708"/>
          <w:docGrid w:linePitch="360"/>
        </w:sectPr>
      </w:pPr>
    </w:p>
    <w:p w14:paraId="19E5B496" w14:textId="12B019C0" w:rsidR="00F60B69" w:rsidRDefault="00B71F49" w:rsidP="007A4FE8">
      <w:pPr>
        <w:spacing w:after="0"/>
      </w:pPr>
      <w:r>
        <w:rPr>
          <w:b/>
        </w:rPr>
        <w:lastRenderedPageBreak/>
        <w:t xml:space="preserve">Apéndice </w:t>
      </w:r>
      <w:r w:rsidR="00C859A4">
        <w:rPr>
          <w:b/>
          <w:noProof/>
        </w:rPr>
        <w:t>3</w:t>
      </w:r>
      <w:r w:rsidR="00F60B69" w:rsidRPr="00B338A8">
        <w:rPr>
          <w:b/>
        </w:rPr>
        <w:t>.</w:t>
      </w:r>
      <w:r w:rsidR="00F60B69">
        <w:t xml:space="preserve"> Número de casos, por distrito, para cada variable relacionada con la percepción de l</w:t>
      </w:r>
      <w:r w:rsidR="002F0B93">
        <w:t>a</w:t>
      </w:r>
      <w:r w:rsidR="00F60B69">
        <w:t xml:space="preserve">s </w:t>
      </w:r>
      <w:r w:rsidR="002F0B93">
        <w:t xml:space="preserve">personas </w:t>
      </w:r>
      <w:r w:rsidR="00F60B69">
        <w:t>usuari</w:t>
      </w:r>
      <w:r w:rsidR="002F0B93">
        <w:t>a</w:t>
      </w:r>
      <w:r w:rsidR="00F60B69">
        <w:t>s sobre el servicio de agua potable</w:t>
      </w:r>
    </w:p>
    <w:p w14:paraId="5432F441" w14:textId="2F8CEA66" w:rsidR="004525D3" w:rsidRPr="00522597" w:rsidRDefault="004525D3" w:rsidP="007A4FE8">
      <w:pPr>
        <w:spacing w:after="0"/>
        <w:rPr>
          <w:i/>
          <w:iCs/>
          <w:lang w:val="en-US"/>
        </w:rPr>
      </w:pPr>
      <w:r w:rsidRPr="00522597">
        <w:rPr>
          <w:b/>
          <w:i/>
          <w:iCs/>
          <w:lang w:val="en-US"/>
        </w:rPr>
        <w:t xml:space="preserve">Appendix 3. </w:t>
      </w:r>
      <w:r w:rsidRPr="00522597">
        <w:rPr>
          <w:i/>
          <w:iCs/>
          <w:lang w:val="en-US"/>
        </w:rPr>
        <w:t>Number of cases, by district, for each variable related with the user perception about the water supply service</w:t>
      </w:r>
      <w:r w:rsidR="00F31813" w:rsidRPr="00522597">
        <w:rPr>
          <w:i/>
          <w:iCs/>
          <w:lang w:val="en-US"/>
        </w:rPr>
        <w:t>.</w:t>
      </w:r>
    </w:p>
    <w:p w14:paraId="205B49CD" w14:textId="77777777" w:rsidR="00F31813" w:rsidRPr="00522597" w:rsidRDefault="00F31813" w:rsidP="007A4FE8">
      <w:pPr>
        <w:spacing w:after="0"/>
        <w:rPr>
          <w:lang w:val="en-US"/>
        </w:rPr>
      </w:pPr>
    </w:p>
    <w:tbl>
      <w:tblPr>
        <w:tblStyle w:val="Tablaconcuadrcula"/>
        <w:tblpPr w:leftFromText="141" w:rightFromText="141" w:vertAnchor="text" w:tblpX="-635" w:tblpY="1"/>
        <w:tblOverlap w:val="never"/>
        <w:tblW w:w="55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56"/>
        <w:gridCol w:w="656"/>
        <w:gridCol w:w="546"/>
        <w:gridCol w:w="482"/>
        <w:gridCol w:w="482"/>
        <w:gridCol w:w="546"/>
        <w:gridCol w:w="546"/>
        <w:gridCol w:w="656"/>
        <w:gridCol w:w="546"/>
        <w:gridCol w:w="546"/>
        <w:gridCol w:w="546"/>
        <w:gridCol w:w="546"/>
        <w:gridCol w:w="546"/>
        <w:gridCol w:w="601"/>
        <w:gridCol w:w="482"/>
        <w:gridCol w:w="546"/>
        <w:gridCol w:w="546"/>
        <w:gridCol w:w="546"/>
        <w:gridCol w:w="546"/>
        <w:gridCol w:w="656"/>
        <w:gridCol w:w="482"/>
        <w:gridCol w:w="547"/>
        <w:gridCol w:w="482"/>
        <w:gridCol w:w="547"/>
        <w:gridCol w:w="546"/>
      </w:tblGrid>
      <w:tr w:rsidR="00F60B69" w:rsidRPr="00BE68AE" w14:paraId="0C444EC3" w14:textId="77777777" w:rsidTr="00522597">
        <w:trPr>
          <w:trHeight w:val="557"/>
          <w:tblHeader/>
        </w:trPr>
        <w:tc>
          <w:tcPr>
            <w:tcW w:w="548" w:type="pct"/>
            <w:tcBorders>
              <w:top w:val="single" w:sz="4" w:space="0" w:color="auto"/>
              <w:bottom w:val="single" w:sz="4" w:space="0" w:color="auto"/>
            </w:tcBorders>
          </w:tcPr>
          <w:p w14:paraId="1C4DA574" w14:textId="77777777" w:rsidR="00F60B69" w:rsidRPr="004525D3" w:rsidRDefault="00F60B69" w:rsidP="007A4FE8">
            <w:pPr>
              <w:jc w:val="both"/>
              <w:rPr>
                <w:rFonts w:cs="Times New Roman"/>
                <w:sz w:val="22"/>
                <w:lang w:val="en-US"/>
              </w:rPr>
            </w:pPr>
          </w:p>
        </w:tc>
        <w:tc>
          <w:tcPr>
            <w:tcW w:w="211" w:type="pct"/>
            <w:tcBorders>
              <w:top w:val="single" w:sz="4" w:space="0" w:color="auto"/>
              <w:bottom w:val="single" w:sz="4" w:space="0" w:color="auto"/>
            </w:tcBorders>
          </w:tcPr>
          <w:p w14:paraId="69D10723" w14:textId="77777777" w:rsidR="00F60B69" w:rsidRPr="004525D3" w:rsidRDefault="00F60B69" w:rsidP="007A4FE8">
            <w:pPr>
              <w:jc w:val="center"/>
              <w:rPr>
                <w:rFonts w:cs="Times New Roman"/>
                <w:sz w:val="22"/>
                <w:lang w:val="en-US"/>
              </w:rPr>
            </w:pPr>
          </w:p>
        </w:tc>
        <w:tc>
          <w:tcPr>
            <w:tcW w:w="873" w:type="pct"/>
            <w:gridSpan w:val="5"/>
            <w:tcBorders>
              <w:top w:val="single" w:sz="4" w:space="0" w:color="auto"/>
              <w:bottom w:val="single" w:sz="4" w:space="0" w:color="auto"/>
            </w:tcBorders>
            <w:vAlign w:val="center"/>
          </w:tcPr>
          <w:p w14:paraId="130BCC2B" w14:textId="77777777" w:rsidR="00F60B69" w:rsidRPr="00BE68AE" w:rsidRDefault="00F60B69" w:rsidP="007A4FE8">
            <w:pPr>
              <w:jc w:val="center"/>
              <w:rPr>
                <w:rFonts w:cs="Times New Roman"/>
                <w:b/>
                <w:sz w:val="22"/>
                <w:lang w:val="pt-BR"/>
              </w:rPr>
            </w:pPr>
            <w:r w:rsidRPr="00BE68AE">
              <w:rPr>
                <w:rFonts w:cs="Times New Roman"/>
                <w:b/>
                <w:sz w:val="22"/>
                <w:lang w:val="pt-BR"/>
              </w:rPr>
              <w:t xml:space="preserve">Administrador </w:t>
            </w:r>
            <w:proofErr w:type="spellStart"/>
            <w:r w:rsidRPr="00BE68AE">
              <w:rPr>
                <w:rFonts w:cs="Times New Roman"/>
                <w:b/>
                <w:sz w:val="22"/>
                <w:lang w:val="pt-BR"/>
              </w:rPr>
              <w:t>del</w:t>
            </w:r>
            <w:proofErr w:type="spellEnd"/>
            <w:r w:rsidRPr="00BE68AE">
              <w:rPr>
                <w:rFonts w:cs="Times New Roman"/>
                <w:b/>
                <w:sz w:val="22"/>
                <w:lang w:val="pt-BR"/>
              </w:rPr>
              <w:t xml:space="preserve"> </w:t>
            </w:r>
            <w:proofErr w:type="spellStart"/>
            <w:r w:rsidRPr="00BE68AE">
              <w:rPr>
                <w:rFonts w:cs="Times New Roman"/>
                <w:b/>
                <w:sz w:val="22"/>
                <w:lang w:val="pt-BR"/>
              </w:rPr>
              <w:t>servicio</w:t>
            </w:r>
            <w:proofErr w:type="spellEnd"/>
          </w:p>
        </w:tc>
        <w:tc>
          <w:tcPr>
            <w:tcW w:w="915" w:type="pct"/>
            <w:gridSpan w:val="5"/>
            <w:tcBorders>
              <w:top w:val="single" w:sz="4" w:space="0" w:color="auto"/>
              <w:bottom w:val="single" w:sz="4" w:space="0" w:color="auto"/>
            </w:tcBorders>
            <w:vAlign w:val="center"/>
          </w:tcPr>
          <w:p w14:paraId="46A44A2A" w14:textId="6BA4BAD3" w:rsidR="00F60B69" w:rsidRPr="00BE68AE" w:rsidRDefault="00F60B69" w:rsidP="007A4FE8">
            <w:pPr>
              <w:jc w:val="center"/>
              <w:rPr>
                <w:rFonts w:cs="Times New Roman"/>
                <w:b/>
                <w:sz w:val="22"/>
              </w:rPr>
            </w:pPr>
            <w:proofErr w:type="spellStart"/>
            <w:r>
              <w:rPr>
                <w:rFonts w:cs="Times New Roman"/>
                <w:b/>
                <w:sz w:val="22"/>
                <w:lang w:val="pt-BR"/>
              </w:rPr>
              <w:t>Satisfacción</w:t>
            </w:r>
            <w:proofErr w:type="spellEnd"/>
            <w:r>
              <w:rPr>
                <w:rFonts w:cs="Times New Roman"/>
                <w:b/>
                <w:sz w:val="22"/>
                <w:lang w:val="pt-BR"/>
              </w:rPr>
              <w:t xml:space="preserve"> de</w:t>
            </w:r>
            <w:r w:rsidR="00522597">
              <w:rPr>
                <w:rFonts w:cs="Times New Roman"/>
                <w:b/>
                <w:sz w:val="22"/>
                <w:lang w:val="pt-BR"/>
              </w:rPr>
              <w:t xml:space="preserve"> </w:t>
            </w:r>
            <w:proofErr w:type="spellStart"/>
            <w:r>
              <w:rPr>
                <w:rFonts w:cs="Times New Roman"/>
                <w:b/>
                <w:sz w:val="22"/>
                <w:lang w:val="pt-BR"/>
              </w:rPr>
              <w:t>l</w:t>
            </w:r>
            <w:r w:rsidR="00522597">
              <w:rPr>
                <w:rFonts w:cs="Times New Roman"/>
                <w:b/>
                <w:sz w:val="22"/>
                <w:lang w:val="pt-BR"/>
              </w:rPr>
              <w:t>a</w:t>
            </w:r>
            <w:proofErr w:type="spellEnd"/>
            <w:r>
              <w:rPr>
                <w:rFonts w:cs="Times New Roman"/>
                <w:b/>
                <w:sz w:val="22"/>
                <w:lang w:val="pt-BR"/>
              </w:rPr>
              <w:t xml:space="preserve"> </w:t>
            </w:r>
            <w:r w:rsidR="00522597">
              <w:rPr>
                <w:rFonts w:cs="Times New Roman"/>
                <w:b/>
                <w:sz w:val="22"/>
                <w:lang w:val="pt-BR"/>
              </w:rPr>
              <w:t xml:space="preserve">persona </w:t>
            </w:r>
            <w:proofErr w:type="spellStart"/>
            <w:r>
              <w:rPr>
                <w:rFonts w:cs="Times New Roman"/>
                <w:b/>
                <w:sz w:val="22"/>
                <w:lang w:val="pt-BR"/>
              </w:rPr>
              <w:t>usuari</w:t>
            </w:r>
            <w:r w:rsidR="00522597">
              <w:rPr>
                <w:rFonts w:cs="Times New Roman"/>
                <w:b/>
                <w:sz w:val="22"/>
                <w:lang w:val="pt-BR"/>
              </w:rPr>
              <w:t>a</w:t>
            </w:r>
            <w:proofErr w:type="spellEnd"/>
          </w:p>
        </w:tc>
        <w:tc>
          <w:tcPr>
            <w:tcW w:w="877" w:type="pct"/>
            <w:gridSpan w:val="5"/>
            <w:tcBorders>
              <w:top w:val="single" w:sz="4" w:space="0" w:color="auto"/>
              <w:bottom w:val="single" w:sz="4" w:space="0" w:color="auto"/>
            </w:tcBorders>
            <w:vAlign w:val="center"/>
          </w:tcPr>
          <w:p w14:paraId="27BDFE1B" w14:textId="77777777" w:rsidR="00F60B69" w:rsidRPr="00BE68AE" w:rsidRDefault="00F60B69" w:rsidP="007A4FE8">
            <w:pPr>
              <w:jc w:val="center"/>
              <w:rPr>
                <w:rFonts w:cs="Times New Roman"/>
                <w:b/>
                <w:sz w:val="22"/>
              </w:rPr>
            </w:pPr>
            <w:r w:rsidRPr="00BE68AE">
              <w:rPr>
                <w:rFonts w:cs="Times New Roman"/>
                <w:b/>
                <w:sz w:val="22"/>
              </w:rPr>
              <w:t>Problemas detectados</w:t>
            </w:r>
          </w:p>
        </w:tc>
        <w:tc>
          <w:tcPr>
            <w:tcW w:w="894" w:type="pct"/>
            <w:gridSpan w:val="5"/>
            <w:tcBorders>
              <w:top w:val="single" w:sz="4" w:space="0" w:color="auto"/>
              <w:bottom w:val="single" w:sz="4" w:space="0" w:color="auto"/>
            </w:tcBorders>
            <w:vAlign w:val="center"/>
          </w:tcPr>
          <w:p w14:paraId="3ECA2B46" w14:textId="77777777" w:rsidR="00F60B69" w:rsidRPr="00BE68AE" w:rsidRDefault="00F60B69" w:rsidP="007A4FE8">
            <w:pPr>
              <w:jc w:val="center"/>
              <w:rPr>
                <w:rFonts w:cs="Times New Roman"/>
                <w:b/>
                <w:sz w:val="22"/>
              </w:rPr>
            </w:pPr>
            <w:r w:rsidRPr="00BE68AE">
              <w:rPr>
                <w:rFonts w:cs="Times New Roman"/>
                <w:b/>
                <w:sz w:val="22"/>
              </w:rPr>
              <w:t>Continuidad del servicio (por día)</w:t>
            </w:r>
          </w:p>
        </w:tc>
        <w:tc>
          <w:tcPr>
            <w:tcW w:w="683" w:type="pct"/>
            <w:gridSpan w:val="4"/>
            <w:tcBorders>
              <w:top w:val="single" w:sz="4" w:space="0" w:color="auto"/>
              <w:bottom w:val="single" w:sz="4" w:space="0" w:color="auto"/>
            </w:tcBorders>
            <w:vAlign w:val="center"/>
          </w:tcPr>
          <w:p w14:paraId="6CEAF19F" w14:textId="77777777" w:rsidR="00F60B69" w:rsidRPr="00BE68AE" w:rsidRDefault="00F60B69" w:rsidP="007A4FE8">
            <w:pPr>
              <w:jc w:val="center"/>
              <w:rPr>
                <w:rFonts w:cs="Times New Roman"/>
                <w:b/>
                <w:sz w:val="22"/>
              </w:rPr>
            </w:pPr>
            <w:r w:rsidRPr="00BE68AE">
              <w:rPr>
                <w:rFonts w:cs="Times New Roman"/>
                <w:b/>
                <w:sz w:val="22"/>
              </w:rPr>
              <w:t>Medidas preventivas del usuario</w:t>
            </w:r>
          </w:p>
        </w:tc>
      </w:tr>
      <w:tr w:rsidR="00F60B69" w:rsidRPr="00BE68AE" w14:paraId="05556A16" w14:textId="77777777" w:rsidTr="00B816DC">
        <w:trPr>
          <w:cantSplit/>
          <w:trHeight w:val="1360"/>
          <w:tblHeader/>
        </w:trPr>
        <w:tc>
          <w:tcPr>
            <w:tcW w:w="548" w:type="pct"/>
            <w:tcBorders>
              <w:top w:val="single" w:sz="4" w:space="0" w:color="auto"/>
              <w:bottom w:val="single" w:sz="4" w:space="0" w:color="auto"/>
            </w:tcBorders>
            <w:vAlign w:val="center"/>
          </w:tcPr>
          <w:p w14:paraId="338E34D4" w14:textId="77777777" w:rsidR="00F60B69" w:rsidRPr="00BE68AE" w:rsidRDefault="00F60B69" w:rsidP="007A4FE8">
            <w:pPr>
              <w:jc w:val="center"/>
              <w:rPr>
                <w:rFonts w:cs="Times New Roman"/>
                <w:sz w:val="22"/>
              </w:rPr>
            </w:pPr>
            <w:r w:rsidRPr="00BE68AE">
              <w:rPr>
                <w:rFonts w:cs="Times New Roman"/>
                <w:sz w:val="22"/>
              </w:rPr>
              <w:t>Distrito</w:t>
            </w:r>
          </w:p>
          <w:p w14:paraId="718D8660" w14:textId="77777777" w:rsidR="00F60B69" w:rsidRPr="00BE68AE" w:rsidRDefault="00F60B69" w:rsidP="007A4FE8">
            <w:pPr>
              <w:jc w:val="center"/>
              <w:rPr>
                <w:rFonts w:cs="Times New Roman"/>
                <w:sz w:val="22"/>
              </w:rPr>
            </w:pPr>
            <w:r w:rsidRPr="00BE68AE">
              <w:rPr>
                <w:rFonts w:cs="Times New Roman"/>
                <w:sz w:val="22"/>
              </w:rPr>
              <w:t>(inicial del cantón al que pertenece)</w:t>
            </w:r>
          </w:p>
        </w:tc>
        <w:tc>
          <w:tcPr>
            <w:tcW w:w="211" w:type="pct"/>
            <w:tcBorders>
              <w:top w:val="single" w:sz="4" w:space="0" w:color="auto"/>
              <w:bottom w:val="single" w:sz="4" w:space="0" w:color="auto"/>
            </w:tcBorders>
            <w:textDirection w:val="btLr"/>
          </w:tcPr>
          <w:p w14:paraId="5D68F727" w14:textId="77777777" w:rsidR="00F60B69" w:rsidRPr="00BE68AE" w:rsidRDefault="00F60B69" w:rsidP="007A4FE8">
            <w:pPr>
              <w:jc w:val="center"/>
              <w:rPr>
                <w:rFonts w:cs="Times New Roman"/>
                <w:sz w:val="22"/>
              </w:rPr>
            </w:pPr>
            <w:r w:rsidRPr="00BE68AE">
              <w:rPr>
                <w:rFonts w:cs="Times New Roman"/>
                <w:sz w:val="22"/>
              </w:rPr>
              <w:t>Muestra</w:t>
            </w:r>
          </w:p>
        </w:tc>
        <w:tc>
          <w:tcPr>
            <w:tcW w:w="211" w:type="pct"/>
            <w:tcBorders>
              <w:top w:val="single" w:sz="4" w:space="0" w:color="auto"/>
              <w:bottom w:val="single" w:sz="4" w:space="0" w:color="auto"/>
            </w:tcBorders>
            <w:textDirection w:val="btLr"/>
          </w:tcPr>
          <w:p w14:paraId="1EDE6AC3" w14:textId="77777777" w:rsidR="00F60B69" w:rsidRPr="00BE68AE" w:rsidRDefault="00F60B69" w:rsidP="007A4FE8">
            <w:pPr>
              <w:jc w:val="center"/>
              <w:rPr>
                <w:rFonts w:cs="Times New Roman"/>
                <w:sz w:val="22"/>
              </w:rPr>
            </w:pPr>
            <w:r w:rsidRPr="00BE68AE">
              <w:rPr>
                <w:rFonts w:cs="Times New Roman"/>
                <w:sz w:val="22"/>
              </w:rPr>
              <w:t>Municipal</w:t>
            </w:r>
          </w:p>
        </w:tc>
        <w:tc>
          <w:tcPr>
            <w:tcW w:w="176" w:type="pct"/>
            <w:tcBorders>
              <w:top w:val="single" w:sz="4" w:space="0" w:color="auto"/>
              <w:bottom w:val="single" w:sz="4" w:space="0" w:color="auto"/>
            </w:tcBorders>
            <w:textDirection w:val="btLr"/>
          </w:tcPr>
          <w:p w14:paraId="55B27B47" w14:textId="77777777" w:rsidR="00F60B69" w:rsidRPr="00BE68AE" w:rsidRDefault="00F60B69" w:rsidP="007A4FE8">
            <w:pPr>
              <w:jc w:val="center"/>
              <w:rPr>
                <w:rFonts w:cs="Times New Roman"/>
                <w:sz w:val="22"/>
              </w:rPr>
            </w:pPr>
            <w:r w:rsidRPr="00BE68AE">
              <w:rPr>
                <w:rFonts w:cs="Times New Roman"/>
                <w:sz w:val="22"/>
              </w:rPr>
              <w:t>ASADA</w:t>
            </w:r>
          </w:p>
        </w:tc>
        <w:tc>
          <w:tcPr>
            <w:tcW w:w="155" w:type="pct"/>
            <w:tcBorders>
              <w:top w:val="single" w:sz="4" w:space="0" w:color="auto"/>
              <w:bottom w:val="single" w:sz="4" w:space="0" w:color="auto"/>
            </w:tcBorders>
            <w:textDirection w:val="btLr"/>
          </w:tcPr>
          <w:p w14:paraId="3B3034BA" w14:textId="77777777" w:rsidR="00F60B69" w:rsidRPr="00BE68AE" w:rsidRDefault="00F60B69" w:rsidP="007A4FE8">
            <w:pPr>
              <w:jc w:val="center"/>
              <w:rPr>
                <w:rFonts w:cs="Times New Roman"/>
                <w:sz w:val="22"/>
              </w:rPr>
            </w:pPr>
            <w:r w:rsidRPr="00BE68AE">
              <w:rPr>
                <w:rFonts w:cs="Times New Roman"/>
                <w:sz w:val="22"/>
              </w:rPr>
              <w:t>AyA</w:t>
            </w:r>
          </w:p>
        </w:tc>
        <w:tc>
          <w:tcPr>
            <w:tcW w:w="155" w:type="pct"/>
            <w:tcBorders>
              <w:top w:val="single" w:sz="4" w:space="0" w:color="auto"/>
              <w:bottom w:val="single" w:sz="4" w:space="0" w:color="auto"/>
            </w:tcBorders>
            <w:textDirection w:val="btLr"/>
          </w:tcPr>
          <w:p w14:paraId="4363868E" w14:textId="77777777" w:rsidR="00F60B69" w:rsidRPr="00BE68AE" w:rsidRDefault="00F60B69" w:rsidP="007A4FE8">
            <w:pPr>
              <w:jc w:val="center"/>
              <w:rPr>
                <w:rFonts w:cs="Times New Roman"/>
                <w:sz w:val="22"/>
              </w:rPr>
            </w:pPr>
            <w:r w:rsidRPr="00BE68AE">
              <w:rPr>
                <w:rFonts w:cs="Times New Roman"/>
                <w:sz w:val="22"/>
              </w:rPr>
              <w:t>Otro</w:t>
            </w:r>
          </w:p>
        </w:tc>
        <w:tc>
          <w:tcPr>
            <w:tcW w:w="176" w:type="pct"/>
            <w:tcBorders>
              <w:top w:val="single" w:sz="4" w:space="0" w:color="auto"/>
              <w:bottom w:val="single" w:sz="4" w:space="0" w:color="auto"/>
            </w:tcBorders>
            <w:textDirection w:val="btLr"/>
          </w:tcPr>
          <w:p w14:paraId="5C2DDE42" w14:textId="77777777" w:rsidR="00F60B69" w:rsidRPr="00BE68AE" w:rsidRDefault="00F60B69" w:rsidP="007A4FE8">
            <w:pPr>
              <w:jc w:val="center"/>
              <w:rPr>
                <w:rFonts w:cs="Times New Roman"/>
                <w:sz w:val="22"/>
              </w:rPr>
            </w:pPr>
            <w:r w:rsidRPr="00BE68AE">
              <w:rPr>
                <w:rFonts w:cs="Times New Roman"/>
                <w:sz w:val="22"/>
              </w:rPr>
              <w:t>NS / NR</w:t>
            </w:r>
          </w:p>
        </w:tc>
        <w:tc>
          <w:tcPr>
            <w:tcW w:w="176" w:type="pct"/>
            <w:tcBorders>
              <w:top w:val="single" w:sz="4" w:space="0" w:color="auto"/>
              <w:bottom w:val="single" w:sz="4" w:space="0" w:color="auto"/>
            </w:tcBorders>
            <w:textDirection w:val="btLr"/>
          </w:tcPr>
          <w:p w14:paraId="66B480A9" w14:textId="77777777" w:rsidR="00F60B69" w:rsidRPr="00BE68AE" w:rsidRDefault="00F60B69" w:rsidP="007A4FE8">
            <w:pPr>
              <w:jc w:val="center"/>
              <w:rPr>
                <w:rFonts w:cs="Times New Roman"/>
                <w:sz w:val="22"/>
              </w:rPr>
            </w:pPr>
            <w:r w:rsidRPr="00BE68AE">
              <w:rPr>
                <w:rFonts w:cs="Times New Roman"/>
                <w:sz w:val="22"/>
              </w:rPr>
              <w:t>Muy bueno</w:t>
            </w:r>
          </w:p>
        </w:tc>
        <w:tc>
          <w:tcPr>
            <w:tcW w:w="211" w:type="pct"/>
            <w:tcBorders>
              <w:top w:val="single" w:sz="4" w:space="0" w:color="auto"/>
              <w:bottom w:val="single" w:sz="4" w:space="0" w:color="auto"/>
            </w:tcBorders>
            <w:textDirection w:val="btLr"/>
          </w:tcPr>
          <w:p w14:paraId="35B8C8CF" w14:textId="77777777" w:rsidR="00F60B69" w:rsidRPr="00BE68AE" w:rsidRDefault="00F60B69" w:rsidP="007A4FE8">
            <w:pPr>
              <w:jc w:val="center"/>
              <w:rPr>
                <w:rFonts w:cs="Times New Roman"/>
                <w:sz w:val="22"/>
              </w:rPr>
            </w:pPr>
            <w:r w:rsidRPr="00BE68AE">
              <w:rPr>
                <w:rFonts w:cs="Times New Roman"/>
                <w:sz w:val="22"/>
              </w:rPr>
              <w:t>Bueno</w:t>
            </w:r>
          </w:p>
        </w:tc>
        <w:tc>
          <w:tcPr>
            <w:tcW w:w="176" w:type="pct"/>
            <w:tcBorders>
              <w:top w:val="single" w:sz="4" w:space="0" w:color="auto"/>
              <w:bottom w:val="single" w:sz="4" w:space="0" w:color="auto"/>
            </w:tcBorders>
            <w:textDirection w:val="btLr"/>
          </w:tcPr>
          <w:p w14:paraId="0CFC78E1" w14:textId="77777777" w:rsidR="00F60B69" w:rsidRPr="00BE68AE" w:rsidRDefault="00F60B69" w:rsidP="007A4FE8">
            <w:pPr>
              <w:jc w:val="center"/>
              <w:rPr>
                <w:rFonts w:cs="Times New Roman"/>
                <w:sz w:val="22"/>
              </w:rPr>
            </w:pPr>
            <w:r w:rsidRPr="00BE68AE">
              <w:rPr>
                <w:rFonts w:cs="Times New Roman"/>
                <w:sz w:val="22"/>
              </w:rPr>
              <w:t>Regular</w:t>
            </w:r>
          </w:p>
        </w:tc>
        <w:tc>
          <w:tcPr>
            <w:tcW w:w="176" w:type="pct"/>
            <w:tcBorders>
              <w:top w:val="single" w:sz="4" w:space="0" w:color="auto"/>
              <w:bottom w:val="single" w:sz="4" w:space="0" w:color="auto"/>
            </w:tcBorders>
            <w:textDirection w:val="btLr"/>
          </w:tcPr>
          <w:p w14:paraId="4CB614BF" w14:textId="77777777" w:rsidR="00F60B69" w:rsidRPr="00BE68AE" w:rsidRDefault="00F60B69" w:rsidP="007A4FE8">
            <w:pPr>
              <w:jc w:val="center"/>
              <w:rPr>
                <w:rFonts w:cs="Times New Roman"/>
                <w:sz w:val="22"/>
              </w:rPr>
            </w:pPr>
            <w:r w:rsidRPr="00BE68AE">
              <w:rPr>
                <w:rFonts w:cs="Times New Roman"/>
                <w:sz w:val="22"/>
              </w:rPr>
              <w:t>Malo</w:t>
            </w:r>
          </w:p>
        </w:tc>
        <w:tc>
          <w:tcPr>
            <w:tcW w:w="176" w:type="pct"/>
            <w:tcBorders>
              <w:top w:val="single" w:sz="4" w:space="0" w:color="auto"/>
              <w:bottom w:val="single" w:sz="4" w:space="0" w:color="auto"/>
            </w:tcBorders>
            <w:textDirection w:val="btLr"/>
          </w:tcPr>
          <w:p w14:paraId="0046C865" w14:textId="77777777" w:rsidR="00F60B69" w:rsidRPr="00BE68AE" w:rsidRDefault="00F60B69" w:rsidP="007A4FE8">
            <w:pPr>
              <w:jc w:val="center"/>
              <w:rPr>
                <w:rFonts w:cs="Times New Roman"/>
                <w:sz w:val="22"/>
              </w:rPr>
            </w:pPr>
            <w:r w:rsidRPr="00BE68AE">
              <w:rPr>
                <w:rFonts w:cs="Times New Roman"/>
                <w:sz w:val="22"/>
              </w:rPr>
              <w:t>Muy malo</w:t>
            </w:r>
          </w:p>
        </w:tc>
        <w:tc>
          <w:tcPr>
            <w:tcW w:w="176" w:type="pct"/>
            <w:tcBorders>
              <w:top w:val="single" w:sz="4" w:space="0" w:color="auto"/>
              <w:bottom w:val="single" w:sz="4" w:space="0" w:color="auto"/>
            </w:tcBorders>
            <w:textDirection w:val="btLr"/>
          </w:tcPr>
          <w:p w14:paraId="36827879" w14:textId="77777777" w:rsidR="00F60B69" w:rsidRPr="00BE68AE" w:rsidRDefault="00F60B69" w:rsidP="007A4FE8">
            <w:pPr>
              <w:jc w:val="center"/>
              <w:rPr>
                <w:rFonts w:cs="Times New Roman"/>
                <w:sz w:val="22"/>
              </w:rPr>
            </w:pPr>
            <w:r w:rsidRPr="00BE68AE">
              <w:rPr>
                <w:rFonts w:cs="Times New Roman"/>
                <w:sz w:val="22"/>
              </w:rPr>
              <w:t>Olor a cloro</w:t>
            </w:r>
          </w:p>
        </w:tc>
        <w:tc>
          <w:tcPr>
            <w:tcW w:w="176" w:type="pct"/>
            <w:tcBorders>
              <w:top w:val="single" w:sz="4" w:space="0" w:color="auto"/>
              <w:bottom w:val="single" w:sz="4" w:space="0" w:color="auto"/>
            </w:tcBorders>
            <w:textDirection w:val="btLr"/>
          </w:tcPr>
          <w:p w14:paraId="46549320" w14:textId="77777777" w:rsidR="00F60B69" w:rsidRPr="00BE68AE" w:rsidRDefault="00F60B69" w:rsidP="007A4FE8">
            <w:pPr>
              <w:jc w:val="center"/>
              <w:rPr>
                <w:rFonts w:cs="Times New Roman"/>
                <w:sz w:val="22"/>
              </w:rPr>
            </w:pPr>
            <w:r w:rsidRPr="00BE68AE">
              <w:rPr>
                <w:rFonts w:cs="Times New Roman"/>
                <w:sz w:val="22"/>
              </w:rPr>
              <w:t>Sabor a cloro</w:t>
            </w:r>
          </w:p>
        </w:tc>
        <w:tc>
          <w:tcPr>
            <w:tcW w:w="194" w:type="pct"/>
            <w:tcBorders>
              <w:top w:val="single" w:sz="4" w:space="0" w:color="auto"/>
              <w:bottom w:val="single" w:sz="4" w:space="0" w:color="auto"/>
            </w:tcBorders>
            <w:textDirection w:val="btLr"/>
          </w:tcPr>
          <w:p w14:paraId="359CFA55" w14:textId="77777777" w:rsidR="00F60B69" w:rsidRPr="00BE68AE" w:rsidRDefault="00F60B69" w:rsidP="007A4FE8">
            <w:pPr>
              <w:jc w:val="center"/>
              <w:rPr>
                <w:rFonts w:cs="Times New Roman"/>
                <w:sz w:val="22"/>
              </w:rPr>
            </w:pPr>
            <w:r w:rsidRPr="00BE68AE">
              <w:rPr>
                <w:rFonts w:cs="Times New Roman"/>
                <w:sz w:val="22"/>
              </w:rPr>
              <w:t>Elevada turbidez</w:t>
            </w:r>
          </w:p>
        </w:tc>
        <w:tc>
          <w:tcPr>
            <w:tcW w:w="155" w:type="pct"/>
            <w:tcBorders>
              <w:top w:val="single" w:sz="4" w:space="0" w:color="auto"/>
              <w:bottom w:val="single" w:sz="4" w:space="0" w:color="auto"/>
            </w:tcBorders>
            <w:textDirection w:val="btLr"/>
          </w:tcPr>
          <w:p w14:paraId="623C6233" w14:textId="77777777" w:rsidR="00F60B69" w:rsidRPr="00BE68AE" w:rsidRDefault="00F60B69" w:rsidP="007A4FE8">
            <w:pPr>
              <w:jc w:val="center"/>
              <w:rPr>
                <w:rFonts w:cs="Times New Roman"/>
                <w:sz w:val="22"/>
              </w:rPr>
            </w:pPr>
            <w:r w:rsidRPr="00BE68AE">
              <w:rPr>
                <w:rFonts w:cs="Times New Roman"/>
                <w:sz w:val="22"/>
              </w:rPr>
              <w:t>Larvas</w:t>
            </w:r>
          </w:p>
        </w:tc>
        <w:tc>
          <w:tcPr>
            <w:tcW w:w="176" w:type="pct"/>
            <w:tcBorders>
              <w:top w:val="single" w:sz="4" w:space="0" w:color="auto"/>
              <w:bottom w:val="single" w:sz="4" w:space="0" w:color="auto"/>
            </w:tcBorders>
            <w:textDirection w:val="btLr"/>
          </w:tcPr>
          <w:p w14:paraId="419017C4" w14:textId="77777777" w:rsidR="00F60B69" w:rsidRPr="00BE68AE" w:rsidRDefault="00F60B69" w:rsidP="007A4FE8">
            <w:pPr>
              <w:jc w:val="center"/>
              <w:rPr>
                <w:rFonts w:cs="Times New Roman"/>
                <w:sz w:val="22"/>
              </w:rPr>
            </w:pPr>
            <w:r w:rsidRPr="00BE68AE">
              <w:rPr>
                <w:rFonts w:cs="Times New Roman"/>
                <w:sz w:val="22"/>
              </w:rPr>
              <w:t>Poca presión</w:t>
            </w:r>
          </w:p>
        </w:tc>
        <w:tc>
          <w:tcPr>
            <w:tcW w:w="176" w:type="pct"/>
            <w:tcBorders>
              <w:top w:val="single" w:sz="4" w:space="0" w:color="auto"/>
              <w:bottom w:val="single" w:sz="4" w:space="0" w:color="auto"/>
            </w:tcBorders>
            <w:textDirection w:val="btLr"/>
          </w:tcPr>
          <w:p w14:paraId="4FECA0DB" w14:textId="77777777" w:rsidR="00F60B69" w:rsidRPr="00BE68AE" w:rsidRDefault="00F60B69" w:rsidP="007A4FE8">
            <w:pPr>
              <w:jc w:val="center"/>
              <w:rPr>
                <w:rFonts w:cs="Times New Roman"/>
                <w:sz w:val="22"/>
              </w:rPr>
            </w:pPr>
            <w:r w:rsidRPr="00BE68AE">
              <w:rPr>
                <w:rFonts w:cs="Times New Roman"/>
                <w:sz w:val="22"/>
              </w:rPr>
              <w:t>Menos de 8h</w:t>
            </w:r>
          </w:p>
        </w:tc>
        <w:tc>
          <w:tcPr>
            <w:tcW w:w="176" w:type="pct"/>
            <w:tcBorders>
              <w:top w:val="single" w:sz="4" w:space="0" w:color="auto"/>
              <w:bottom w:val="single" w:sz="4" w:space="0" w:color="auto"/>
            </w:tcBorders>
            <w:textDirection w:val="btLr"/>
          </w:tcPr>
          <w:p w14:paraId="43E3C58E" w14:textId="77777777" w:rsidR="00F60B69" w:rsidRPr="00BE68AE" w:rsidRDefault="00F60B69" w:rsidP="007A4FE8">
            <w:pPr>
              <w:jc w:val="center"/>
              <w:rPr>
                <w:rFonts w:cs="Times New Roman"/>
                <w:sz w:val="22"/>
              </w:rPr>
            </w:pPr>
            <w:r w:rsidRPr="00BE68AE">
              <w:rPr>
                <w:rFonts w:cs="Times New Roman"/>
                <w:sz w:val="22"/>
              </w:rPr>
              <w:t>8 a 12 h</w:t>
            </w:r>
          </w:p>
        </w:tc>
        <w:tc>
          <w:tcPr>
            <w:tcW w:w="176" w:type="pct"/>
            <w:tcBorders>
              <w:top w:val="single" w:sz="4" w:space="0" w:color="auto"/>
              <w:bottom w:val="single" w:sz="4" w:space="0" w:color="auto"/>
            </w:tcBorders>
            <w:textDirection w:val="btLr"/>
          </w:tcPr>
          <w:p w14:paraId="141EA3D1" w14:textId="77777777" w:rsidR="00F60B69" w:rsidRPr="00BE68AE" w:rsidRDefault="00F60B69" w:rsidP="007A4FE8">
            <w:pPr>
              <w:jc w:val="center"/>
              <w:rPr>
                <w:rFonts w:cs="Times New Roman"/>
                <w:sz w:val="22"/>
              </w:rPr>
            </w:pPr>
            <w:r w:rsidRPr="00BE68AE">
              <w:rPr>
                <w:rFonts w:cs="Times New Roman"/>
                <w:sz w:val="22"/>
              </w:rPr>
              <w:t>13 a 23 h</w:t>
            </w:r>
          </w:p>
        </w:tc>
        <w:tc>
          <w:tcPr>
            <w:tcW w:w="211" w:type="pct"/>
            <w:tcBorders>
              <w:top w:val="single" w:sz="4" w:space="0" w:color="auto"/>
              <w:bottom w:val="single" w:sz="4" w:space="0" w:color="auto"/>
            </w:tcBorders>
            <w:textDirection w:val="btLr"/>
          </w:tcPr>
          <w:p w14:paraId="767F4A7C" w14:textId="77777777" w:rsidR="00F60B69" w:rsidRPr="00BE68AE" w:rsidRDefault="00F60B69" w:rsidP="007A4FE8">
            <w:pPr>
              <w:jc w:val="center"/>
              <w:rPr>
                <w:rFonts w:cs="Times New Roman"/>
                <w:sz w:val="22"/>
              </w:rPr>
            </w:pPr>
            <w:r w:rsidRPr="00BE68AE">
              <w:rPr>
                <w:rFonts w:cs="Times New Roman"/>
                <w:sz w:val="22"/>
              </w:rPr>
              <w:t>24h</w:t>
            </w:r>
          </w:p>
        </w:tc>
        <w:tc>
          <w:tcPr>
            <w:tcW w:w="155" w:type="pct"/>
            <w:tcBorders>
              <w:top w:val="single" w:sz="4" w:space="0" w:color="auto"/>
              <w:bottom w:val="single" w:sz="4" w:space="0" w:color="auto"/>
            </w:tcBorders>
            <w:textDirection w:val="btLr"/>
          </w:tcPr>
          <w:p w14:paraId="0C5974C8" w14:textId="77777777" w:rsidR="00F60B69" w:rsidRPr="00BE68AE" w:rsidRDefault="00F60B69" w:rsidP="007A4FE8">
            <w:pPr>
              <w:jc w:val="center"/>
              <w:rPr>
                <w:rFonts w:cs="Times New Roman"/>
                <w:sz w:val="22"/>
              </w:rPr>
            </w:pPr>
            <w:r w:rsidRPr="00BE68AE">
              <w:rPr>
                <w:rFonts w:cs="Times New Roman"/>
                <w:sz w:val="22"/>
              </w:rPr>
              <w:t>NS / NR</w:t>
            </w:r>
          </w:p>
        </w:tc>
        <w:tc>
          <w:tcPr>
            <w:tcW w:w="176" w:type="pct"/>
            <w:tcBorders>
              <w:top w:val="single" w:sz="4" w:space="0" w:color="auto"/>
              <w:bottom w:val="single" w:sz="4" w:space="0" w:color="auto"/>
            </w:tcBorders>
            <w:textDirection w:val="btLr"/>
          </w:tcPr>
          <w:p w14:paraId="5EE1C856" w14:textId="77777777" w:rsidR="00F60B69" w:rsidRPr="00BE68AE" w:rsidRDefault="00F60B69" w:rsidP="007A4FE8">
            <w:pPr>
              <w:jc w:val="center"/>
              <w:rPr>
                <w:rFonts w:cs="Times New Roman"/>
                <w:sz w:val="22"/>
              </w:rPr>
            </w:pPr>
            <w:r w:rsidRPr="00BE68AE">
              <w:rPr>
                <w:rFonts w:cs="Times New Roman"/>
                <w:sz w:val="22"/>
              </w:rPr>
              <w:t>T. A. P.</w:t>
            </w:r>
          </w:p>
        </w:tc>
        <w:tc>
          <w:tcPr>
            <w:tcW w:w="155" w:type="pct"/>
            <w:tcBorders>
              <w:top w:val="single" w:sz="4" w:space="0" w:color="auto"/>
              <w:bottom w:val="single" w:sz="4" w:space="0" w:color="auto"/>
            </w:tcBorders>
            <w:textDirection w:val="btLr"/>
          </w:tcPr>
          <w:p w14:paraId="16CF877A" w14:textId="77777777" w:rsidR="00F60B69" w:rsidRPr="00BE68AE" w:rsidRDefault="00F60B69" w:rsidP="007A4FE8">
            <w:pPr>
              <w:jc w:val="center"/>
              <w:rPr>
                <w:rFonts w:cs="Times New Roman"/>
                <w:sz w:val="22"/>
              </w:rPr>
            </w:pPr>
            <w:r w:rsidRPr="00BE68AE">
              <w:rPr>
                <w:rFonts w:cs="Times New Roman"/>
                <w:sz w:val="22"/>
              </w:rPr>
              <w:t>Bomba</w:t>
            </w:r>
          </w:p>
        </w:tc>
        <w:tc>
          <w:tcPr>
            <w:tcW w:w="176" w:type="pct"/>
            <w:tcBorders>
              <w:top w:val="single" w:sz="4" w:space="0" w:color="auto"/>
              <w:bottom w:val="single" w:sz="4" w:space="0" w:color="auto"/>
            </w:tcBorders>
            <w:textDirection w:val="btLr"/>
          </w:tcPr>
          <w:p w14:paraId="328D0CF1" w14:textId="77777777" w:rsidR="00F60B69" w:rsidRPr="00BE68AE" w:rsidRDefault="00F60B69" w:rsidP="007A4FE8">
            <w:pPr>
              <w:jc w:val="center"/>
              <w:rPr>
                <w:rFonts w:cs="Times New Roman"/>
                <w:sz w:val="22"/>
              </w:rPr>
            </w:pPr>
            <w:r w:rsidRPr="00BE68AE">
              <w:rPr>
                <w:rFonts w:cs="Times New Roman"/>
                <w:sz w:val="22"/>
              </w:rPr>
              <w:t>S.</w:t>
            </w:r>
            <w:proofErr w:type="gramStart"/>
            <w:r w:rsidRPr="00BE68AE">
              <w:rPr>
                <w:rFonts w:cs="Times New Roman"/>
                <w:sz w:val="22"/>
              </w:rPr>
              <w:t>T.P</w:t>
            </w:r>
            <w:proofErr w:type="gramEnd"/>
          </w:p>
        </w:tc>
        <w:tc>
          <w:tcPr>
            <w:tcW w:w="176" w:type="pct"/>
            <w:tcBorders>
              <w:top w:val="single" w:sz="4" w:space="0" w:color="auto"/>
              <w:bottom w:val="single" w:sz="4" w:space="0" w:color="auto"/>
            </w:tcBorders>
            <w:textDirection w:val="btLr"/>
          </w:tcPr>
          <w:p w14:paraId="6836472D" w14:textId="77777777" w:rsidR="00F60B69" w:rsidRPr="00BE68AE" w:rsidRDefault="00F60B69" w:rsidP="007A4FE8">
            <w:pPr>
              <w:jc w:val="center"/>
              <w:rPr>
                <w:rFonts w:cs="Times New Roman"/>
                <w:sz w:val="22"/>
              </w:rPr>
            </w:pPr>
            <w:r w:rsidRPr="00BE68AE">
              <w:rPr>
                <w:rFonts w:cs="Times New Roman"/>
                <w:sz w:val="22"/>
              </w:rPr>
              <w:t>Hervir agua</w:t>
            </w:r>
          </w:p>
        </w:tc>
      </w:tr>
      <w:tr w:rsidR="00F60B69" w:rsidRPr="00BE68AE" w14:paraId="2AC2E236" w14:textId="77777777" w:rsidTr="00B816DC">
        <w:tc>
          <w:tcPr>
            <w:tcW w:w="548" w:type="pct"/>
            <w:tcBorders>
              <w:top w:val="single" w:sz="4" w:space="0" w:color="auto"/>
            </w:tcBorders>
          </w:tcPr>
          <w:p w14:paraId="38D36E36" w14:textId="77777777" w:rsidR="00F60B69" w:rsidRPr="00BE68AE" w:rsidRDefault="00F60B69" w:rsidP="007A4FE8">
            <w:pPr>
              <w:jc w:val="both"/>
              <w:rPr>
                <w:rFonts w:cs="Times New Roman"/>
                <w:sz w:val="22"/>
              </w:rPr>
            </w:pPr>
            <w:proofErr w:type="spellStart"/>
            <w:r w:rsidRPr="00BE68AE">
              <w:rPr>
                <w:rFonts w:eastAsia="Times New Roman" w:cs="Times New Roman"/>
                <w:sz w:val="22"/>
                <w:lang w:eastAsia="es-CR"/>
              </w:rPr>
              <w:t>Capellades</w:t>
            </w:r>
            <w:proofErr w:type="spellEnd"/>
            <w:r w:rsidRPr="00BE68AE">
              <w:rPr>
                <w:rFonts w:eastAsia="Times New Roman" w:cs="Times New Roman"/>
                <w:sz w:val="22"/>
                <w:lang w:eastAsia="es-CR"/>
              </w:rPr>
              <w:t xml:space="preserve"> (A)</w:t>
            </w:r>
          </w:p>
        </w:tc>
        <w:tc>
          <w:tcPr>
            <w:tcW w:w="211" w:type="pct"/>
            <w:tcBorders>
              <w:top w:val="single" w:sz="4" w:space="0" w:color="auto"/>
            </w:tcBorders>
            <w:vAlign w:val="bottom"/>
          </w:tcPr>
          <w:p w14:paraId="2237EB81" w14:textId="77777777" w:rsidR="00F60B69" w:rsidRPr="00BE68AE" w:rsidRDefault="00F60B69" w:rsidP="007A4FE8">
            <w:pPr>
              <w:jc w:val="center"/>
              <w:rPr>
                <w:rFonts w:cs="Times New Roman"/>
                <w:sz w:val="22"/>
              </w:rPr>
            </w:pPr>
            <w:r w:rsidRPr="00BE68AE">
              <w:rPr>
                <w:rFonts w:cs="Times New Roman"/>
                <w:sz w:val="22"/>
              </w:rPr>
              <w:t>72</w:t>
            </w:r>
          </w:p>
        </w:tc>
        <w:tc>
          <w:tcPr>
            <w:tcW w:w="211" w:type="pct"/>
            <w:tcBorders>
              <w:top w:val="single" w:sz="4" w:space="0" w:color="auto"/>
            </w:tcBorders>
            <w:vAlign w:val="bottom"/>
          </w:tcPr>
          <w:p w14:paraId="56527E31" w14:textId="77777777" w:rsidR="00F60B69" w:rsidRPr="00BE68AE" w:rsidRDefault="00F60B69" w:rsidP="007A4FE8">
            <w:pPr>
              <w:jc w:val="center"/>
              <w:rPr>
                <w:rFonts w:cs="Times New Roman"/>
                <w:sz w:val="22"/>
              </w:rPr>
            </w:pPr>
            <w:r w:rsidRPr="00BE68AE">
              <w:rPr>
                <w:rFonts w:cs="Times New Roman"/>
                <w:sz w:val="22"/>
              </w:rPr>
              <w:t>56</w:t>
            </w:r>
          </w:p>
        </w:tc>
        <w:tc>
          <w:tcPr>
            <w:tcW w:w="176" w:type="pct"/>
            <w:tcBorders>
              <w:top w:val="single" w:sz="4" w:space="0" w:color="auto"/>
            </w:tcBorders>
            <w:vAlign w:val="bottom"/>
          </w:tcPr>
          <w:p w14:paraId="35BFFED5" w14:textId="77777777" w:rsidR="00F60B69" w:rsidRPr="00BE68AE" w:rsidRDefault="00F60B69" w:rsidP="007A4FE8">
            <w:pPr>
              <w:jc w:val="center"/>
              <w:rPr>
                <w:rFonts w:cs="Times New Roman"/>
                <w:sz w:val="22"/>
              </w:rPr>
            </w:pPr>
            <w:r w:rsidRPr="00BE68AE">
              <w:rPr>
                <w:rFonts w:cs="Times New Roman"/>
                <w:sz w:val="22"/>
              </w:rPr>
              <w:t>2</w:t>
            </w:r>
          </w:p>
        </w:tc>
        <w:tc>
          <w:tcPr>
            <w:tcW w:w="155" w:type="pct"/>
            <w:tcBorders>
              <w:top w:val="single" w:sz="4" w:space="0" w:color="auto"/>
            </w:tcBorders>
            <w:vAlign w:val="bottom"/>
          </w:tcPr>
          <w:p w14:paraId="21A013D6" w14:textId="77777777" w:rsidR="00F60B69" w:rsidRPr="00BE68AE" w:rsidRDefault="00F60B69" w:rsidP="007A4FE8">
            <w:pPr>
              <w:jc w:val="center"/>
              <w:rPr>
                <w:rFonts w:cs="Times New Roman"/>
                <w:sz w:val="22"/>
              </w:rPr>
            </w:pPr>
          </w:p>
        </w:tc>
        <w:tc>
          <w:tcPr>
            <w:tcW w:w="155" w:type="pct"/>
            <w:tcBorders>
              <w:top w:val="single" w:sz="4" w:space="0" w:color="auto"/>
            </w:tcBorders>
            <w:vAlign w:val="bottom"/>
          </w:tcPr>
          <w:p w14:paraId="1525C625" w14:textId="77777777" w:rsidR="00F60B69" w:rsidRPr="00BE68AE" w:rsidRDefault="00F60B69" w:rsidP="007A4FE8">
            <w:pPr>
              <w:jc w:val="center"/>
              <w:rPr>
                <w:rFonts w:cs="Times New Roman"/>
                <w:sz w:val="22"/>
              </w:rPr>
            </w:pPr>
          </w:p>
        </w:tc>
        <w:tc>
          <w:tcPr>
            <w:tcW w:w="176" w:type="pct"/>
            <w:tcBorders>
              <w:top w:val="single" w:sz="4" w:space="0" w:color="auto"/>
            </w:tcBorders>
            <w:vAlign w:val="bottom"/>
          </w:tcPr>
          <w:p w14:paraId="652F4544" w14:textId="77777777" w:rsidR="00F60B69" w:rsidRPr="00BE68AE" w:rsidRDefault="00F60B69" w:rsidP="007A4FE8">
            <w:pPr>
              <w:jc w:val="center"/>
              <w:rPr>
                <w:rFonts w:cs="Times New Roman"/>
                <w:sz w:val="22"/>
              </w:rPr>
            </w:pPr>
            <w:r w:rsidRPr="00BE68AE">
              <w:rPr>
                <w:rFonts w:cs="Times New Roman"/>
                <w:sz w:val="22"/>
              </w:rPr>
              <w:t>14</w:t>
            </w:r>
          </w:p>
        </w:tc>
        <w:tc>
          <w:tcPr>
            <w:tcW w:w="176" w:type="pct"/>
            <w:tcBorders>
              <w:top w:val="single" w:sz="4" w:space="0" w:color="auto"/>
            </w:tcBorders>
            <w:vAlign w:val="bottom"/>
          </w:tcPr>
          <w:p w14:paraId="61813B03" w14:textId="77777777" w:rsidR="00F60B69" w:rsidRPr="00BE68AE" w:rsidRDefault="00F60B69" w:rsidP="007A4FE8">
            <w:pPr>
              <w:jc w:val="center"/>
              <w:rPr>
                <w:rFonts w:cs="Times New Roman"/>
                <w:sz w:val="22"/>
              </w:rPr>
            </w:pPr>
            <w:r w:rsidRPr="00BE68AE">
              <w:rPr>
                <w:rFonts w:cs="Times New Roman"/>
                <w:sz w:val="22"/>
              </w:rPr>
              <w:t>12</w:t>
            </w:r>
          </w:p>
        </w:tc>
        <w:tc>
          <w:tcPr>
            <w:tcW w:w="211" w:type="pct"/>
            <w:tcBorders>
              <w:top w:val="single" w:sz="4" w:space="0" w:color="auto"/>
            </w:tcBorders>
            <w:vAlign w:val="bottom"/>
          </w:tcPr>
          <w:p w14:paraId="35C1BEDA" w14:textId="77777777" w:rsidR="00F60B69" w:rsidRPr="00BE68AE" w:rsidRDefault="00F60B69" w:rsidP="007A4FE8">
            <w:pPr>
              <w:jc w:val="center"/>
              <w:rPr>
                <w:rFonts w:cs="Times New Roman"/>
                <w:sz w:val="22"/>
              </w:rPr>
            </w:pPr>
            <w:r w:rsidRPr="00BE68AE">
              <w:rPr>
                <w:rFonts w:cs="Times New Roman"/>
                <w:sz w:val="22"/>
              </w:rPr>
              <w:t>42</w:t>
            </w:r>
          </w:p>
        </w:tc>
        <w:tc>
          <w:tcPr>
            <w:tcW w:w="176" w:type="pct"/>
            <w:tcBorders>
              <w:top w:val="single" w:sz="4" w:space="0" w:color="auto"/>
            </w:tcBorders>
            <w:vAlign w:val="bottom"/>
          </w:tcPr>
          <w:p w14:paraId="64C38616" w14:textId="77777777" w:rsidR="00F60B69" w:rsidRPr="00BE68AE" w:rsidRDefault="00F60B69" w:rsidP="007A4FE8">
            <w:pPr>
              <w:jc w:val="center"/>
              <w:rPr>
                <w:rFonts w:cs="Times New Roman"/>
                <w:sz w:val="22"/>
              </w:rPr>
            </w:pPr>
            <w:r w:rsidRPr="00BE68AE">
              <w:rPr>
                <w:rFonts w:cs="Times New Roman"/>
                <w:sz w:val="22"/>
              </w:rPr>
              <w:t>14</w:t>
            </w:r>
          </w:p>
        </w:tc>
        <w:tc>
          <w:tcPr>
            <w:tcW w:w="176" w:type="pct"/>
            <w:tcBorders>
              <w:top w:val="single" w:sz="4" w:space="0" w:color="auto"/>
            </w:tcBorders>
            <w:vAlign w:val="bottom"/>
          </w:tcPr>
          <w:p w14:paraId="3BFBF27A" w14:textId="77777777" w:rsidR="00F60B69" w:rsidRPr="00BE68AE" w:rsidRDefault="00F60B69" w:rsidP="007A4FE8">
            <w:pPr>
              <w:jc w:val="center"/>
              <w:rPr>
                <w:rFonts w:cs="Times New Roman"/>
                <w:sz w:val="22"/>
              </w:rPr>
            </w:pPr>
            <w:r w:rsidRPr="00BE68AE">
              <w:rPr>
                <w:rFonts w:cs="Times New Roman"/>
                <w:sz w:val="22"/>
              </w:rPr>
              <w:t>2</w:t>
            </w:r>
          </w:p>
        </w:tc>
        <w:tc>
          <w:tcPr>
            <w:tcW w:w="176" w:type="pct"/>
            <w:tcBorders>
              <w:top w:val="single" w:sz="4" w:space="0" w:color="auto"/>
            </w:tcBorders>
            <w:vAlign w:val="bottom"/>
          </w:tcPr>
          <w:p w14:paraId="4B920F28" w14:textId="77777777" w:rsidR="00F60B69" w:rsidRPr="00BE68AE" w:rsidRDefault="00F60B69" w:rsidP="007A4FE8">
            <w:pPr>
              <w:jc w:val="center"/>
              <w:rPr>
                <w:rFonts w:cs="Times New Roman"/>
                <w:sz w:val="22"/>
              </w:rPr>
            </w:pPr>
            <w:r w:rsidRPr="00BE68AE">
              <w:rPr>
                <w:rFonts w:cs="Times New Roman"/>
                <w:sz w:val="22"/>
              </w:rPr>
              <w:t>2</w:t>
            </w:r>
          </w:p>
        </w:tc>
        <w:tc>
          <w:tcPr>
            <w:tcW w:w="176" w:type="pct"/>
            <w:tcBorders>
              <w:top w:val="single" w:sz="4" w:space="0" w:color="auto"/>
            </w:tcBorders>
            <w:vAlign w:val="bottom"/>
          </w:tcPr>
          <w:p w14:paraId="3D5C4D65" w14:textId="77777777" w:rsidR="00F60B69" w:rsidRPr="00BE68AE" w:rsidRDefault="00F60B69" w:rsidP="007A4FE8">
            <w:pPr>
              <w:jc w:val="center"/>
              <w:rPr>
                <w:rFonts w:cs="Times New Roman"/>
                <w:sz w:val="22"/>
              </w:rPr>
            </w:pPr>
            <w:r w:rsidRPr="00BE68AE">
              <w:rPr>
                <w:rFonts w:cs="Times New Roman"/>
                <w:sz w:val="22"/>
              </w:rPr>
              <w:t>12</w:t>
            </w:r>
          </w:p>
        </w:tc>
        <w:tc>
          <w:tcPr>
            <w:tcW w:w="176" w:type="pct"/>
            <w:tcBorders>
              <w:top w:val="single" w:sz="4" w:space="0" w:color="auto"/>
            </w:tcBorders>
            <w:vAlign w:val="bottom"/>
          </w:tcPr>
          <w:p w14:paraId="1911E9B2" w14:textId="77777777" w:rsidR="00F60B69" w:rsidRPr="00BE68AE" w:rsidRDefault="00F60B69" w:rsidP="007A4FE8">
            <w:pPr>
              <w:jc w:val="center"/>
              <w:rPr>
                <w:rFonts w:cs="Times New Roman"/>
                <w:sz w:val="22"/>
              </w:rPr>
            </w:pPr>
            <w:r w:rsidRPr="00BE68AE">
              <w:rPr>
                <w:rFonts w:cs="Times New Roman"/>
                <w:sz w:val="22"/>
              </w:rPr>
              <w:t>24</w:t>
            </w:r>
          </w:p>
        </w:tc>
        <w:tc>
          <w:tcPr>
            <w:tcW w:w="194" w:type="pct"/>
            <w:tcBorders>
              <w:top w:val="single" w:sz="4" w:space="0" w:color="auto"/>
            </w:tcBorders>
            <w:vAlign w:val="bottom"/>
          </w:tcPr>
          <w:p w14:paraId="5F3F0883" w14:textId="77777777" w:rsidR="00F60B69" w:rsidRPr="00BE68AE" w:rsidRDefault="00F60B69" w:rsidP="007A4FE8">
            <w:pPr>
              <w:jc w:val="center"/>
              <w:rPr>
                <w:rFonts w:cs="Times New Roman"/>
                <w:sz w:val="22"/>
              </w:rPr>
            </w:pPr>
            <w:r w:rsidRPr="00BE68AE">
              <w:rPr>
                <w:rFonts w:cs="Times New Roman"/>
                <w:sz w:val="22"/>
              </w:rPr>
              <w:t>19</w:t>
            </w:r>
          </w:p>
        </w:tc>
        <w:tc>
          <w:tcPr>
            <w:tcW w:w="155" w:type="pct"/>
            <w:tcBorders>
              <w:top w:val="single" w:sz="4" w:space="0" w:color="auto"/>
            </w:tcBorders>
            <w:vAlign w:val="bottom"/>
          </w:tcPr>
          <w:p w14:paraId="103661EF" w14:textId="77777777" w:rsidR="00F60B69" w:rsidRPr="00BE68AE" w:rsidRDefault="00F60B69" w:rsidP="007A4FE8">
            <w:pPr>
              <w:jc w:val="center"/>
              <w:rPr>
                <w:rFonts w:cs="Times New Roman"/>
                <w:sz w:val="22"/>
              </w:rPr>
            </w:pPr>
            <w:r w:rsidRPr="00BE68AE">
              <w:rPr>
                <w:rFonts w:cs="Times New Roman"/>
                <w:sz w:val="22"/>
              </w:rPr>
              <w:t>4</w:t>
            </w:r>
          </w:p>
        </w:tc>
        <w:tc>
          <w:tcPr>
            <w:tcW w:w="176" w:type="pct"/>
            <w:tcBorders>
              <w:top w:val="single" w:sz="4" w:space="0" w:color="auto"/>
            </w:tcBorders>
            <w:vAlign w:val="bottom"/>
          </w:tcPr>
          <w:p w14:paraId="1157C739" w14:textId="77777777" w:rsidR="00F60B69" w:rsidRPr="00BE68AE" w:rsidRDefault="00F60B69" w:rsidP="007A4FE8">
            <w:pPr>
              <w:jc w:val="center"/>
              <w:rPr>
                <w:rFonts w:cs="Times New Roman"/>
                <w:sz w:val="22"/>
              </w:rPr>
            </w:pPr>
            <w:r w:rsidRPr="00BE68AE">
              <w:rPr>
                <w:rFonts w:cs="Times New Roman"/>
                <w:sz w:val="22"/>
              </w:rPr>
              <w:t>17</w:t>
            </w:r>
          </w:p>
        </w:tc>
        <w:tc>
          <w:tcPr>
            <w:tcW w:w="176" w:type="pct"/>
            <w:tcBorders>
              <w:top w:val="single" w:sz="4" w:space="0" w:color="auto"/>
            </w:tcBorders>
            <w:vAlign w:val="bottom"/>
          </w:tcPr>
          <w:p w14:paraId="6F828E6D" w14:textId="77777777" w:rsidR="00F60B69" w:rsidRPr="00BE68AE" w:rsidRDefault="00F60B69" w:rsidP="007A4FE8">
            <w:pPr>
              <w:jc w:val="center"/>
              <w:rPr>
                <w:rFonts w:cs="Times New Roman"/>
                <w:sz w:val="22"/>
              </w:rPr>
            </w:pPr>
          </w:p>
        </w:tc>
        <w:tc>
          <w:tcPr>
            <w:tcW w:w="176" w:type="pct"/>
            <w:tcBorders>
              <w:top w:val="single" w:sz="4" w:space="0" w:color="auto"/>
            </w:tcBorders>
            <w:vAlign w:val="bottom"/>
          </w:tcPr>
          <w:p w14:paraId="7E9ED8B1" w14:textId="77777777" w:rsidR="00F60B69" w:rsidRPr="00BE68AE" w:rsidRDefault="00F60B69" w:rsidP="007A4FE8">
            <w:pPr>
              <w:jc w:val="center"/>
              <w:rPr>
                <w:rFonts w:cs="Times New Roman"/>
                <w:sz w:val="22"/>
              </w:rPr>
            </w:pPr>
            <w:r w:rsidRPr="00BE68AE">
              <w:rPr>
                <w:rFonts w:cs="Times New Roman"/>
                <w:sz w:val="22"/>
              </w:rPr>
              <w:t>5</w:t>
            </w:r>
          </w:p>
        </w:tc>
        <w:tc>
          <w:tcPr>
            <w:tcW w:w="176" w:type="pct"/>
            <w:tcBorders>
              <w:top w:val="single" w:sz="4" w:space="0" w:color="auto"/>
            </w:tcBorders>
            <w:vAlign w:val="bottom"/>
          </w:tcPr>
          <w:p w14:paraId="2EEBEA20" w14:textId="77777777" w:rsidR="00F60B69" w:rsidRPr="00BE68AE" w:rsidRDefault="00F60B69" w:rsidP="007A4FE8">
            <w:pPr>
              <w:jc w:val="center"/>
              <w:rPr>
                <w:rFonts w:cs="Times New Roman"/>
                <w:sz w:val="22"/>
              </w:rPr>
            </w:pPr>
            <w:r w:rsidRPr="00BE68AE">
              <w:rPr>
                <w:rFonts w:cs="Times New Roman"/>
                <w:sz w:val="22"/>
              </w:rPr>
              <w:t>21</w:t>
            </w:r>
          </w:p>
        </w:tc>
        <w:tc>
          <w:tcPr>
            <w:tcW w:w="211" w:type="pct"/>
            <w:tcBorders>
              <w:top w:val="single" w:sz="4" w:space="0" w:color="auto"/>
            </w:tcBorders>
            <w:vAlign w:val="bottom"/>
          </w:tcPr>
          <w:p w14:paraId="2B818FCA" w14:textId="77777777" w:rsidR="00F60B69" w:rsidRPr="00BE68AE" w:rsidRDefault="00F60B69" w:rsidP="007A4FE8">
            <w:pPr>
              <w:jc w:val="center"/>
              <w:rPr>
                <w:rFonts w:cs="Times New Roman"/>
                <w:sz w:val="22"/>
              </w:rPr>
            </w:pPr>
            <w:r w:rsidRPr="00BE68AE">
              <w:rPr>
                <w:rFonts w:cs="Times New Roman"/>
                <w:sz w:val="22"/>
              </w:rPr>
              <w:t>46</w:t>
            </w:r>
          </w:p>
        </w:tc>
        <w:tc>
          <w:tcPr>
            <w:tcW w:w="155" w:type="pct"/>
            <w:tcBorders>
              <w:top w:val="single" w:sz="4" w:space="0" w:color="auto"/>
            </w:tcBorders>
            <w:vAlign w:val="bottom"/>
          </w:tcPr>
          <w:p w14:paraId="2475FAC5" w14:textId="77777777" w:rsidR="00F60B69" w:rsidRPr="00BE68AE" w:rsidRDefault="00F60B69" w:rsidP="007A4FE8">
            <w:pPr>
              <w:jc w:val="center"/>
              <w:rPr>
                <w:rFonts w:cs="Times New Roman"/>
                <w:sz w:val="22"/>
              </w:rPr>
            </w:pPr>
          </w:p>
        </w:tc>
        <w:tc>
          <w:tcPr>
            <w:tcW w:w="176" w:type="pct"/>
            <w:tcBorders>
              <w:top w:val="single" w:sz="4" w:space="0" w:color="auto"/>
            </w:tcBorders>
            <w:vAlign w:val="bottom"/>
          </w:tcPr>
          <w:p w14:paraId="5D222EDB" w14:textId="77777777" w:rsidR="00F60B69" w:rsidRPr="00BE68AE" w:rsidRDefault="00F60B69" w:rsidP="007A4FE8">
            <w:pPr>
              <w:jc w:val="center"/>
              <w:rPr>
                <w:rFonts w:cs="Times New Roman"/>
                <w:sz w:val="22"/>
              </w:rPr>
            </w:pPr>
            <w:r w:rsidRPr="00BE68AE">
              <w:rPr>
                <w:rFonts w:cs="Times New Roman"/>
                <w:sz w:val="22"/>
              </w:rPr>
              <w:t>6</w:t>
            </w:r>
          </w:p>
        </w:tc>
        <w:tc>
          <w:tcPr>
            <w:tcW w:w="155" w:type="pct"/>
            <w:tcBorders>
              <w:top w:val="single" w:sz="4" w:space="0" w:color="auto"/>
            </w:tcBorders>
            <w:vAlign w:val="bottom"/>
          </w:tcPr>
          <w:p w14:paraId="036C78DB" w14:textId="77777777" w:rsidR="00F60B69" w:rsidRPr="00BE68AE" w:rsidRDefault="00F60B69" w:rsidP="007A4FE8">
            <w:pPr>
              <w:jc w:val="center"/>
              <w:rPr>
                <w:rFonts w:cs="Times New Roman"/>
                <w:sz w:val="22"/>
              </w:rPr>
            </w:pPr>
            <w:r w:rsidRPr="00BE68AE">
              <w:rPr>
                <w:rFonts w:cs="Times New Roman"/>
                <w:sz w:val="22"/>
              </w:rPr>
              <w:t>1</w:t>
            </w:r>
          </w:p>
        </w:tc>
        <w:tc>
          <w:tcPr>
            <w:tcW w:w="176" w:type="pct"/>
            <w:tcBorders>
              <w:top w:val="single" w:sz="4" w:space="0" w:color="auto"/>
            </w:tcBorders>
            <w:vAlign w:val="bottom"/>
          </w:tcPr>
          <w:p w14:paraId="73650F3F" w14:textId="77777777" w:rsidR="00F60B69" w:rsidRPr="00BE68AE" w:rsidRDefault="00F60B69" w:rsidP="007A4FE8">
            <w:pPr>
              <w:jc w:val="center"/>
              <w:rPr>
                <w:rFonts w:cs="Times New Roman"/>
                <w:sz w:val="22"/>
              </w:rPr>
            </w:pPr>
            <w:r w:rsidRPr="00BE68AE">
              <w:rPr>
                <w:rFonts w:cs="Times New Roman"/>
                <w:sz w:val="22"/>
              </w:rPr>
              <w:t>6</w:t>
            </w:r>
          </w:p>
        </w:tc>
        <w:tc>
          <w:tcPr>
            <w:tcW w:w="176" w:type="pct"/>
            <w:tcBorders>
              <w:top w:val="single" w:sz="4" w:space="0" w:color="auto"/>
            </w:tcBorders>
            <w:vAlign w:val="bottom"/>
          </w:tcPr>
          <w:p w14:paraId="0706CBBE" w14:textId="77777777" w:rsidR="00F60B69" w:rsidRPr="00BE68AE" w:rsidRDefault="00F60B69" w:rsidP="007A4FE8">
            <w:pPr>
              <w:jc w:val="center"/>
              <w:rPr>
                <w:rFonts w:cs="Times New Roman"/>
                <w:sz w:val="22"/>
              </w:rPr>
            </w:pPr>
            <w:r w:rsidRPr="00BE68AE">
              <w:rPr>
                <w:rFonts w:cs="Times New Roman"/>
                <w:sz w:val="22"/>
              </w:rPr>
              <w:t>22</w:t>
            </w:r>
          </w:p>
        </w:tc>
      </w:tr>
      <w:tr w:rsidR="00F60B69" w:rsidRPr="00BE68AE" w14:paraId="49C5CCCD" w14:textId="77777777" w:rsidTr="00B816DC">
        <w:tc>
          <w:tcPr>
            <w:tcW w:w="548" w:type="pct"/>
          </w:tcPr>
          <w:p w14:paraId="116CEF36" w14:textId="77777777" w:rsidR="00F60B69" w:rsidRPr="00BE68AE" w:rsidRDefault="00F60B69" w:rsidP="007A4FE8">
            <w:pPr>
              <w:jc w:val="both"/>
              <w:rPr>
                <w:rFonts w:cs="Times New Roman"/>
                <w:sz w:val="22"/>
              </w:rPr>
            </w:pPr>
            <w:r w:rsidRPr="00BE68AE">
              <w:rPr>
                <w:rFonts w:eastAsia="Times New Roman" w:cs="Times New Roman"/>
                <w:sz w:val="22"/>
                <w:lang w:eastAsia="es-CR"/>
              </w:rPr>
              <w:t>Cervantes (A)</w:t>
            </w:r>
          </w:p>
        </w:tc>
        <w:tc>
          <w:tcPr>
            <w:tcW w:w="211" w:type="pct"/>
            <w:vAlign w:val="bottom"/>
          </w:tcPr>
          <w:p w14:paraId="1B21A9EF" w14:textId="77777777" w:rsidR="00F60B69" w:rsidRPr="00BE68AE" w:rsidRDefault="00F60B69" w:rsidP="007A4FE8">
            <w:pPr>
              <w:jc w:val="center"/>
              <w:rPr>
                <w:rFonts w:cs="Times New Roman"/>
                <w:sz w:val="22"/>
              </w:rPr>
            </w:pPr>
            <w:r w:rsidRPr="00BE68AE">
              <w:rPr>
                <w:rFonts w:cs="Times New Roman"/>
                <w:sz w:val="22"/>
              </w:rPr>
              <w:t>194</w:t>
            </w:r>
          </w:p>
        </w:tc>
        <w:tc>
          <w:tcPr>
            <w:tcW w:w="211" w:type="pct"/>
            <w:vAlign w:val="bottom"/>
          </w:tcPr>
          <w:p w14:paraId="7580FBF4" w14:textId="77777777" w:rsidR="00F60B69" w:rsidRPr="00BE68AE" w:rsidRDefault="00F60B69" w:rsidP="007A4FE8">
            <w:pPr>
              <w:jc w:val="center"/>
              <w:rPr>
                <w:rFonts w:cs="Times New Roman"/>
                <w:sz w:val="22"/>
              </w:rPr>
            </w:pPr>
            <w:r w:rsidRPr="00BE68AE">
              <w:rPr>
                <w:rFonts w:cs="Times New Roman"/>
                <w:sz w:val="22"/>
              </w:rPr>
              <w:t>172</w:t>
            </w:r>
          </w:p>
        </w:tc>
        <w:tc>
          <w:tcPr>
            <w:tcW w:w="176" w:type="pct"/>
            <w:vAlign w:val="bottom"/>
          </w:tcPr>
          <w:p w14:paraId="704EC071" w14:textId="77777777" w:rsidR="00F60B69" w:rsidRPr="00BE68AE" w:rsidRDefault="00F60B69" w:rsidP="007A4FE8">
            <w:pPr>
              <w:jc w:val="center"/>
              <w:rPr>
                <w:rFonts w:cs="Times New Roman"/>
                <w:sz w:val="22"/>
              </w:rPr>
            </w:pPr>
            <w:r w:rsidRPr="00BE68AE">
              <w:rPr>
                <w:rFonts w:cs="Times New Roman"/>
                <w:sz w:val="22"/>
              </w:rPr>
              <w:t>10</w:t>
            </w:r>
          </w:p>
        </w:tc>
        <w:tc>
          <w:tcPr>
            <w:tcW w:w="155" w:type="pct"/>
            <w:vAlign w:val="bottom"/>
          </w:tcPr>
          <w:p w14:paraId="1839922F" w14:textId="77777777" w:rsidR="00F60B69" w:rsidRPr="00BE68AE" w:rsidRDefault="00F60B69" w:rsidP="007A4FE8">
            <w:pPr>
              <w:jc w:val="center"/>
              <w:rPr>
                <w:rFonts w:cs="Times New Roman"/>
                <w:sz w:val="22"/>
              </w:rPr>
            </w:pPr>
          </w:p>
        </w:tc>
        <w:tc>
          <w:tcPr>
            <w:tcW w:w="155" w:type="pct"/>
            <w:vAlign w:val="bottom"/>
          </w:tcPr>
          <w:p w14:paraId="73A9D489" w14:textId="77777777" w:rsidR="00F60B69" w:rsidRPr="00BE68AE" w:rsidRDefault="00F60B69" w:rsidP="007A4FE8">
            <w:pPr>
              <w:jc w:val="center"/>
              <w:rPr>
                <w:rFonts w:cs="Times New Roman"/>
                <w:sz w:val="22"/>
              </w:rPr>
            </w:pPr>
          </w:p>
        </w:tc>
        <w:tc>
          <w:tcPr>
            <w:tcW w:w="176" w:type="pct"/>
            <w:vAlign w:val="bottom"/>
          </w:tcPr>
          <w:p w14:paraId="554B8634" w14:textId="77777777" w:rsidR="00F60B69" w:rsidRPr="00BE68AE" w:rsidRDefault="00F60B69" w:rsidP="007A4FE8">
            <w:pPr>
              <w:jc w:val="center"/>
              <w:rPr>
                <w:rFonts w:cs="Times New Roman"/>
                <w:sz w:val="22"/>
              </w:rPr>
            </w:pPr>
            <w:r w:rsidRPr="00BE68AE">
              <w:rPr>
                <w:rFonts w:cs="Times New Roman"/>
                <w:sz w:val="22"/>
              </w:rPr>
              <w:t>12</w:t>
            </w:r>
          </w:p>
        </w:tc>
        <w:tc>
          <w:tcPr>
            <w:tcW w:w="176" w:type="pct"/>
            <w:vAlign w:val="bottom"/>
          </w:tcPr>
          <w:p w14:paraId="4D684B3C" w14:textId="77777777" w:rsidR="00F60B69" w:rsidRPr="00BE68AE" w:rsidRDefault="00F60B69" w:rsidP="007A4FE8">
            <w:pPr>
              <w:jc w:val="center"/>
              <w:rPr>
                <w:rFonts w:cs="Times New Roman"/>
                <w:sz w:val="22"/>
              </w:rPr>
            </w:pPr>
            <w:r w:rsidRPr="00BE68AE">
              <w:rPr>
                <w:rFonts w:cs="Times New Roman"/>
                <w:sz w:val="22"/>
              </w:rPr>
              <w:t>88</w:t>
            </w:r>
          </w:p>
        </w:tc>
        <w:tc>
          <w:tcPr>
            <w:tcW w:w="211" w:type="pct"/>
            <w:vAlign w:val="bottom"/>
          </w:tcPr>
          <w:p w14:paraId="351B2E8A" w14:textId="77777777" w:rsidR="00F60B69" w:rsidRPr="00BE68AE" w:rsidRDefault="00F60B69" w:rsidP="007A4FE8">
            <w:pPr>
              <w:jc w:val="center"/>
              <w:rPr>
                <w:rFonts w:cs="Times New Roman"/>
                <w:sz w:val="22"/>
              </w:rPr>
            </w:pPr>
            <w:r w:rsidRPr="00BE68AE">
              <w:rPr>
                <w:rFonts w:cs="Times New Roman"/>
                <w:sz w:val="22"/>
              </w:rPr>
              <w:t>75</w:t>
            </w:r>
          </w:p>
        </w:tc>
        <w:tc>
          <w:tcPr>
            <w:tcW w:w="176" w:type="pct"/>
            <w:vAlign w:val="bottom"/>
          </w:tcPr>
          <w:p w14:paraId="6ED533A1" w14:textId="77777777" w:rsidR="00F60B69" w:rsidRPr="00BE68AE" w:rsidRDefault="00F60B69" w:rsidP="007A4FE8">
            <w:pPr>
              <w:jc w:val="center"/>
              <w:rPr>
                <w:rFonts w:cs="Times New Roman"/>
                <w:sz w:val="22"/>
              </w:rPr>
            </w:pPr>
            <w:r w:rsidRPr="00BE68AE">
              <w:rPr>
                <w:rFonts w:cs="Times New Roman"/>
                <w:sz w:val="22"/>
              </w:rPr>
              <w:t>11</w:t>
            </w:r>
          </w:p>
        </w:tc>
        <w:tc>
          <w:tcPr>
            <w:tcW w:w="176" w:type="pct"/>
            <w:vAlign w:val="bottom"/>
          </w:tcPr>
          <w:p w14:paraId="042A9CFB" w14:textId="77777777" w:rsidR="00F60B69" w:rsidRPr="00BE68AE" w:rsidRDefault="00F60B69" w:rsidP="007A4FE8">
            <w:pPr>
              <w:jc w:val="center"/>
              <w:rPr>
                <w:rFonts w:cs="Times New Roman"/>
                <w:sz w:val="22"/>
              </w:rPr>
            </w:pPr>
            <w:r w:rsidRPr="00BE68AE">
              <w:rPr>
                <w:rFonts w:cs="Times New Roman"/>
                <w:sz w:val="22"/>
              </w:rPr>
              <w:t>18</w:t>
            </w:r>
          </w:p>
        </w:tc>
        <w:tc>
          <w:tcPr>
            <w:tcW w:w="176" w:type="pct"/>
            <w:vAlign w:val="bottom"/>
          </w:tcPr>
          <w:p w14:paraId="71D4F577" w14:textId="77777777" w:rsidR="00F60B69" w:rsidRPr="00BE68AE" w:rsidRDefault="00F60B69" w:rsidP="007A4FE8">
            <w:pPr>
              <w:jc w:val="center"/>
              <w:rPr>
                <w:rFonts w:cs="Times New Roman"/>
                <w:sz w:val="22"/>
              </w:rPr>
            </w:pPr>
            <w:r w:rsidRPr="00BE68AE">
              <w:rPr>
                <w:rFonts w:cs="Times New Roman"/>
                <w:sz w:val="22"/>
              </w:rPr>
              <w:t>2</w:t>
            </w:r>
          </w:p>
        </w:tc>
        <w:tc>
          <w:tcPr>
            <w:tcW w:w="176" w:type="pct"/>
            <w:vAlign w:val="bottom"/>
          </w:tcPr>
          <w:p w14:paraId="11D9BD7C" w14:textId="77777777" w:rsidR="00F60B69" w:rsidRPr="00BE68AE" w:rsidRDefault="00F60B69" w:rsidP="007A4FE8">
            <w:pPr>
              <w:jc w:val="center"/>
              <w:rPr>
                <w:rFonts w:cs="Times New Roman"/>
                <w:sz w:val="22"/>
              </w:rPr>
            </w:pPr>
            <w:r w:rsidRPr="00BE68AE">
              <w:rPr>
                <w:rFonts w:cs="Times New Roman"/>
                <w:sz w:val="22"/>
              </w:rPr>
              <w:t>12</w:t>
            </w:r>
          </w:p>
        </w:tc>
        <w:tc>
          <w:tcPr>
            <w:tcW w:w="176" w:type="pct"/>
            <w:vAlign w:val="bottom"/>
          </w:tcPr>
          <w:p w14:paraId="6946FD36" w14:textId="77777777" w:rsidR="00F60B69" w:rsidRPr="00BE68AE" w:rsidRDefault="00F60B69" w:rsidP="007A4FE8">
            <w:pPr>
              <w:jc w:val="center"/>
              <w:rPr>
                <w:rFonts w:cs="Times New Roman"/>
                <w:sz w:val="22"/>
              </w:rPr>
            </w:pPr>
            <w:r w:rsidRPr="00BE68AE">
              <w:rPr>
                <w:rFonts w:cs="Times New Roman"/>
                <w:sz w:val="22"/>
              </w:rPr>
              <w:t>27</w:t>
            </w:r>
          </w:p>
        </w:tc>
        <w:tc>
          <w:tcPr>
            <w:tcW w:w="194" w:type="pct"/>
            <w:vAlign w:val="bottom"/>
          </w:tcPr>
          <w:p w14:paraId="636CDF2D" w14:textId="77777777" w:rsidR="00F60B69" w:rsidRPr="00BE68AE" w:rsidRDefault="00F60B69" w:rsidP="007A4FE8">
            <w:pPr>
              <w:jc w:val="center"/>
              <w:rPr>
                <w:rFonts w:cs="Times New Roman"/>
                <w:sz w:val="22"/>
              </w:rPr>
            </w:pPr>
            <w:r w:rsidRPr="00BE68AE">
              <w:rPr>
                <w:rFonts w:cs="Times New Roman"/>
                <w:sz w:val="22"/>
              </w:rPr>
              <w:t>38</w:t>
            </w:r>
          </w:p>
        </w:tc>
        <w:tc>
          <w:tcPr>
            <w:tcW w:w="155" w:type="pct"/>
            <w:vAlign w:val="bottom"/>
          </w:tcPr>
          <w:p w14:paraId="62BAA407" w14:textId="77777777" w:rsidR="00F60B69" w:rsidRPr="00BE68AE" w:rsidRDefault="00F60B69" w:rsidP="007A4FE8">
            <w:pPr>
              <w:jc w:val="center"/>
              <w:rPr>
                <w:rFonts w:cs="Times New Roman"/>
                <w:sz w:val="22"/>
              </w:rPr>
            </w:pPr>
            <w:r w:rsidRPr="00BE68AE">
              <w:rPr>
                <w:rFonts w:cs="Times New Roman"/>
                <w:sz w:val="22"/>
              </w:rPr>
              <w:t>2</w:t>
            </w:r>
          </w:p>
        </w:tc>
        <w:tc>
          <w:tcPr>
            <w:tcW w:w="176" w:type="pct"/>
            <w:vAlign w:val="bottom"/>
          </w:tcPr>
          <w:p w14:paraId="2D3382DA" w14:textId="77777777" w:rsidR="00F60B69" w:rsidRPr="00BE68AE" w:rsidRDefault="00F60B69" w:rsidP="007A4FE8">
            <w:pPr>
              <w:jc w:val="center"/>
              <w:rPr>
                <w:rFonts w:cs="Times New Roman"/>
                <w:sz w:val="22"/>
              </w:rPr>
            </w:pPr>
            <w:r w:rsidRPr="00BE68AE">
              <w:rPr>
                <w:rFonts w:cs="Times New Roman"/>
                <w:sz w:val="22"/>
              </w:rPr>
              <w:t>33</w:t>
            </w:r>
          </w:p>
        </w:tc>
        <w:tc>
          <w:tcPr>
            <w:tcW w:w="176" w:type="pct"/>
            <w:vAlign w:val="bottom"/>
          </w:tcPr>
          <w:p w14:paraId="2C2FA4A9" w14:textId="77777777" w:rsidR="00F60B69" w:rsidRPr="00BE68AE" w:rsidRDefault="00F60B69" w:rsidP="007A4FE8">
            <w:pPr>
              <w:jc w:val="center"/>
              <w:rPr>
                <w:rFonts w:cs="Times New Roman"/>
                <w:sz w:val="22"/>
              </w:rPr>
            </w:pPr>
            <w:r w:rsidRPr="00BE68AE">
              <w:rPr>
                <w:rFonts w:cs="Times New Roman"/>
                <w:sz w:val="22"/>
              </w:rPr>
              <w:t>2</w:t>
            </w:r>
          </w:p>
        </w:tc>
        <w:tc>
          <w:tcPr>
            <w:tcW w:w="176" w:type="pct"/>
            <w:vAlign w:val="bottom"/>
          </w:tcPr>
          <w:p w14:paraId="3ACCBB77" w14:textId="77777777" w:rsidR="00F60B69" w:rsidRPr="00BE68AE" w:rsidRDefault="00F60B69" w:rsidP="007A4FE8">
            <w:pPr>
              <w:jc w:val="center"/>
              <w:rPr>
                <w:rFonts w:cs="Times New Roman"/>
                <w:sz w:val="22"/>
              </w:rPr>
            </w:pPr>
            <w:r w:rsidRPr="00BE68AE">
              <w:rPr>
                <w:rFonts w:cs="Times New Roman"/>
                <w:sz w:val="22"/>
              </w:rPr>
              <w:t>11</w:t>
            </w:r>
          </w:p>
        </w:tc>
        <w:tc>
          <w:tcPr>
            <w:tcW w:w="176" w:type="pct"/>
            <w:vAlign w:val="bottom"/>
          </w:tcPr>
          <w:p w14:paraId="5B40966D" w14:textId="77777777" w:rsidR="00F60B69" w:rsidRPr="00BE68AE" w:rsidRDefault="00F60B69" w:rsidP="007A4FE8">
            <w:pPr>
              <w:jc w:val="center"/>
              <w:rPr>
                <w:rFonts w:cs="Times New Roman"/>
                <w:sz w:val="22"/>
              </w:rPr>
            </w:pPr>
            <w:r w:rsidRPr="00BE68AE">
              <w:rPr>
                <w:rFonts w:cs="Times New Roman"/>
                <w:sz w:val="22"/>
              </w:rPr>
              <w:t>30</w:t>
            </w:r>
          </w:p>
        </w:tc>
        <w:tc>
          <w:tcPr>
            <w:tcW w:w="211" w:type="pct"/>
            <w:vAlign w:val="bottom"/>
          </w:tcPr>
          <w:p w14:paraId="57D7B767" w14:textId="77777777" w:rsidR="00F60B69" w:rsidRPr="00BE68AE" w:rsidRDefault="00F60B69" w:rsidP="007A4FE8">
            <w:pPr>
              <w:jc w:val="center"/>
              <w:rPr>
                <w:rFonts w:cs="Times New Roman"/>
                <w:sz w:val="22"/>
              </w:rPr>
            </w:pPr>
            <w:r w:rsidRPr="00BE68AE">
              <w:rPr>
                <w:rFonts w:cs="Times New Roman"/>
                <w:sz w:val="22"/>
              </w:rPr>
              <w:t>151</w:t>
            </w:r>
          </w:p>
        </w:tc>
        <w:tc>
          <w:tcPr>
            <w:tcW w:w="155" w:type="pct"/>
            <w:vAlign w:val="bottom"/>
          </w:tcPr>
          <w:p w14:paraId="09A3C22A" w14:textId="77777777" w:rsidR="00F60B69" w:rsidRPr="00BE68AE" w:rsidRDefault="00F60B69" w:rsidP="007A4FE8">
            <w:pPr>
              <w:jc w:val="center"/>
              <w:rPr>
                <w:rFonts w:cs="Times New Roman"/>
                <w:sz w:val="22"/>
              </w:rPr>
            </w:pPr>
          </w:p>
        </w:tc>
        <w:tc>
          <w:tcPr>
            <w:tcW w:w="176" w:type="pct"/>
            <w:vAlign w:val="bottom"/>
          </w:tcPr>
          <w:p w14:paraId="6A5C6D44" w14:textId="77777777" w:rsidR="00F60B69" w:rsidRPr="00BE68AE" w:rsidRDefault="00F60B69" w:rsidP="007A4FE8">
            <w:pPr>
              <w:jc w:val="center"/>
              <w:rPr>
                <w:rFonts w:cs="Times New Roman"/>
                <w:sz w:val="22"/>
              </w:rPr>
            </w:pPr>
            <w:r w:rsidRPr="00BE68AE">
              <w:rPr>
                <w:rFonts w:cs="Times New Roman"/>
                <w:sz w:val="22"/>
              </w:rPr>
              <w:t>22</w:t>
            </w:r>
          </w:p>
        </w:tc>
        <w:tc>
          <w:tcPr>
            <w:tcW w:w="155" w:type="pct"/>
            <w:vAlign w:val="bottom"/>
          </w:tcPr>
          <w:p w14:paraId="76D8C9C1" w14:textId="77777777" w:rsidR="00F60B69" w:rsidRPr="00BE68AE" w:rsidRDefault="00F60B69" w:rsidP="007A4FE8">
            <w:pPr>
              <w:jc w:val="center"/>
              <w:rPr>
                <w:rFonts w:cs="Times New Roman"/>
                <w:sz w:val="22"/>
              </w:rPr>
            </w:pPr>
            <w:r w:rsidRPr="00BE68AE">
              <w:rPr>
                <w:rFonts w:cs="Times New Roman"/>
                <w:sz w:val="22"/>
              </w:rPr>
              <w:t>5</w:t>
            </w:r>
          </w:p>
        </w:tc>
        <w:tc>
          <w:tcPr>
            <w:tcW w:w="176" w:type="pct"/>
            <w:vAlign w:val="bottom"/>
          </w:tcPr>
          <w:p w14:paraId="75C0DB35" w14:textId="77777777" w:rsidR="00F60B69" w:rsidRPr="00BE68AE" w:rsidRDefault="00F60B69" w:rsidP="007A4FE8">
            <w:pPr>
              <w:jc w:val="center"/>
              <w:rPr>
                <w:rFonts w:cs="Times New Roman"/>
                <w:sz w:val="22"/>
              </w:rPr>
            </w:pPr>
            <w:r w:rsidRPr="00BE68AE">
              <w:rPr>
                <w:rFonts w:cs="Times New Roman"/>
                <w:sz w:val="22"/>
              </w:rPr>
              <w:t>9</w:t>
            </w:r>
          </w:p>
        </w:tc>
        <w:tc>
          <w:tcPr>
            <w:tcW w:w="176" w:type="pct"/>
            <w:vAlign w:val="bottom"/>
          </w:tcPr>
          <w:p w14:paraId="02A68841" w14:textId="77777777" w:rsidR="00F60B69" w:rsidRPr="00BE68AE" w:rsidRDefault="00F60B69" w:rsidP="007A4FE8">
            <w:pPr>
              <w:jc w:val="center"/>
              <w:rPr>
                <w:rFonts w:cs="Times New Roman"/>
                <w:sz w:val="22"/>
              </w:rPr>
            </w:pPr>
            <w:r w:rsidRPr="00BE68AE">
              <w:rPr>
                <w:rFonts w:cs="Times New Roman"/>
                <w:sz w:val="22"/>
              </w:rPr>
              <w:t>37</w:t>
            </w:r>
          </w:p>
        </w:tc>
      </w:tr>
      <w:tr w:rsidR="00F60B69" w:rsidRPr="00BE68AE" w14:paraId="47110486" w14:textId="77777777" w:rsidTr="00B816DC">
        <w:tc>
          <w:tcPr>
            <w:tcW w:w="548" w:type="pct"/>
          </w:tcPr>
          <w:p w14:paraId="444EAE3D" w14:textId="77777777" w:rsidR="00F60B69" w:rsidRPr="00BE68AE" w:rsidRDefault="00F60B69" w:rsidP="007A4FE8">
            <w:pPr>
              <w:jc w:val="both"/>
              <w:rPr>
                <w:rFonts w:cs="Times New Roman"/>
                <w:sz w:val="22"/>
              </w:rPr>
            </w:pPr>
            <w:r w:rsidRPr="00BE68AE">
              <w:rPr>
                <w:rFonts w:eastAsia="Times New Roman" w:cs="Times New Roman"/>
                <w:color w:val="000000" w:themeColor="text1"/>
                <w:sz w:val="22"/>
                <w:lang w:eastAsia="es-CR"/>
              </w:rPr>
              <w:t>Cipreses (O)</w:t>
            </w:r>
          </w:p>
        </w:tc>
        <w:tc>
          <w:tcPr>
            <w:tcW w:w="211" w:type="pct"/>
            <w:vAlign w:val="bottom"/>
          </w:tcPr>
          <w:p w14:paraId="197F3BDF" w14:textId="77777777" w:rsidR="00F60B69" w:rsidRPr="00BE68AE" w:rsidRDefault="00F60B69" w:rsidP="007A4FE8">
            <w:pPr>
              <w:jc w:val="center"/>
              <w:rPr>
                <w:rFonts w:cs="Times New Roman"/>
                <w:sz w:val="22"/>
              </w:rPr>
            </w:pPr>
            <w:r w:rsidRPr="00BE68AE">
              <w:rPr>
                <w:rFonts w:cs="Times New Roman"/>
                <w:sz w:val="22"/>
              </w:rPr>
              <w:t>59</w:t>
            </w:r>
          </w:p>
        </w:tc>
        <w:tc>
          <w:tcPr>
            <w:tcW w:w="211" w:type="pct"/>
            <w:vAlign w:val="bottom"/>
          </w:tcPr>
          <w:p w14:paraId="41288818" w14:textId="77777777" w:rsidR="00F60B69" w:rsidRPr="00BE68AE" w:rsidRDefault="00F60B69" w:rsidP="007A4FE8">
            <w:pPr>
              <w:jc w:val="center"/>
              <w:rPr>
                <w:rFonts w:cs="Times New Roman"/>
                <w:sz w:val="22"/>
              </w:rPr>
            </w:pPr>
            <w:r w:rsidRPr="00BE68AE">
              <w:rPr>
                <w:rFonts w:cs="Times New Roman"/>
                <w:sz w:val="22"/>
              </w:rPr>
              <w:t>22</w:t>
            </w:r>
          </w:p>
        </w:tc>
        <w:tc>
          <w:tcPr>
            <w:tcW w:w="176" w:type="pct"/>
            <w:vAlign w:val="bottom"/>
          </w:tcPr>
          <w:p w14:paraId="4AF9CF65" w14:textId="77777777" w:rsidR="00F60B69" w:rsidRPr="00BE68AE" w:rsidRDefault="00F60B69" w:rsidP="007A4FE8">
            <w:pPr>
              <w:jc w:val="center"/>
              <w:rPr>
                <w:rFonts w:cs="Times New Roman"/>
                <w:sz w:val="22"/>
              </w:rPr>
            </w:pPr>
            <w:r w:rsidRPr="00BE68AE">
              <w:rPr>
                <w:rFonts w:cs="Times New Roman"/>
                <w:sz w:val="22"/>
              </w:rPr>
              <w:t>24</w:t>
            </w:r>
          </w:p>
        </w:tc>
        <w:tc>
          <w:tcPr>
            <w:tcW w:w="155" w:type="pct"/>
            <w:vAlign w:val="bottom"/>
          </w:tcPr>
          <w:p w14:paraId="6C9624E3" w14:textId="77777777" w:rsidR="00F60B69" w:rsidRPr="00BE68AE" w:rsidRDefault="00F60B69" w:rsidP="007A4FE8">
            <w:pPr>
              <w:jc w:val="center"/>
              <w:rPr>
                <w:rFonts w:cs="Times New Roman"/>
                <w:sz w:val="22"/>
              </w:rPr>
            </w:pPr>
          </w:p>
        </w:tc>
        <w:tc>
          <w:tcPr>
            <w:tcW w:w="155" w:type="pct"/>
            <w:vAlign w:val="bottom"/>
          </w:tcPr>
          <w:p w14:paraId="57121871" w14:textId="77777777" w:rsidR="00F60B69" w:rsidRPr="00BE68AE" w:rsidRDefault="00F60B69" w:rsidP="007A4FE8">
            <w:pPr>
              <w:jc w:val="center"/>
              <w:rPr>
                <w:rFonts w:cs="Times New Roman"/>
                <w:sz w:val="22"/>
              </w:rPr>
            </w:pPr>
            <w:r w:rsidRPr="00BE68AE">
              <w:rPr>
                <w:rFonts w:cs="Times New Roman"/>
                <w:sz w:val="22"/>
              </w:rPr>
              <w:t>3</w:t>
            </w:r>
          </w:p>
        </w:tc>
        <w:tc>
          <w:tcPr>
            <w:tcW w:w="176" w:type="pct"/>
            <w:vAlign w:val="bottom"/>
          </w:tcPr>
          <w:p w14:paraId="6C408A2E" w14:textId="77777777" w:rsidR="00F60B69" w:rsidRPr="00BE68AE" w:rsidRDefault="00F60B69" w:rsidP="007A4FE8">
            <w:pPr>
              <w:jc w:val="center"/>
              <w:rPr>
                <w:rFonts w:cs="Times New Roman"/>
                <w:sz w:val="22"/>
              </w:rPr>
            </w:pPr>
            <w:r w:rsidRPr="00BE68AE">
              <w:rPr>
                <w:rFonts w:cs="Times New Roman"/>
                <w:sz w:val="22"/>
              </w:rPr>
              <w:t>10</w:t>
            </w:r>
          </w:p>
        </w:tc>
        <w:tc>
          <w:tcPr>
            <w:tcW w:w="176" w:type="pct"/>
            <w:vAlign w:val="bottom"/>
          </w:tcPr>
          <w:p w14:paraId="0301EC78" w14:textId="77777777" w:rsidR="00F60B69" w:rsidRPr="00BE68AE" w:rsidRDefault="00F60B69" w:rsidP="007A4FE8">
            <w:pPr>
              <w:jc w:val="center"/>
              <w:rPr>
                <w:rFonts w:cs="Times New Roman"/>
                <w:sz w:val="22"/>
              </w:rPr>
            </w:pPr>
            <w:r w:rsidRPr="00BE68AE">
              <w:rPr>
                <w:rFonts w:cs="Times New Roman"/>
                <w:sz w:val="22"/>
              </w:rPr>
              <w:t>9</w:t>
            </w:r>
          </w:p>
        </w:tc>
        <w:tc>
          <w:tcPr>
            <w:tcW w:w="211" w:type="pct"/>
            <w:vAlign w:val="bottom"/>
          </w:tcPr>
          <w:p w14:paraId="7BD95E7A" w14:textId="77777777" w:rsidR="00F60B69" w:rsidRPr="00BE68AE" w:rsidRDefault="00F60B69" w:rsidP="007A4FE8">
            <w:pPr>
              <w:jc w:val="center"/>
              <w:rPr>
                <w:rFonts w:cs="Times New Roman"/>
                <w:sz w:val="22"/>
              </w:rPr>
            </w:pPr>
            <w:r w:rsidRPr="00BE68AE">
              <w:rPr>
                <w:rFonts w:cs="Times New Roman"/>
                <w:sz w:val="22"/>
              </w:rPr>
              <w:t>36</w:t>
            </w:r>
          </w:p>
        </w:tc>
        <w:tc>
          <w:tcPr>
            <w:tcW w:w="176" w:type="pct"/>
            <w:vAlign w:val="bottom"/>
          </w:tcPr>
          <w:p w14:paraId="5D0A78F0" w14:textId="77777777" w:rsidR="00F60B69" w:rsidRPr="00BE68AE" w:rsidRDefault="00F60B69" w:rsidP="007A4FE8">
            <w:pPr>
              <w:jc w:val="center"/>
              <w:rPr>
                <w:rFonts w:cs="Times New Roman"/>
                <w:sz w:val="22"/>
              </w:rPr>
            </w:pPr>
            <w:r w:rsidRPr="00BE68AE">
              <w:rPr>
                <w:rFonts w:cs="Times New Roman"/>
                <w:sz w:val="22"/>
              </w:rPr>
              <w:t>9</w:t>
            </w:r>
          </w:p>
        </w:tc>
        <w:tc>
          <w:tcPr>
            <w:tcW w:w="176" w:type="pct"/>
            <w:vAlign w:val="bottom"/>
          </w:tcPr>
          <w:p w14:paraId="75CE8173" w14:textId="77777777" w:rsidR="00F60B69" w:rsidRPr="00BE68AE" w:rsidRDefault="00F60B69" w:rsidP="007A4FE8">
            <w:pPr>
              <w:jc w:val="center"/>
              <w:rPr>
                <w:rFonts w:cs="Times New Roman"/>
                <w:sz w:val="22"/>
              </w:rPr>
            </w:pPr>
            <w:r w:rsidRPr="00BE68AE">
              <w:rPr>
                <w:rFonts w:cs="Times New Roman"/>
                <w:sz w:val="22"/>
              </w:rPr>
              <w:t>5</w:t>
            </w:r>
          </w:p>
        </w:tc>
        <w:tc>
          <w:tcPr>
            <w:tcW w:w="176" w:type="pct"/>
            <w:vAlign w:val="bottom"/>
          </w:tcPr>
          <w:p w14:paraId="0E49190F" w14:textId="77777777" w:rsidR="00F60B69" w:rsidRPr="00BE68AE" w:rsidRDefault="00F60B69" w:rsidP="007A4FE8">
            <w:pPr>
              <w:jc w:val="center"/>
              <w:rPr>
                <w:rFonts w:cs="Times New Roman"/>
                <w:sz w:val="22"/>
              </w:rPr>
            </w:pPr>
          </w:p>
        </w:tc>
        <w:tc>
          <w:tcPr>
            <w:tcW w:w="176" w:type="pct"/>
            <w:vAlign w:val="bottom"/>
          </w:tcPr>
          <w:p w14:paraId="255306BA" w14:textId="77777777" w:rsidR="00F60B69" w:rsidRPr="00BE68AE" w:rsidRDefault="00F60B69" w:rsidP="007A4FE8">
            <w:pPr>
              <w:jc w:val="center"/>
              <w:rPr>
                <w:rFonts w:cs="Times New Roman"/>
                <w:sz w:val="22"/>
              </w:rPr>
            </w:pPr>
            <w:r w:rsidRPr="00BE68AE">
              <w:rPr>
                <w:rFonts w:cs="Times New Roman"/>
                <w:sz w:val="22"/>
              </w:rPr>
              <w:t>4</w:t>
            </w:r>
          </w:p>
        </w:tc>
        <w:tc>
          <w:tcPr>
            <w:tcW w:w="176" w:type="pct"/>
            <w:vAlign w:val="bottom"/>
          </w:tcPr>
          <w:p w14:paraId="7D35E2D6" w14:textId="77777777" w:rsidR="00F60B69" w:rsidRPr="00BE68AE" w:rsidRDefault="00F60B69" w:rsidP="007A4FE8">
            <w:pPr>
              <w:jc w:val="center"/>
              <w:rPr>
                <w:rFonts w:cs="Times New Roman"/>
                <w:sz w:val="22"/>
              </w:rPr>
            </w:pPr>
            <w:r w:rsidRPr="00BE68AE">
              <w:rPr>
                <w:rFonts w:cs="Times New Roman"/>
                <w:sz w:val="22"/>
              </w:rPr>
              <w:t>9</w:t>
            </w:r>
          </w:p>
        </w:tc>
        <w:tc>
          <w:tcPr>
            <w:tcW w:w="194" w:type="pct"/>
            <w:vAlign w:val="bottom"/>
          </w:tcPr>
          <w:p w14:paraId="174C20B5" w14:textId="77777777" w:rsidR="00F60B69" w:rsidRPr="00BE68AE" w:rsidRDefault="00F60B69" w:rsidP="007A4FE8">
            <w:pPr>
              <w:jc w:val="center"/>
              <w:rPr>
                <w:rFonts w:cs="Times New Roman"/>
                <w:sz w:val="22"/>
              </w:rPr>
            </w:pPr>
            <w:r w:rsidRPr="00BE68AE">
              <w:rPr>
                <w:rFonts w:cs="Times New Roman"/>
                <w:sz w:val="22"/>
              </w:rPr>
              <w:t>2</w:t>
            </w:r>
          </w:p>
        </w:tc>
        <w:tc>
          <w:tcPr>
            <w:tcW w:w="155" w:type="pct"/>
            <w:vAlign w:val="bottom"/>
          </w:tcPr>
          <w:p w14:paraId="5E8F880F" w14:textId="77777777" w:rsidR="00F60B69" w:rsidRPr="00BE68AE" w:rsidRDefault="00F60B69" w:rsidP="007A4FE8">
            <w:pPr>
              <w:jc w:val="center"/>
              <w:rPr>
                <w:rFonts w:cs="Times New Roman"/>
                <w:sz w:val="22"/>
              </w:rPr>
            </w:pPr>
          </w:p>
        </w:tc>
        <w:tc>
          <w:tcPr>
            <w:tcW w:w="176" w:type="pct"/>
            <w:vAlign w:val="bottom"/>
          </w:tcPr>
          <w:p w14:paraId="43638C27" w14:textId="77777777" w:rsidR="00F60B69" w:rsidRPr="00BE68AE" w:rsidRDefault="00F60B69" w:rsidP="007A4FE8">
            <w:pPr>
              <w:jc w:val="center"/>
              <w:rPr>
                <w:rFonts w:cs="Times New Roman"/>
                <w:sz w:val="22"/>
              </w:rPr>
            </w:pPr>
            <w:r w:rsidRPr="00BE68AE">
              <w:rPr>
                <w:rFonts w:cs="Times New Roman"/>
                <w:sz w:val="22"/>
              </w:rPr>
              <w:t>11</w:t>
            </w:r>
          </w:p>
        </w:tc>
        <w:tc>
          <w:tcPr>
            <w:tcW w:w="176" w:type="pct"/>
            <w:vAlign w:val="bottom"/>
          </w:tcPr>
          <w:p w14:paraId="5D0492CD"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1380AC20" w14:textId="77777777" w:rsidR="00F60B69" w:rsidRPr="00BE68AE" w:rsidRDefault="00F60B69" w:rsidP="007A4FE8">
            <w:pPr>
              <w:jc w:val="center"/>
              <w:rPr>
                <w:rFonts w:cs="Times New Roman"/>
                <w:sz w:val="22"/>
              </w:rPr>
            </w:pPr>
            <w:r w:rsidRPr="00BE68AE">
              <w:rPr>
                <w:rFonts w:cs="Times New Roman"/>
                <w:sz w:val="22"/>
              </w:rPr>
              <w:t>3</w:t>
            </w:r>
          </w:p>
        </w:tc>
        <w:tc>
          <w:tcPr>
            <w:tcW w:w="176" w:type="pct"/>
            <w:vAlign w:val="bottom"/>
          </w:tcPr>
          <w:p w14:paraId="4A57FF72" w14:textId="77777777" w:rsidR="00F60B69" w:rsidRPr="00BE68AE" w:rsidRDefault="00F60B69" w:rsidP="007A4FE8">
            <w:pPr>
              <w:jc w:val="center"/>
              <w:rPr>
                <w:rFonts w:cs="Times New Roman"/>
                <w:sz w:val="22"/>
              </w:rPr>
            </w:pPr>
            <w:r w:rsidRPr="00BE68AE">
              <w:rPr>
                <w:rFonts w:cs="Times New Roman"/>
                <w:sz w:val="22"/>
              </w:rPr>
              <w:t>4</w:t>
            </w:r>
          </w:p>
        </w:tc>
        <w:tc>
          <w:tcPr>
            <w:tcW w:w="211" w:type="pct"/>
            <w:vAlign w:val="bottom"/>
          </w:tcPr>
          <w:p w14:paraId="2CEF9E9E" w14:textId="77777777" w:rsidR="00F60B69" w:rsidRPr="00BE68AE" w:rsidRDefault="00F60B69" w:rsidP="007A4FE8">
            <w:pPr>
              <w:jc w:val="center"/>
              <w:rPr>
                <w:rFonts w:cs="Times New Roman"/>
                <w:sz w:val="22"/>
              </w:rPr>
            </w:pPr>
            <w:r w:rsidRPr="00BE68AE">
              <w:rPr>
                <w:rFonts w:cs="Times New Roman"/>
                <w:sz w:val="22"/>
              </w:rPr>
              <w:t>51</w:t>
            </w:r>
          </w:p>
        </w:tc>
        <w:tc>
          <w:tcPr>
            <w:tcW w:w="155" w:type="pct"/>
            <w:vAlign w:val="bottom"/>
          </w:tcPr>
          <w:p w14:paraId="7FA4E3F1" w14:textId="77777777" w:rsidR="00F60B69" w:rsidRPr="00BE68AE" w:rsidRDefault="00F60B69" w:rsidP="007A4FE8">
            <w:pPr>
              <w:jc w:val="center"/>
              <w:rPr>
                <w:rFonts w:cs="Times New Roman"/>
                <w:sz w:val="22"/>
              </w:rPr>
            </w:pPr>
          </w:p>
        </w:tc>
        <w:tc>
          <w:tcPr>
            <w:tcW w:w="176" w:type="pct"/>
            <w:vAlign w:val="bottom"/>
          </w:tcPr>
          <w:p w14:paraId="73C99EDE" w14:textId="77777777" w:rsidR="00F60B69" w:rsidRPr="00BE68AE" w:rsidRDefault="00F60B69" w:rsidP="007A4FE8">
            <w:pPr>
              <w:jc w:val="center"/>
              <w:rPr>
                <w:rFonts w:cs="Times New Roman"/>
                <w:sz w:val="22"/>
              </w:rPr>
            </w:pPr>
            <w:r w:rsidRPr="00BE68AE">
              <w:rPr>
                <w:rFonts w:cs="Times New Roman"/>
                <w:sz w:val="22"/>
              </w:rPr>
              <w:t>4</w:t>
            </w:r>
          </w:p>
        </w:tc>
        <w:tc>
          <w:tcPr>
            <w:tcW w:w="155" w:type="pct"/>
            <w:vAlign w:val="bottom"/>
          </w:tcPr>
          <w:p w14:paraId="18E0907B" w14:textId="77777777" w:rsidR="00F60B69" w:rsidRPr="00BE68AE" w:rsidRDefault="00F60B69" w:rsidP="007A4FE8">
            <w:pPr>
              <w:jc w:val="center"/>
              <w:rPr>
                <w:rFonts w:cs="Times New Roman"/>
                <w:sz w:val="22"/>
              </w:rPr>
            </w:pPr>
            <w:r w:rsidRPr="00BE68AE">
              <w:rPr>
                <w:rFonts w:cs="Times New Roman"/>
                <w:sz w:val="22"/>
              </w:rPr>
              <w:t>2</w:t>
            </w:r>
          </w:p>
        </w:tc>
        <w:tc>
          <w:tcPr>
            <w:tcW w:w="176" w:type="pct"/>
            <w:vAlign w:val="bottom"/>
          </w:tcPr>
          <w:p w14:paraId="7A136C76" w14:textId="77777777" w:rsidR="00F60B69" w:rsidRPr="00BE68AE" w:rsidRDefault="00F60B69" w:rsidP="007A4FE8">
            <w:pPr>
              <w:jc w:val="center"/>
              <w:rPr>
                <w:rFonts w:cs="Times New Roman"/>
                <w:sz w:val="22"/>
              </w:rPr>
            </w:pPr>
          </w:p>
        </w:tc>
        <w:tc>
          <w:tcPr>
            <w:tcW w:w="176" w:type="pct"/>
            <w:vAlign w:val="bottom"/>
          </w:tcPr>
          <w:p w14:paraId="5634EA65" w14:textId="77777777" w:rsidR="00F60B69" w:rsidRPr="00BE68AE" w:rsidRDefault="00F60B69" w:rsidP="007A4FE8">
            <w:pPr>
              <w:jc w:val="center"/>
              <w:rPr>
                <w:rFonts w:cs="Times New Roman"/>
                <w:sz w:val="22"/>
              </w:rPr>
            </w:pPr>
            <w:r w:rsidRPr="00BE68AE">
              <w:rPr>
                <w:rFonts w:cs="Times New Roman"/>
                <w:sz w:val="22"/>
              </w:rPr>
              <w:t>8</w:t>
            </w:r>
          </w:p>
        </w:tc>
      </w:tr>
      <w:tr w:rsidR="00F60B69" w:rsidRPr="00BE68AE" w14:paraId="028068AC" w14:textId="77777777" w:rsidTr="00B816DC">
        <w:tc>
          <w:tcPr>
            <w:tcW w:w="548" w:type="pct"/>
          </w:tcPr>
          <w:p w14:paraId="72E76EBB" w14:textId="77777777" w:rsidR="00F60B69" w:rsidRPr="00BE68AE" w:rsidRDefault="00F60B69" w:rsidP="007A4FE8">
            <w:pPr>
              <w:jc w:val="both"/>
              <w:rPr>
                <w:rFonts w:cs="Times New Roman"/>
                <w:sz w:val="22"/>
              </w:rPr>
            </w:pPr>
            <w:proofErr w:type="spellStart"/>
            <w:r w:rsidRPr="00BE68AE">
              <w:rPr>
                <w:rFonts w:eastAsia="Times New Roman" w:cs="Times New Roman"/>
                <w:color w:val="000000" w:themeColor="text1"/>
                <w:sz w:val="22"/>
                <w:lang w:eastAsia="es-CR"/>
              </w:rPr>
              <w:t>Cot</w:t>
            </w:r>
            <w:proofErr w:type="spellEnd"/>
            <w:r w:rsidRPr="00BE68AE">
              <w:rPr>
                <w:rFonts w:eastAsia="Times New Roman" w:cs="Times New Roman"/>
                <w:color w:val="000000" w:themeColor="text1"/>
                <w:sz w:val="22"/>
                <w:lang w:eastAsia="es-CR"/>
              </w:rPr>
              <w:t xml:space="preserve"> (O)</w:t>
            </w:r>
          </w:p>
        </w:tc>
        <w:tc>
          <w:tcPr>
            <w:tcW w:w="211" w:type="pct"/>
            <w:vAlign w:val="bottom"/>
          </w:tcPr>
          <w:p w14:paraId="338FE4E9" w14:textId="77777777" w:rsidR="00F60B69" w:rsidRPr="00BE68AE" w:rsidRDefault="00F60B69" w:rsidP="007A4FE8">
            <w:pPr>
              <w:jc w:val="center"/>
              <w:rPr>
                <w:rFonts w:cs="Times New Roman"/>
                <w:sz w:val="22"/>
              </w:rPr>
            </w:pPr>
            <w:r w:rsidRPr="00BE68AE">
              <w:rPr>
                <w:rFonts w:cs="Times New Roman"/>
                <w:sz w:val="22"/>
              </w:rPr>
              <w:t>123</w:t>
            </w:r>
          </w:p>
        </w:tc>
        <w:tc>
          <w:tcPr>
            <w:tcW w:w="211" w:type="pct"/>
            <w:vAlign w:val="bottom"/>
          </w:tcPr>
          <w:p w14:paraId="324D848E" w14:textId="77777777" w:rsidR="00F60B69" w:rsidRPr="00BE68AE" w:rsidRDefault="00F60B69" w:rsidP="007A4FE8">
            <w:pPr>
              <w:jc w:val="center"/>
              <w:rPr>
                <w:rFonts w:cs="Times New Roman"/>
                <w:sz w:val="22"/>
              </w:rPr>
            </w:pPr>
            <w:r w:rsidRPr="00BE68AE">
              <w:rPr>
                <w:rFonts w:cs="Times New Roman"/>
                <w:sz w:val="22"/>
              </w:rPr>
              <w:t>28</w:t>
            </w:r>
          </w:p>
        </w:tc>
        <w:tc>
          <w:tcPr>
            <w:tcW w:w="176" w:type="pct"/>
            <w:vAlign w:val="bottom"/>
          </w:tcPr>
          <w:p w14:paraId="62E3011E" w14:textId="77777777" w:rsidR="00F60B69" w:rsidRPr="00BE68AE" w:rsidRDefault="00F60B69" w:rsidP="007A4FE8">
            <w:pPr>
              <w:jc w:val="center"/>
              <w:rPr>
                <w:rFonts w:cs="Times New Roman"/>
                <w:sz w:val="22"/>
              </w:rPr>
            </w:pPr>
            <w:r w:rsidRPr="00BE68AE">
              <w:rPr>
                <w:rFonts w:cs="Times New Roman"/>
                <w:sz w:val="22"/>
              </w:rPr>
              <w:t>72</w:t>
            </w:r>
          </w:p>
        </w:tc>
        <w:tc>
          <w:tcPr>
            <w:tcW w:w="155" w:type="pct"/>
            <w:vAlign w:val="bottom"/>
          </w:tcPr>
          <w:p w14:paraId="39AECB51" w14:textId="77777777" w:rsidR="00F60B69" w:rsidRPr="00BE68AE" w:rsidRDefault="00F60B69" w:rsidP="007A4FE8">
            <w:pPr>
              <w:jc w:val="center"/>
              <w:rPr>
                <w:rFonts w:cs="Times New Roman"/>
                <w:sz w:val="22"/>
              </w:rPr>
            </w:pPr>
            <w:r w:rsidRPr="00BE68AE">
              <w:rPr>
                <w:rFonts w:cs="Times New Roman"/>
                <w:sz w:val="22"/>
              </w:rPr>
              <w:t>6</w:t>
            </w:r>
          </w:p>
        </w:tc>
        <w:tc>
          <w:tcPr>
            <w:tcW w:w="155" w:type="pct"/>
            <w:vAlign w:val="bottom"/>
          </w:tcPr>
          <w:p w14:paraId="01BAC017"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7467E7C7" w14:textId="77777777" w:rsidR="00F60B69" w:rsidRPr="00BE68AE" w:rsidRDefault="00F60B69" w:rsidP="007A4FE8">
            <w:pPr>
              <w:jc w:val="center"/>
              <w:rPr>
                <w:rFonts w:cs="Times New Roman"/>
                <w:sz w:val="22"/>
              </w:rPr>
            </w:pPr>
            <w:r w:rsidRPr="00BE68AE">
              <w:rPr>
                <w:rFonts w:cs="Times New Roman"/>
                <w:sz w:val="22"/>
              </w:rPr>
              <w:t>16</w:t>
            </w:r>
          </w:p>
        </w:tc>
        <w:tc>
          <w:tcPr>
            <w:tcW w:w="176" w:type="pct"/>
            <w:vAlign w:val="bottom"/>
          </w:tcPr>
          <w:p w14:paraId="5133AAB1" w14:textId="77777777" w:rsidR="00F60B69" w:rsidRPr="00BE68AE" w:rsidRDefault="00F60B69" w:rsidP="007A4FE8">
            <w:pPr>
              <w:jc w:val="center"/>
              <w:rPr>
                <w:rFonts w:cs="Times New Roman"/>
                <w:sz w:val="22"/>
              </w:rPr>
            </w:pPr>
            <w:r w:rsidRPr="00BE68AE">
              <w:rPr>
                <w:rFonts w:cs="Times New Roman"/>
                <w:sz w:val="22"/>
              </w:rPr>
              <w:t>54</w:t>
            </w:r>
          </w:p>
        </w:tc>
        <w:tc>
          <w:tcPr>
            <w:tcW w:w="211" w:type="pct"/>
            <w:vAlign w:val="bottom"/>
          </w:tcPr>
          <w:p w14:paraId="46281A59" w14:textId="77777777" w:rsidR="00F60B69" w:rsidRPr="00BE68AE" w:rsidRDefault="00F60B69" w:rsidP="007A4FE8">
            <w:pPr>
              <w:jc w:val="center"/>
              <w:rPr>
                <w:rFonts w:cs="Times New Roman"/>
                <w:sz w:val="22"/>
              </w:rPr>
            </w:pPr>
            <w:r w:rsidRPr="00BE68AE">
              <w:rPr>
                <w:rFonts w:cs="Times New Roman"/>
                <w:sz w:val="22"/>
              </w:rPr>
              <w:t>64</w:t>
            </w:r>
          </w:p>
        </w:tc>
        <w:tc>
          <w:tcPr>
            <w:tcW w:w="176" w:type="pct"/>
            <w:vAlign w:val="bottom"/>
          </w:tcPr>
          <w:p w14:paraId="0B879E34" w14:textId="77777777" w:rsidR="00F60B69" w:rsidRPr="00BE68AE" w:rsidRDefault="00F60B69" w:rsidP="007A4FE8">
            <w:pPr>
              <w:jc w:val="center"/>
              <w:rPr>
                <w:rFonts w:cs="Times New Roman"/>
                <w:sz w:val="22"/>
              </w:rPr>
            </w:pPr>
            <w:r w:rsidRPr="00BE68AE">
              <w:rPr>
                <w:rFonts w:cs="Times New Roman"/>
                <w:sz w:val="22"/>
              </w:rPr>
              <w:t>4</w:t>
            </w:r>
          </w:p>
        </w:tc>
        <w:tc>
          <w:tcPr>
            <w:tcW w:w="176" w:type="pct"/>
            <w:vAlign w:val="bottom"/>
          </w:tcPr>
          <w:p w14:paraId="6CCCEA82"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0C4D7138" w14:textId="77777777" w:rsidR="00F60B69" w:rsidRPr="00BE68AE" w:rsidRDefault="00F60B69" w:rsidP="007A4FE8">
            <w:pPr>
              <w:jc w:val="center"/>
              <w:rPr>
                <w:rFonts w:cs="Times New Roman"/>
                <w:sz w:val="22"/>
              </w:rPr>
            </w:pPr>
          </w:p>
        </w:tc>
        <w:tc>
          <w:tcPr>
            <w:tcW w:w="176" w:type="pct"/>
            <w:vAlign w:val="bottom"/>
          </w:tcPr>
          <w:p w14:paraId="11FD2BB7" w14:textId="77777777" w:rsidR="00F60B69" w:rsidRPr="00BE68AE" w:rsidRDefault="00F60B69" w:rsidP="007A4FE8">
            <w:pPr>
              <w:jc w:val="center"/>
              <w:rPr>
                <w:rFonts w:cs="Times New Roman"/>
                <w:sz w:val="22"/>
              </w:rPr>
            </w:pPr>
            <w:r w:rsidRPr="00BE68AE">
              <w:rPr>
                <w:rFonts w:cs="Times New Roman"/>
                <w:sz w:val="22"/>
              </w:rPr>
              <w:t>22</w:t>
            </w:r>
          </w:p>
        </w:tc>
        <w:tc>
          <w:tcPr>
            <w:tcW w:w="176" w:type="pct"/>
            <w:vAlign w:val="bottom"/>
          </w:tcPr>
          <w:p w14:paraId="3882D210" w14:textId="77777777" w:rsidR="00F60B69" w:rsidRPr="00BE68AE" w:rsidRDefault="00F60B69" w:rsidP="007A4FE8">
            <w:pPr>
              <w:jc w:val="center"/>
              <w:rPr>
                <w:rFonts w:cs="Times New Roman"/>
                <w:sz w:val="22"/>
              </w:rPr>
            </w:pPr>
            <w:r w:rsidRPr="00BE68AE">
              <w:rPr>
                <w:rFonts w:cs="Times New Roman"/>
                <w:sz w:val="22"/>
              </w:rPr>
              <w:t>46</w:t>
            </w:r>
          </w:p>
        </w:tc>
        <w:tc>
          <w:tcPr>
            <w:tcW w:w="194" w:type="pct"/>
            <w:vAlign w:val="bottom"/>
          </w:tcPr>
          <w:p w14:paraId="0DC18DB3" w14:textId="77777777" w:rsidR="00F60B69" w:rsidRPr="00BE68AE" w:rsidRDefault="00F60B69" w:rsidP="007A4FE8">
            <w:pPr>
              <w:jc w:val="center"/>
              <w:rPr>
                <w:rFonts w:cs="Times New Roman"/>
                <w:sz w:val="22"/>
              </w:rPr>
            </w:pPr>
            <w:r w:rsidRPr="00BE68AE">
              <w:rPr>
                <w:rFonts w:cs="Times New Roman"/>
                <w:sz w:val="22"/>
              </w:rPr>
              <w:t>17</w:t>
            </w:r>
          </w:p>
        </w:tc>
        <w:tc>
          <w:tcPr>
            <w:tcW w:w="155" w:type="pct"/>
            <w:vAlign w:val="bottom"/>
          </w:tcPr>
          <w:p w14:paraId="5565D65B"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3EDD4217" w14:textId="77777777" w:rsidR="00F60B69" w:rsidRPr="00BE68AE" w:rsidRDefault="00F60B69" w:rsidP="007A4FE8">
            <w:pPr>
              <w:jc w:val="center"/>
              <w:rPr>
                <w:rFonts w:cs="Times New Roman"/>
                <w:sz w:val="22"/>
              </w:rPr>
            </w:pPr>
            <w:r w:rsidRPr="00BE68AE">
              <w:rPr>
                <w:rFonts w:cs="Times New Roman"/>
                <w:sz w:val="22"/>
              </w:rPr>
              <w:t>8</w:t>
            </w:r>
          </w:p>
        </w:tc>
        <w:tc>
          <w:tcPr>
            <w:tcW w:w="176" w:type="pct"/>
            <w:vAlign w:val="bottom"/>
          </w:tcPr>
          <w:p w14:paraId="493D4ED0" w14:textId="77777777" w:rsidR="00F60B69" w:rsidRPr="00BE68AE" w:rsidRDefault="00F60B69" w:rsidP="007A4FE8">
            <w:pPr>
              <w:jc w:val="center"/>
              <w:rPr>
                <w:rFonts w:cs="Times New Roman"/>
                <w:sz w:val="22"/>
              </w:rPr>
            </w:pPr>
          </w:p>
        </w:tc>
        <w:tc>
          <w:tcPr>
            <w:tcW w:w="176" w:type="pct"/>
            <w:vAlign w:val="bottom"/>
          </w:tcPr>
          <w:p w14:paraId="50054EF6" w14:textId="77777777" w:rsidR="00F60B69" w:rsidRPr="00BE68AE" w:rsidRDefault="00F60B69" w:rsidP="007A4FE8">
            <w:pPr>
              <w:jc w:val="center"/>
              <w:rPr>
                <w:rFonts w:cs="Times New Roman"/>
                <w:sz w:val="22"/>
              </w:rPr>
            </w:pPr>
          </w:p>
        </w:tc>
        <w:tc>
          <w:tcPr>
            <w:tcW w:w="176" w:type="pct"/>
            <w:vAlign w:val="bottom"/>
          </w:tcPr>
          <w:p w14:paraId="76B3258E" w14:textId="77777777" w:rsidR="00F60B69" w:rsidRPr="00BE68AE" w:rsidRDefault="00F60B69" w:rsidP="007A4FE8">
            <w:pPr>
              <w:jc w:val="center"/>
              <w:rPr>
                <w:rFonts w:cs="Times New Roman"/>
                <w:sz w:val="22"/>
              </w:rPr>
            </w:pPr>
            <w:r w:rsidRPr="00BE68AE">
              <w:rPr>
                <w:rFonts w:cs="Times New Roman"/>
                <w:sz w:val="22"/>
              </w:rPr>
              <w:t>1</w:t>
            </w:r>
          </w:p>
        </w:tc>
        <w:tc>
          <w:tcPr>
            <w:tcW w:w="211" w:type="pct"/>
            <w:vAlign w:val="bottom"/>
          </w:tcPr>
          <w:p w14:paraId="51B4B1E5" w14:textId="77777777" w:rsidR="00F60B69" w:rsidRPr="00BE68AE" w:rsidRDefault="00F60B69" w:rsidP="007A4FE8">
            <w:pPr>
              <w:jc w:val="center"/>
              <w:rPr>
                <w:rFonts w:cs="Times New Roman"/>
                <w:sz w:val="22"/>
              </w:rPr>
            </w:pPr>
            <w:r w:rsidRPr="00BE68AE">
              <w:rPr>
                <w:rFonts w:cs="Times New Roman"/>
                <w:sz w:val="22"/>
              </w:rPr>
              <w:t>122</w:t>
            </w:r>
          </w:p>
        </w:tc>
        <w:tc>
          <w:tcPr>
            <w:tcW w:w="155" w:type="pct"/>
            <w:vAlign w:val="bottom"/>
          </w:tcPr>
          <w:p w14:paraId="1C197B08" w14:textId="77777777" w:rsidR="00F60B69" w:rsidRPr="00BE68AE" w:rsidRDefault="00F60B69" w:rsidP="007A4FE8">
            <w:pPr>
              <w:jc w:val="center"/>
              <w:rPr>
                <w:rFonts w:cs="Times New Roman"/>
                <w:sz w:val="22"/>
              </w:rPr>
            </w:pPr>
          </w:p>
        </w:tc>
        <w:tc>
          <w:tcPr>
            <w:tcW w:w="176" w:type="pct"/>
            <w:vAlign w:val="bottom"/>
          </w:tcPr>
          <w:p w14:paraId="18919768" w14:textId="77777777" w:rsidR="00F60B69" w:rsidRPr="00BE68AE" w:rsidRDefault="00F60B69" w:rsidP="007A4FE8">
            <w:pPr>
              <w:jc w:val="center"/>
              <w:rPr>
                <w:rFonts w:cs="Times New Roman"/>
                <w:sz w:val="22"/>
              </w:rPr>
            </w:pPr>
            <w:r w:rsidRPr="00BE68AE">
              <w:rPr>
                <w:rFonts w:cs="Times New Roman"/>
                <w:sz w:val="22"/>
              </w:rPr>
              <w:t>4</w:t>
            </w:r>
          </w:p>
        </w:tc>
        <w:tc>
          <w:tcPr>
            <w:tcW w:w="155" w:type="pct"/>
            <w:vAlign w:val="bottom"/>
          </w:tcPr>
          <w:p w14:paraId="246A3EC9" w14:textId="77777777" w:rsidR="00F60B69" w:rsidRPr="00BE68AE" w:rsidRDefault="00F60B69" w:rsidP="007A4FE8">
            <w:pPr>
              <w:jc w:val="center"/>
              <w:rPr>
                <w:rFonts w:cs="Times New Roman"/>
                <w:sz w:val="22"/>
              </w:rPr>
            </w:pPr>
          </w:p>
        </w:tc>
        <w:tc>
          <w:tcPr>
            <w:tcW w:w="176" w:type="pct"/>
            <w:vAlign w:val="bottom"/>
          </w:tcPr>
          <w:p w14:paraId="1AF75BDF" w14:textId="77777777" w:rsidR="00F60B69" w:rsidRPr="00BE68AE" w:rsidRDefault="00F60B69" w:rsidP="007A4FE8">
            <w:pPr>
              <w:jc w:val="center"/>
              <w:rPr>
                <w:rFonts w:cs="Times New Roman"/>
                <w:sz w:val="22"/>
              </w:rPr>
            </w:pPr>
          </w:p>
        </w:tc>
        <w:tc>
          <w:tcPr>
            <w:tcW w:w="176" w:type="pct"/>
            <w:vAlign w:val="bottom"/>
          </w:tcPr>
          <w:p w14:paraId="1E8C2BFE" w14:textId="77777777" w:rsidR="00F60B69" w:rsidRPr="00BE68AE" w:rsidRDefault="00F60B69" w:rsidP="007A4FE8">
            <w:pPr>
              <w:jc w:val="center"/>
              <w:rPr>
                <w:rFonts w:cs="Times New Roman"/>
                <w:sz w:val="22"/>
              </w:rPr>
            </w:pPr>
            <w:r w:rsidRPr="00BE68AE">
              <w:rPr>
                <w:rFonts w:cs="Times New Roman"/>
                <w:sz w:val="22"/>
              </w:rPr>
              <w:t>29</w:t>
            </w:r>
          </w:p>
        </w:tc>
      </w:tr>
      <w:tr w:rsidR="00F60B69" w:rsidRPr="00BE68AE" w14:paraId="7D4F0D58" w14:textId="77777777" w:rsidTr="00B816DC">
        <w:tc>
          <w:tcPr>
            <w:tcW w:w="548" w:type="pct"/>
          </w:tcPr>
          <w:p w14:paraId="133C4735" w14:textId="77777777" w:rsidR="00F60B69" w:rsidRPr="00BE68AE" w:rsidRDefault="00F60B69" w:rsidP="007A4FE8">
            <w:pPr>
              <w:jc w:val="both"/>
              <w:rPr>
                <w:rFonts w:cs="Times New Roman"/>
                <w:sz w:val="22"/>
              </w:rPr>
            </w:pPr>
            <w:r w:rsidRPr="00BE68AE">
              <w:rPr>
                <w:rFonts w:eastAsia="Times New Roman" w:cs="Times New Roman"/>
                <w:sz w:val="22"/>
                <w:lang w:eastAsia="es-CR"/>
              </w:rPr>
              <w:t>Juan Viñas (J)</w:t>
            </w:r>
          </w:p>
        </w:tc>
        <w:tc>
          <w:tcPr>
            <w:tcW w:w="211" w:type="pct"/>
            <w:vAlign w:val="bottom"/>
          </w:tcPr>
          <w:p w14:paraId="0A8482FE" w14:textId="77777777" w:rsidR="00F60B69" w:rsidRPr="00BE68AE" w:rsidRDefault="00F60B69" w:rsidP="007A4FE8">
            <w:pPr>
              <w:jc w:val="center"/>
              <w:rPr>
                <w:rFonts w:cs="Times New Roman"/>
                <w:sz w:val="22"/>
              </w:rPr>
            </w:pPr>
            <w:r w:rsidRPr="00BE68AE">
              <w:rPr>
                <w:rFonts w:cs="Times New Roman"/>
                <w:sz w:val="22"/>
              </w:rPr>
              <w:t>231</w:t>
            </w:r>
          </w:p>
        </w:tc>
        <w:tc>
          <w:tcPr>
            <w:tcW w:w="211" w:type="pct"/>
            <w:vAlign w:val="bottom"/>
          </w:tcPr>
          <w:p w14:paraId="18A20060" w14:textId="77777777" w:rsidR="00F60B69" w:rsidRPr="00BE68AE" w:rsidRDefault="00F60B69" w:rsidP="007A4FE8">
            <w:pPr>
              <w:jc w:val="center"/>
              <w:rPr>
                <w:rFonts w:cs="Times New Roman"/>
                <w:sz w:val="22"/>
              </w:rPr>
            </w:pPr>
            <w:r w:rsidRPr="00BE68AE">
              <w:rPr>
                <w:rFonts w:cs="Times New Roman"/>
                <w:sz w:val="22"/>
              </w:rPr>
              <w:t>208</w:t>
            </w:r>
          </w:p>
        </w:tc>
        <w:tc>
          <w:tcPr>
            <w:tcW w:w="176" w:type="pct"/>
            <w:vAlign w:val="bottom"/>
          </w:tcPr>
          <w:p w14:paraId="19F51BE6" w14:textId="77777777" w:rsidR="00F60B69" w:rsidRPr="00BE68AE" w:rsidRDefault="00F60B69" w:rsidP="007A4FE8">
            <w:pPr>
              <w:jc w:val="center"/>
              <w:rPr>
                <w:rFonts w:cs="Times New Roman"/>
                <w:sz w:val="22"/>
              </w:rPr>
            </w:pPr>
            <w:r w:rsidRPr="00BE68AE">
              <w:rPr>
                <w:rFonts w:cs="Times New Roman"/>
                <w:sz w:val="22"/>
              </w:rPr>
              <w:t>15</w:t>
            </w:r>
          </w:p>
        </w:tc>
        <w:tc>
          <w:tcPr>
            <w:tcW w:w="155" w:type="pct"/>
            <w:vAlign w:val="bottom"/>
          </w:tcPr>
          <w:p w14:paraId="6B3C02CB" w14:textId="77777777" w:rsidR="00F60B69" w:rsidRPr="00BE68AE" w:rsidRDefault="00F60B69" w:rsidP="007A4FE8">
            <w:pPr>
              <w:jc w:val="center"/>
              <w:rPr>
                <w:rFonts w:cs="Times New Roman"/>
                <w:sz w:val="22"/>
              </w:rPr>
            </w:pPr>
          </w:p>
        </w:tc>
        <w:tc>
          <w:tcPr>
            <w:tcW w:w="155" w:type="pct"/>
            <w:vAlign w:val="bottom"/>
          </w:tcPr>
          <w:p w14:paraId="78442772" w14:textId="77777777" w:rsidR="00F60B69" w:rsidRPr="00BE68AE" w:rsidRDefault="00F60B69" w:rsidP="007A4FE8">
            <w:pPr>
              <w:jc w:val="center"/>
              <w:rPr>
                <w:rFonts w:cs="Times New Roman"/>
                <w:sz w:val="22"/>
              </w:rPr>
            </w:pPr>
            <w:r w:rsidRPr="00BE68AE">
              <w:rPr>
                <w:rFonts w:cs="Times New Roman"/>
                <w:sz w:val="22"/>
              </w:rPr>
              <w:t>4</w:t>
            </w:r>
          </w:p>
        </w:tc>
        <w:tc>
          <w:tcPr>
            <w:tcW w:w="176" w:type="pct"/>
            <w:vAlign w:val="bottom"/>
          </w:tcPr>
          <w:p w14:paraId="69AA2A6F" w14:textId="77777777" w:rsidR="00F60B69" w:rsidRPr="00BE68AE" w:rsidRDefault="00F60B69" w:rsidP="007A4FE8">
            <w:pPr>
              <w:jc w:val="center"/>
              <w:rPr>
                <w:rFonts w:cs="Times New Roman"/>
                <w:sz w:val="22"/>
              </w:rPr>
            </w:pPr>
            <w:r w:rsidRPr="00BE68AE">
              <w:rPr>
                <w:rFonts w:cs="Times New Roman"/>
                <w:sz w:val="22"/>
              </w:rPr>
              <w:t>4</w:t>
            </w:r>
          </w:p>
        </w:tc>
        <w:tc>
          <w:tcPr>
            <w:tcW w:w="176" w:type="pct"/>
            <w:vAlign w:val="bottom"/>
          </w:tcPr>
          <w:p w14:paraId="402AE56D" w14:textId="77777777" w:rsidR="00F60B69" w:rsidRPr="00BE68AE" w:rsidRDefault="00F60B69" w:rsidP="007A4FE8">
            <w:pPr>
              <w:jc w:val="center"/>
              <w:rPr>
                <w:rFonts w:cs="Times New Roman"/>
                <w:sz w:val="22"/>
              </w:rPr>
            </w:pPr>
            <w:r w:rsidRPr="00BE68AE">
              <w:rPr>
                <w:rFonts w:cs="Times New Roman"/>
                <w:sz w:val="22"/>
              </w:rPr>
              <w:t>103</w:t>
            </w:r>
          </w:p>
        </w:tc>
        <w:tc>
          <w:tcPr>
            <w:tcW w:w="211" w:type="pct"/>
            <w:vAlign w:val="bottom"/>
          </w:tcPr>
          <w:p w14:paraId="48B05F2A" w14:textId="77777777" w:rsidR="00F60B69" w:rsidRPr="00BE68AE" w:rsidRDefault="00F60B69" w:rsidP="007A4FE8">
            <w:pPr>
              <w:jc w:val="center"/>
              <w:rPr>
                <w:rFonts w:cs="Times New Roman"/>
                <w:sz w:val="22"/>
              </w:rPr>
            </w:pPr>
            <w:r w:rsidRPr="00BE68AE">
              <w:rPr>
                <w:rFonts w:cs="Times New Roman"/>
                <w:sz w:val="22"/>
              </w:rPr>
              <w:t>116</w:t>
            </w:r>
          </w:p>
        </w:tc>
        <w:tc>
          <w:tcPr>
            <w:tcW w:w="176" w:type="pct"/>
            <w:vAlign w:val="bottom"/>
          </w:tcPr>
          <w:p w14:paraId="313F9C8F" w14:textId="77777777" w:rsidR="00F60B69" w:rsidRPr="00BE68AE" w:rsidRDefault="00F60B69" w:rsidP="007A4FE8">
            <w:pPr>
              <w:jc w:val="center"/>
              <w:rPr>
                <w:rFonts w:cs="Times New Roman"/>
                <w:sz w:val="22"/>
              </w:rPr>
            </w:pPr>
            <w:r w:rsidRPr="00BE68AE">
              <w:rPr>
                <w:rFonts w:cs="Times New Roman"/>
                <w:sz w:val="22"/>
              </w:rPr>
              <w:t>9</w:t>
            </w:r>
          </w:p>
        </w:tc>
        <w:tc>
          <w:tcPr>
            <w:tcW w:w="176" w:type="pct"/>
            <w:vAlign w:val="bottom"/>
          </w:tcPr>
          <w:p w14:paraId="7065ECAB" w14:textId="77777777" w:rsidR="00F60B69" w:rsidRPr="00BE68AE" w:rsidRDefault="00F60B69" w:rsidP="007A4FE8">
            <w:pPr>
              <w:jc w:val="center"/>
              <w:rPr>
                <w:rFonts w:cs="Times New Roman"/>
                <w:sz w:val="22"/>
              </w:rPr>
            </w:pPr>
            <w:r w:rsidRPr="00BE68AE">
              <w:rPr>
                <w:rFonts w:cs="Times New Roman"/>
                <w:sz w:val="22"/>
              </w:rPr>
              <w:t>3</w:t>
            </w:r>
          </w:p>
        </w:tc>
        <w:tc>
          <w:tcPr>
            <w:tcW w:w="176" w:type="pct"/>
            <w:vAlign w:val="bottom"/>
          </w:tcPr>
          <w:p w14:paraId="11354A58" w14:textId="77777777" w:rsidR="00F60B69" w:rsidRPr="00BE68AE" w:rsidRDefault="00F60B69" w:rsidP="007A4FE8">
            <w:pPr>
              <w:jc w:val="center"/>
              <w:rPr>
                <w:rFonts w:cs="Times New Roman"/>
                <w:sz w:val="22"/>
              </w:rPr>
            </w:pPr>
          </w:p>
        </w:tc>
        <w:tc>
          <w:tcPr>
            <w:tcW w:w="176" w:type="pct"/>
            <w:vAlign w:val="bottom"/>
          </w:tcPr>
          <w:p w14:paraId="4471CCF0" w14:textId="77777777" w:rsidR="00F60B69" w:rsidRPr="00BE68AE" w:rsidRDefault="00F60B69" w:rsidP="007A4FE8">
            <w:pPr>
              <w:jc w:val="center"/>
              <w:rPr>
                <w:rFonts w:cs="Times New Roman"/>
                <w:sz w:val="22"/>
              </w:rPr>
            </w:pPr>
            <w:r w:rsidRPr="00BE68AE">
              <w:rPr>
                <w:rFonts w:cs="Times New Roman"/>
                <w:sz w:val="22"/>
              </w:rPr>
              <w:t>25</w:t>
            </w:r>
          </w:p>
        </w:tc>
        <w:tc>
          <w:tcPr>
            <w:tcW w:w="176" w:type="pct"/>
            <w:vAlign w:val="bottom"/>
          </w:tcPr>
          <w:p w14:paraId="5CCFEB27" w14:textId="77777777" w:rsidR="00F60B69" w:rsidRPr="00BE68AE" w:rsidRDefault="00F60B69" w:rsidP="007A4FE8">
            <w:pPr>
              <w:jc w:val="center"/>
              <w:rPr>
                <w:rFonts w:cs="Times New Roman"/>
                <w:sz w:val="22"/>
              </w:rPr>
            </w:pPr>
            <w:r w:rsidRPr="00BE68AE">
              <w:rPr>
                <w:rFonts w:cs="Times New Roman"/>
                <w:sz w:val="22"/>
              </w:rPr>
              <w:t>54</w:t>
            </w:r>
          </w:p>
        </w:tc>
        <w:tc>
          <w:tcPr>
            <w:tcW w:w="194" w:type="pct"/>
            <w:vAlign w:val="bottom"/>
          </w:tcPr>
          <w:p w14:paraId="2F7D1A73" w14:textId="77777777" w:rsidR="00F60B69" w:rsidRPr="00BE68AE" w:rsidRDefault="00F60B69" w:rsidP="007A4FE8">
            <w:pPr>
              <w:jc w:val="center"/>
              <w:rPr>
                <w:rFonts w:cs="Times New Roman"/>
                <w:sz w:val="22"/>
              </w:rPr>
            </w:pPr>
            <w:r w:rsidRPr="00BE68AE">
              <w:rPr>
                <w:rFonts w:cs="Times New Roman"/>
                <w:sz w:val="22"/>
              </w:rPr>
              <w:t>5</w:t>
            </w:r>
          </w:p>
        </w:tc>
        <w:tc>
          <w:tcPr>
            <w:tcW w:w="155" w:type="pct"/>
            <w:vAlign w:val="bottom"/>
          </w:tcPr>
          <w:p w14:paraId="6D6C7B1A" w14:textId="77777777" w:rsidR="00F60B69" w:rsidRPr="00BE68AE" w:rsidRDefault="00F60B69" w:rsidP="007A4FE8">
            <w:pPr>
              <w:jc w:val="center"/>
              <w:rPr>
                <w:rFonts w:cs="Times New Roman"/>
                <w:sz w:val="22"/>
              </w:rPr>
            </w:pPr>
          </w:p>
        </w:tc>
        <w:tc>
          <w:tcPr>
            <w:tcW w:w="176" w:type="pct"/>
            <w:vAlign w:val="bottom"/>
          </w:tcPr>
          <w:p w14:paraId="75BB7FAA" w14:textId="77777777" w:rsidR="00F60B69" w:rsidRPr="00BE68AE" w:rsidRDefault="00F60B69" w:rsidP="007A4FE8">
            <w:pPr>
              <w:jc w:val="center"/>
              <w:rPr>
                <w:rFonts w:cs="Times New Roman"/>
                <w:sz w:val="22"/>
              </w:rPr>
            </w:pPr>
            <w:r w:rsidRPr="00BE68AE">
              <w:rPr>
                <w:rFonts w:cs="Times New Roman"/>
                <w:sz w:val="22"/>
              </w:rPr>
              <w:t>10</w:t>
            </w:r>
          </w:p>
        </w:tc>
        <w:tc>
          <w:tcPr>
            <w:tcW w:w="176" w:type="pct"/>
            <w:vAlign w:val="bottom"/>
          </w:tcPr>
          <w:p w14:paraId="351D9A44"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4BB3DFC5" w14:textId="77777777" w:rsidR="00F60B69" w:rsidRPr="00BE68AE" w:rsidRDefault="00F60B69" w:rsidP="007A4FE8">
            <w:pPr>
              <w:jc w:val="center"/>
              <w:rPr>
                <w:rFonts w:cs="Times New Roman"/>
                <w:sz w:val="22"/>
              </w:rPr>
            </w:pPr>
          </w:p>
        </w:tc>
        <w:tc>
          <w:tcPr>
            <w:tcW w:w="176" w:type="pct"/>
            <w:vAlign w:val="bottom"/>
          </w:tcPr>
          <w:p w14:paraId="4E9C63D4" w14:textId="77777777" w:rsidR="00F60B69" w:rsidRPr="00BE68AE" w:rsidRDefault="00F60B69" w:rsidP="007A4FE8">
            <w:pPr>
              <w:jc w:val="center"/>
              <w:rPr>
                <w:rFonts w:cs="Times New Roman"/>
                <w:sz w:val="22"/>
              </w:rPr>
            </w:pPr>
            <w:r w:rsidRPr="00BE68AE">
              <w:rPr>
                <w:rFonts w:cs="Times New Roman"/>
                <w:sz w:val="22"/>
              </w:rPr>
              <w:t>8</w:t>
            </w:r>
          </w:p>
        </w:tc>
        <w:tc>
          <w:tcPr>
            <w:tcW w:w="211" w:type="pct"/>
            <w:vAlign w:val="bottom"/>
          </w:tcPr>
          <w:p w14:paraId="60AE9EFF" w14:textId="77777777" w:rsidR="00F60B69" w:rsidRPr="00BE68AE" w:rsidRDefault="00F60B69" w:rsidP="007A4FE8">
            <w:pPr>
              <w:jc w:val="center"/>
              <w:rPr>
                <w:rFonts w:cs="Times New Roman"/>
                <w:sz w:val="22"/>
              </w:rPr>
            </w:pPr>
            <w:r w:rsidRPr="00BE68AE">
              <w:rPr>
                <w:rFonts w:cs="Times New Roman"/>
                <w:sz w:val="22"/>
              </w:rPr>
              <w:t>222</w:t>
            </w:r>
          </w:p>
        </w:tc>
        <w:tc>
          <w:tcPr>
            <w:tcW w:w="155" w:type="pct"/>
            <w:vAlign w:val="bottom"/>
          </w:tcPr>
          <w:p w14:paraId="26167474" w14:textId="77777777" w:rsidR="00F60B69" w:rsidRPr="00BE68AE" w:rsidRDefault="00F60B69" w:rsidP="007A4FE8">
            <w:pPr>
              <w:jc w:val="center"/>
              <w:rPr>
                <w:rFonts w:cs="Times New Roman"/>
                <w:sz w:val="22"/>
              </w:rPr>
            </w:pPr>
          </w:p>
        </w:tc>
        <w:tc>
          <w:tcPr>
            <w:tcW w:w="176" w:type="pct"/>
            <w:vAlign w:val="bottom"/>
          </w:tcPr>
          <w:p w14:paraId="467E5B7C" w14:textId="77777777" w:rsidR="00F60B69" w:rsidRPr="00BE68AE" w:rsidRDefault="00F60B69" w:rsidP="007A4FE8">
            <w:pPr>
              <w:jc w:val="center"/>
              <w:rPr>
                <w:rFonts w:cs="Times New Roman"/>
                <w:sz w:val="22"/>
              </w:rPr>
            </w:pPr>
            <w:r w:rsidRPr="00BE68AE">
              <w:rPr>
                <w:rFonts w:cs="Times New Roman"/>
                <w:sz w:val="22"/>
              </w:rPr>
              <w:t>20</w:t>
            </w:r>
          </w:p>
        </w:tc>
        <w:tc>
          <w:tcPr>
            <w:tcW w:w="155" w:type="pct"/>
            <w:vAlign w:val="bottom"/>
          </w:tcPr>
          <w:p w14:paraId="7888799D" w14:textId="77777777" w:rsidR="00F60B69" w:rsidRPr="00BE68AE" w:rsidRDefault="00F60B69" w:rsidP="007A4FE8">
            <w:pPr>
              <w:jc w:val="center"/>
              <w:rPr>
                <w:rFonts w:cs="Times New Roman"/>
                <w:sz w:val="22"/>
              </w:rPr>
            </w:pPr>
          </w:p>
        </w:tc>
        <w:tc>
          <w:tcPr>
            <w:tcW w:w="176" w:type="pct"/>
            <w:vAlign w:val="bottom"/>
          </w:tcPr>
          <w:p w14:paraId="26AE6683" w14:textId="77777777" w:rsidR="00F60B69" w:rsidRPr="00BE68AE" w:rsidRDefault="00F60B69" w:rsidP="007A4FE8">
            <w:pPr>
              <w:jc w:val="center"/>
              <w:rPr>
                <w:rFonts w:cs="Times New Roman"/>
                <w:sz w:val="22"/>
              </w:rPr>
            </w:pPr>
            <w:r w:rsidRPr="00BE68AE">
              <w:rPr>
                <w:rFonts w:cs="Times New Roman"/>
                <w:sz w:val="22"/>
              </w:rPr>
              <w:t>10</w:t>
            </w:r>
          </w:p>
        </w:tc>
        <w:tc>
          <w:tcPr>
            <w:tcW w:w="176" w:type="pct"/>
            <w:vAlign w:val="bottom"/>
          </w:tcPr>
          <w:p w14:paraId="0B9F676A" w14:textId="77777777" w:rsidR="00F60B69" w:rsidRPr="00BE68AE" w:rsidRDefault="00F60B69" w:rsidP="007A4FE8">
            <w:pPr>
              <w:jc w:val="center"/>
              <w:rPr>
                <w:rFonts w:cs="Times New Roman"/>
                <w:sz w:val="22"/>
              </w:rPr>
            </w:pPr>
            <w:r w:rsidRPr="00BE68AE">
              <w:rPr>
                <w:rFonts w:cs="Times New Roman"/>
                <w:sz w:val="22"/>
              </w:rPr>
              <w:t>33</w:t>
            </w:r>
          </w:p>
        </w:tc>
      </w:tr>
      <w:tr w:rsidR="00F60B69" w:rsidRPr="00BE68AE" w14:paraId="397FD70B" w14:textId="77777777" w:rsidTr="00B816DC">
        <w:tc>
          <w:tcPr>
            <w:tcW w:w="548" w:type="pct"/>
          </w:tcPr>
          <w:p w14:paraId="5CBFDFE1" w14:textId="77777777" w:rsidR="00F60B69" w:rsidRPr="00BE68AE" w:rsidRDefault="00F60B69" w:rsidP="007A4FE8">
            <w:pPr>
              <w:jc w:val="both"/>
              <w:rPr>
                <w:rFonts w:cs="Times New Roman"/>
                <w:sz w:val="22"/>
              </w:rPr>
            </w:pPr>
            <w:r w:rsidRPr="00BE68AE">
              <w:rPr>
                <w:rFonts w:eastAsia="Times New Roman" w:cs="Times New Roman"/>
                <w:sz w:val="22"/>
                <w:lang w:eastAsia="es-CR"/>
              </w:rPr>
              <w:t>La Isabel (T)</w:t>
            </w:r>
          </w:p>
        </w:tc>
        <w:tc>
          <w:tcPr>
            <w:tcW w:w="211" w:type="pct"/>
            <w:vAlign w:val="bottom"/>
          </w:tcPr>
          <w:p w14:paraId="47FC9EC4" w14:textId="77777777" w:rsidR="00F60B69" w:rsidRPr="00BE68AE" w:rsidRDefault="00F60B69" w:rsidP="007A4FE8">
            <w:pPr>
              <w:jc w:val="center"/>
              <w:rPr>
                <w:rFonts w:cs="Times New Roman"/>
                <w:sz w:val="22"/>
              </w:rPr>
            </w:pPr>
            <w:r w:rsidRPr="00BE68AE">
              <w:rPr>
                <w:rFonts w:cs="Times New Roman"/>
                <w:sz w:val="22"/>
              </w:rPr>
              <w:t>49</w:t>
            </w:r>
          </w:p>
        </w:tc>
        <w:tc>
          <w:tcPr>
            <w:tcW w:w="211" w:type="pct"/>
            <w:vAlign w:val="bottom"/>
          </w:tcPr>
          <w:p w14:paraId="4163B1D9" w14:textId="77777777" w:rsidR="00F60B69" w:rsidRPr="00BE68AE" w:rsidRDefault="00F60B69" w:rsidP="007A4FE8">
            <w:pPr>
              <w:jc w:val="center"/>
              <w:rPr>
                <w:rFonts w:cs="Times New Roman"/>
                <w:sz w:val="22"/>
              </w:rPr>
            </w:pPr>
            <w:r w:rsidRPr="00BE68AE">
              <w:rPr>
                <w:rFonts w:cs="Times New Roman"/>
                <w:sz w:val="22"/>
              </w:rPr>
              <w:t>15</w:t>
            </w:r>
          </w:p>
        </w:tc>
        <w:tc>
          <w:tcPr>
            <w:tcW w:w="176" w:type="pct"/>
            <w:vAlign w:val="bottom"/>
          </w:tcPr>
          <w:p w14:paraId="28AABA35" w14:textId="77777777" w:rsidR="00F60B69" w:rsidRPr="00BE68AE" w:rsidRDefault="00F60B69" w:rsidP="007A4FE8">
            <w:pPr>
              <w:jc w:val="center"/>
              <w:rPr>
                <w:rFonts w:cs="Times New Roman"/>
                <w:sz w:val="22"/>
              </w:rPr>
            </w:pPr>
            <w:r w:rsidRPr="00BE68AE">
              <w:rPr>
                <w:rFonts w:cs="Times New Roman"/>
                <w:sz w:val="22"/>
              </w:rPr>
              <w:t>32</w:t>
            </w:r>
          </w:p>
        </w:tc>
        <w:tc>
          <w:tcPr>
            <w:tcW w:w="155" w:type="pct"/>
            <w:vAlign w:val="bottom"/>
          </w:tcPr>
          <w:p w14:paraId="38B65E11" w14:textId="77777777" w:rsidR="00F60B69" w:rsidRPr="00BE68AE" w:rsidRDefault="00F60B69" w:rsidP="007A4FE8">
            <w:pPr>
              <w:jc w:val="center"/>
              <w:rPr>
                <w:rFonts w:cs="Times New Roman"/>
                <w:sz w:val="22"/>
              </w:rPr>
            </w:pPr>
            <w:r w:rsidRPr="00BE68AE">
              <w:rPr>
                <w:rFonts w:cs="Times New Roman"/>
                <w:sz w:val="22"/>
              </w:rPr>
              <w:t>1</w:t>
            </w:r>
          </w:p>
        </w:tc>
        <w:tc>
          <w:tcPr>
            <w:tcW w:w="155" w:type="pct"/>
            <w:vAlign w:val="bottom"/>
          </w:tcPr>
          <w:p w14:paraId="474391B6" w14:textId="77777777" w:rsidR="00F60B69" w:rsidRPr="00BE68AE" w:rsidRDefault="00F60B69" w:rsidP="007A4FE8">
            <w:pPr>
              <w:jc w:val="center"/>
              <w:rPr>
                <w:rFonts w:cs="Times New Roman"/>
                <w:sz w:val="22"/>
              </w:rPr>
            </w:pPr>
          </w:p>
        </w:tc>
        <w:tc>
          <w:tcPr>
            <w:tcW w:w="176" w:type="pct"/>
            <w:vAlign w:val="bottom"/>
          </w:tcPr>
          <w:p w14:paraId="0639BD4D"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701FDFB4" w14:textId="77777777" w:rsidR="00F60B69" w:rsidRPr="00BE68AE" w:rsidRDefault="00F60B69" w:rsidP="007A4FE8">
            <w:pPr>
              <w:jc w:val="center"/>
              <w:rPr>
                <w:rFonts w:cs="Times New Roman"/>
                <w:sz w:val="22"/>
              </w:rPr>
            </w:pPr>
            <w:r w:rsidRPr="00BE68AE">
              <w:rPr>
                <w:rFonts w:cs="Times New Roman"/>
                <w:sz w:val="22"/>
              </w:rPr>
              <w:t>14</w:t>
            </w:r>
          </w:p>
        </w:tc>
        <w:tc>
          <w:tcPr>
            <w:tcW w:w="211" w:type="pct"/>
            <w:vAlign w:val="bottom"/>
          </w:tcPr>
          <w:p w14:paraId="11D5E717" w14:textId="77777777" w:rsidR="00F60B69" w:rsidRPr="00BE68AE" w:rsidRDefault="00F60B69" w:rsidP="007A4FE8">
            <w:pPr>
              <w:jc w:val="center"/>
              <w:rPr>
                <w:rFonts w:cs="Times New Roman"/>
                <w:sz w:val="22"/>
              </w:rPr>
            </w:pPr>
            <w:r w:rsidRPr="00BE68AE">
              <w:rPr>
                <w:rFonts w:cs="Times New Roman"/>
                <w:sz w:val="22"/>
              </w:rPr>
              <w:t>30</w:t>
            </w:r>
          </w:p>
        </w:tc>
        <w:tc>
          <w:tcPr>
            <w:tcW w:w="176" w:type="pct"/>
            <w:vAlign w:val="bottom"/>
          </w:tcPr>
          <w:p w14:paraId="560F2A02" w14:textId="77777777" w:rsidR="00F60B69" w:rsidRPr="00BE68AE" w:rsidRDefault="00F60B69" w:rsidP="007A4FE8">
            <w:pPr>
              <w:jc w:val="center"/>
              <w:rPr>
                <w:rFonts w:cs="Times New Roman"/>
                <w:sz w:val="22"/>
              </w:rPr>
            </w:pPr>
            <w:r w:rsidRPr="00BE68AE">
              <w:rPr>
                <w:rFonts w:cs="Times New Roman"/>
                <w:sz w:val="22"/>
              </w:rPr>
              <w:t>3</w:t>
            </w:r>
          </w:p>
        </w:tc>
        <w:tc>
          <w:tcPr>
            <w:tcW w:w="176" w:type="pct"/>
            <w:vAlign w:val="bottom"/>
          </w:tcPr>
          <w:p w14:paraId="1ECB6199" w14:textId="77777777" w:rsidR="00F60B69" w:rsidRPr="00BE68AE" w:rsidRDefault="00F60B69" w:rsidP="007A4FE8">
            <w:pPr>
              <w:jc w:val="center"/>
              <w:rPr>
                <w:rFonts w:cs="Times New Roman"/>
                <w:sz w:val="22"/>
              </w:rPr>
            </w:pPr>
            <w:r w:rsidRPr="00BE68AE">
              <w:rPr>
                <w:rFonts w:cs="Times New Roman"/>
                <w:sz w:val="22"/>
              </w:rPr>
              <w:t>2</w:t>
            </w:r>
          </w:p>
        </w:tc>
        <w:tc>
          <w:tcPr>
            <w:tcW w:w="176" w:type="pct"/>
            <w:vAlign w:val="bottom"/>
          </w:tcPr>
          <w:p w14:paraId="7B6C005F" w14:textId="77777777" w:rsidR="00F60B69" w:rsidRPr="00BE68AE" w:rsidRDefault="00F60B69" w:rsidP="007A4FE8">
            <w:pPr>
              <w:jc w:val="center"/>
              <w:rPr>
                <w:rFonts w:cs="Times New Roman"/>
                <w:sz w:val="22"/>
              </w:rPr>
            </w:pPr>
          </w:p>
        </w:tc>
        <w:tc>
          <w:tcPr>
            <w:tcW w:w="176" w:type="pct"/>
            <w:vAlign w:val="bottom"/>
          </w:tcPr>
          <w:p w14:paraId="79573BE3" w14:textId="77777777" w:rsidR="00F60B69" w:rsidRPr="00BE68AE" w:rsidRDefault="00F60B69" w:rsidP="007A4FE8">
            <w:pPr>
              <w:jc w:val="center"/>
              <w:rPr>
                <w:rFonts w:cs="Times New Roman"/>
                <w:sz w:val="22"/>
              </w:rPr>
            </w:pPr>
            <w:r w:rsidRPr="00BE68AE">
              <w:rPr>
                <w:rFonts w:cs="Times New Roman"/>
                <w:sz w:val="22"/>
              </w:rPr>
              <w:t>8</w:t>
            </w:r>
          </w:p>
        </w:tc>
        <w:tc>
          <w:tcPr>
            <w:tcW w:w="176" w:type="pct"/>
            <w:vAlign w:val="bottom"/>
          </w:tcPr>
          <w:p w14:paraId="22A16B94" w14:textId="77777777" w:rsidR="00F60B69" w:rsidRPr="00BE68AE" w:rsidRDefault="00F60B69" w:rsidP="007A4FE8">
            <w:pPr>
              <w:jc w:val="center"/>
              <w:rPr>
                <w:rFonts w:cs="Times New Roman"/>
                <w:sz w:val="22"/>
              </w:rPr>
            </w:pPr>
            <w:r w:rsidRPr="00BE68AE">
              <w:rPr>
                <w:rFonts w:cs="Times New Roman"/>
                <w:sz w:val="22"/>
              </w:rPr>
              <w:t>7</w:t>
            </w:r>
          </w:p>
        </w:tc>
        <w:tc>
          <w:tcPr>
            <w:tcW w:w="194" w:type="pct"/>
            <w:vAlign w:val="bottom"/>
          </w:tcPr>
          <w:p w14:paraId="25A8C6D6" w14:textId="77777777" w:rsidR="00F60B69" w:rsidRPr="00BE68AE" w:rsidRDefault="00F60B69" w:rsidP="007A4FE8">
            <w:pPr>
              <w:jc w:val="center"/>
              <w:rPr>
                <w:rFonts w:cs="Times New Roman"/>
                <w:sz w:val="22"/>
              </w:rPr>
            </w:pPr>
            <w:r w:rsidRPr="00BE68AE">
              <w:rPr>
                <w:rFonts w:cs="Times New Roman"/>
                <w:sz w:val="22"/>
              </w:rPr>
              <w:t>13</w:t>
            </w:r>
          </w:p>
        </w:tc>
        <w:tc>
          <w:tcPr>
            <w:tcW w:w="155" w:type="pct"/>
            <w:vAlign w:val="bottom"/>
          </w:tcPr>
          <w:p w14:paraId="56E0D0D0" w14:textId="77777777" w:rsidR="00F60B69" w:rsidRPr="00BE68AE" w:rsidRDefault="00F60B69" w:rsidP="007A4FE8">
            <w:pPr>
              <w:jc w:val="center"/>
              <w:rPr>
                <w:rFonts w:cs="Times New Roman"/>
                <w:sz w:val="22"/>
              </w:rPr>
            </w:pPr>
            <w:r w:rsidRPr="00BE68AE">
              <w:rPr>
                <w:rFonts w:cs="Times New Roman"/>
                <w:sz w:val="22"/>
              </w:rPr>
              <w:t>7</w:t>
            </w:r>
          </w:p>
        </w:tc>
        <w:tc>
          <w:tcPr>
            <w:tcW w:w="176" w:type="pct"/>
            <w:vAlign w:val="bottom"/>
          </w:tcPr>
          <w:p w14:paraId="09B7A9EF" w14:textId="77777777" w:rsidR="00F60B69" w:rsidRPr="00BE68AE" w:rsidRDefault="00F60B69" w:rsidP="007A4FE8">
            <w:pPr>
              <w:jc w:val="center"/>
              <w:rPr>
                <w:rFonts w:cs="Times New Roman"/>
                <w:sz w:val="22"/>
              </w:rPr>
            </w:pPr>
            <w:r w:rsidRPr="00BE68AE">
              <w:rPr>
                <w:rFonts w:cs="Times New Roman"/>
                <w:sz w:val="22"/>
              </w:rPr>
              <w:t>9</w:t>
            </w:r>
          </w:p>
        </w:tc>
        <w:tc>
          <w:tcPr>
            <w:tcW w:w="176" w:type="pct"/>
            <w:vAlign w:val="bottom"/>
          </w:tcPr>
          <w:p w14:paraId="65FEFEA7" w14:textId="77777777" w:rsidR="00F60B69" w:rsidRPr="00BE68AE" w:rsidRDefault="00F60B69" w:rsidP="007A4FE8">
            <w:pPr>
              <w:jc w:val="center"/>
              <w:rPr>
                <w:rFonts w:cs="Times New Roman"/>
                <w:sz w:val="22"/>
              </w:rPr>
            </w:pPr>
          </w:p>
        </w:tc>
        <w:tc>
          <w:tcPr>
            <w:tcW w:w="176" w:type="pct"/>
            <w:vAlign w:val="bottom"/>
          </w:tcPr>
          <w:p w14:paraId="027C3BCA" w14:textId="77777777" w:rsidR="00F60B69" w:rsidRPr="00BE68AE" w:rsidRDefault="00F60B69" w:rsidP="007A4FE8">
            <w:pPr>
              <w:jc w:val="center"/>
              <w:rPr>
                <w:rFonts w:cs="Times New Roman"/>
                <w:sz w:val="22"/>
              </w:rPr>
            </w:pPr>
          </w:p>
        </w:tc>
        <w:tc>
          <w:tcPr>
            <w:tcW w:w="176" w:type="pct"/>
            <w:vAlign w:val="bottom"/>
          </w:tcPr>
          <w:p w14:paraId="730E762B" w14:textId="77777777" w:rsidR="00F60B69" w:rsidRPr="00BE68AE" w:rsidRDefault="00F60B69" w:rsidP="007A4FE8">
            <w:pPr>
              <w:jc w:val="center"/>
              <w:rPr>
                <w:rFonts w:cs="Times New Roman"/>
                <w:sz w:val="22"/>
              </w:rPr>
            </w:pPr>
            <w:r w:rsidRPr="00BE68AE">
              <w:rPr>
                <w:rFonts w:cs="Times New Roman"/>
                <w:sz w:val="22"/>
              </w:rPr>
              <w:t>2</w:t>
            </w:r>
          </w:p>
        </w:tc>
        <w:tc>
          <w:tcPr>
            <w:tcW w:w="211" w:type="pct"/>
            <w:vAlign w:val="bottom"/>
          </w:tcPr>
          <w:p w14:paraId="0CD83BE6" w14:textId="77777777" w:rsidR="00F60B69" w:rsidRPr="00BE68AE" w:rsidRDefault="00F60B69" w:rsidP="007A4FE8">
            <w:pPr>
              <w:jc w:val="center"/>
              <w:rPr>
                <w:rFonts w:cs="Times New Roman"/>
                <w:sz w:val="22"/>
              </w:rPr>
            </w:pPr>
            <w:r w:rsidRPr="00BE68AE">
              <w:rPr>
                <w:rFonts w:cs="Times New Roman"/>
                <w:sz w:val="22"/>
              </w:rPr>
              <w:t>47</w:t>
            </w:r>
          </w:p>
        </w:tc>
        <w:tc>
          <w:tcPr>
            <w:tcW w:w="155" w:type="pct"/>
            <w:vAlign w:val="bottom"/>
          </w:tcPr>
          <w:p w14:paraId="5E7E9CBA" w14:textId="77777777" w:rsidR="00F60B69" w:rsidRPr="00BE68AE" w:rsidRDefault="00F60B69" w:rsidP="007A4FE8">
            <w:pPr>
              <w:jc w:val="center"/>
              <w:rPr>
                <w:rFonts w:cs="Times New Roman"/>
                <w:sz w:val="22"/>
              </w:rPr>
            </w:pPr>
          </w:p>
        </w:tc>
        <w:tc>
          <w:tcPr>
            <w:tcW w:w="176" w:type="pct"/>
            <w:vAlign w:val="bottom"/>
          </w:tcPr>
          <w:p w14:paraId="3A4F71EC" w14:textId="77777777" w:rsidR="00F60B69" w:rsidRPr="00BE68AE" w:rsidRDefault="00F60B69" w:rsidP="007A4FE8">
            <w:pPr>
              <w:jc w:val="center"/>
              <w:rPr>
                <w:rFonts w:cs="Times New Roman"/>
                <w:sz w:val="22"/>
              </w:rPr>
            </w:pPr>
            <w:r w:rsidRPr="00BE68AE">
              <w:rPr>
                <w:rFonts w:cs="Times New Roman"/>
                <w:sz w:val="22"/>
              </w:rPr>
              <w:t>1</w:t>
            </w:r>
          </w:p>
        </w:tc>
        <w:tc>
          <w:tcPr>
            <w:tcW w:w="155" w:type="pct"/>
            <w:vAlign w:val="bottom"/>
          </w:tcPr>
          <w:p w14:paraId="14D24939" w14:textId="77777777" w:rsidR="00F60B69" w:rsidRPr="00BE68AE" w:rsidRDefault="00F60B69" w:rsidP="007A4FE8">
            <w:pPr>
              <w:jc w:val="center"/>
              <w:rPr>
                <w:rFonts w:cs="Times New Roman"/>
                <w:sz w:val="22"/>
              </w:rPr>
            </w:pPr>
          </w:p>
        </w:tc>
        <w:tc>
          <w:tcPr>
            <w:tcW w:w="176" w:type="pct"/>
            <w:vAlign w:val="bottom"/>
          </w:tcPr>
          <w:p w14:paraId="624FC50E" w14:textId="77777777" w:rsidR="00F60B69" w:rsidRPr="00BE68AE" w:rsidRDefault="00F60B69" w:rsidP="007A4FE8">
            <w:pPr>
              <w:jc w:val="center"/>
              <w:rPr>
                <w:rFonts w:cs="Times New Roman"/>
                <w:sz w:val="22"/>
              </w:rPr>
            </w:pPr>
            <w:r w:rsidRPr="00BE68AE">
              <w:rPr>
                <w:rFonts w:cs="Times New Roman"/>
                <w:sz w:val="22"/>
              </w:rPr>
              <w:t>4</w:t>
            </w:r>
          </w:p>
        </w:tc>
        <w:tc>
          <w:tcPr>
            <w:tcW w:w="176" w:type="pct"/>
            <w:vAlign w:val="bottom"/>
          </w:tcPr>
          <w:p w14:paraId="29479084" w14:textId="77777777" w:rsidR="00F60B69" w:rsidRPr="00BE68AE" w:rsidRDefault="00F60B69" w:rsidP="007A4FE8">
            <w:pPr>
              <w:jc w:val="center"/>
              <w:rPr>
                <w:rFonts w:cs="Times New Roman"/>
                <w:sz w:val="22"/>
              </w:rPr>
            </w:pPr>
            <w:r w:rsidRPr="00BE68AE">
              <w:rPr>
                <w:rFonts w:cs="Times New Roman"/>
                <w:sz w:val="22"/>
              </w:rPr>
              <w:t>4</w:t>
            </w:r>
          </w:p>
        </w:tc>
      </w:tr>
      <w:tr w:rsidR="00F60B69" w:rsidRPr="00BE68AE" w14:paraId="76EB7642" w14:textId="77777777" w:rsidTr="00B816DC">
        <w:tc>
          <w:tcPr>
            <w:tcW w:w="548" w:type="pct"/>
          </w:tcPr>
          <w:p w14:paraId="78699896" w14:textId="77777777" w:rsidR="00F60B69" w:rsidRPr="00BE68AE" w:rsidRDefault="00F60B69" w:rsidP="007A4FE8">
            <w:pPr>
              <w:jc w:val="both"/>
              <w:rPr>
                <w:rFonts w:cs="Times New Roman"/>
                <w:sz w:val="22"/>
              </w:rPr>
            </w:pPr>
            <w:r w:rsidRPr="00BE68AE">
              <w:rPr>
                <w:rFonts w:eastAsia="Times New Roman" w:cs="Times New Roman"/>
                <w:sz w:val="22"/>
                <w:lang w:eastAsia="es-CR"/>
              </w:rPr>
              <w:t>La Suiza (T)</w:t>
            </w:r>
          </w:p>
        </w:tc>
        <w:tc>
          <w:tcPr>
            <w:tcW w:w="211" w:type="pct"/>
            <w:vAlign w:val="bottom"/>
          </w:tcPr>
          <w:p w14:paraId="060F994C" w14:textId="77777777" w:rsidR="00F60B69" w:rsidRPr="00BE68AE" w:rsidRDefault="00F60B69" w:rsidP="007A4FE8">
            <w:pPr>
              <w:jc w:val="center"/>
              <w:rPr>
                <w:rFonts w:cs="Times New Roman"/>
                <w:sz w:val="22"/>
              </w:rPr>
            </w:pPr>
            <w:r w:rsidRPr="00BE68AE">
              <w:rPr>
                <w:rFonts w:cs="Times New Roman"/>
                <w:sz w:val="22"/>
              </w:rPr>
              <w:t>142</w:t>
            </w:r>
          </w:p>
        </w:tc>
        <w:tc>
          <w:tcPr>
            <w:tcW w:w="211" w:type="pct"/>
            <w:vAlign w:val="bottom"/>
          </w:tcPr>
          <w:p w14:paraId="1F78B42E" w14:textId="77777777" w:rsidR="00F60B69" w:rsidRPr="00BE68AE" w:rsidRDefault="00F60B69" w:rsidP="007A4FE8">
            <w:pPr>
              <w:jc w:val="center"/>
              <w:rPr>
                <w:rFonts w:cs="Times New Roman"/>
                <w:sz w:val="22"/>
              </w:rPr>
            </w:pPr>
            <w:r w:rsidRPr="00BE68AE">
              <w:rPr>
                <w:rFonts w:cs="Times New Roman"/>
                <w:sz w:val="22"/>
              </w:rPr>
              <w:t>51</w:t>
            </w:r>
          </w:p>
        </w:tc>
        <w:tc>
          <w:tcPr>
            <w:tcW w:w="176" w:type="pct"/>
            <w:vAlign w:val="bottom"/>
          </w:tcPr>
          <w:p w14:paraId="74A50BB2" w14:textId="77777777" w:rsidR="00F60B69" w:rsidRPr="00BE68AE" w:rsidRDefault="00F60B69" w:rsidP="007A4FE8">
            <w:pPr>
              <w:jc w:val="center"/>
              <w:rPr>
                <w:rFonts w:cs="Times New Roman"/>
                <w:sz w:val="22"/>
              </w:rPr>
            </w:pPr>
            <w:r w:rsidRPr="00BE68AE">
              <w:rPr>
                <w:rFonts w:cs="Times New Roman"/>
                <w:sz w:val="22"/>
              </w:rPr>
              <w:t>61</w:t>
            </w:r>
          </w:p>
        </w:tc>
        <w:tc>
          <w:tcPr>
            <w:tcW w:w="155" w:type="pct"/>
            <w:vAlign w:val="bottom"/>
          </w:tcPr>
          <w:p w14:paraId="7ABE9456" w14:textId="77777777" w:rsidR="00F60B69" w:rsidRPr="00BE68AE" w:rsidRDefault="00F60B69" w:rsidP="007A4FE8">
            <w:pPr>
              <w:jc w:val="center"/>
              <w:rPr>
                <w:rFonts w:cs="Times New Roman"/>
                <w:sz w:val="22"/>
              </w:rPr>
            </w:pPr>
            <w:r w:rsidRPr="00BE68AE">
              <w:rPr>
                <w:rFonts w:cs="Times New Roman"/>
                <w:sz w:val="22"/>
              </w:rPr>
              <w:t>6</w:t>
            </w:r>
          </w:p>
        </w:tc>
        <w:tc>
          <w:tcPr>
            <w:tcW w:w="155" w:type="pct"/>
            <w:vAlign w:val="bottom"/>
          </w:tcPr>
          <w:p w14:paraId="7C4D9E00" w14:textId="77777777" w:rsidR="00F60B69" w:rsidRPr="00BE68AE" w:rsidRDefault="00F60B69" w:rsidP="007A4FE8">
            <w:pPr>
              <w:jc w:val="center"/>
              <w:rPr>
                <w:rFonts w:cs="Times New Roman"/>
                <w:sz w:val="22"/>
              </w:rPr>
            </w:pPr>
            <w:r w:rsidRPr="00BE68AE">
              <w:rPr>
                <w:rFonts w:cs="Times New Roman"/>
                <w:sz w:val="22"/>
              </w:rPr>
              <w:t>2</w:t>
            </w:r>
          </w:p>
        </w:tc>
        <w:tc>
          <w:tcPr>
            <w:tcW w:w="176" w:type="pct"/>
            <w:vAlign w:val="bottom"/>
          </w:tcPr>
          <w:p w14:paraId="48B36275" w14:textId="77777777" w:rsidR="00F60B69" w:rsidRPr="00BE68AE" w:rsidRDefault="00F60B69" w:rsidP="007A4FE8">
            <w:pPr>
              <w:jc w:val="center"/>
              <w:rPr>
                <w:rFonts w:cs="Times New Roman"/>
                <w:sz w:val="22"/>
              </w:rPr>
            </w:pPr>
            <w:r w:rsidRPr="00BE68AE">
              <w:rPr>
                <w:rFonts w:cs="Times New Roman"/>
                <w:sz w:val="22"/>
              </w:rPr>
              <w:t>22</w:t>
            </w:r>
          </w:p>
        </w:tc>
        <w:tc>
          <w:tcPr>
            <w:tcW w:w="176" w:type="pct"/>
            <w:vAlign w:val="bottom"/>
          </w:tcPr>
          <w:p w14:paraId="24D4F11B" w14:textId="77777777" w:rsidR="00F60B69" w:rsidRPr="00BE68AE" w:rsidRDefault="00F60B69" w:rsidP="007A4FE8">
            <w:pPr>
              <w:jc w:val="center"/>
              <w:rPr>
                <w:rFonts w:cs="Times New Roman"/>
                <w:sz w:val="22"/>
              </w:rPr>
            </w:pPr>
            <w:r w:rsidRPr="00BE68AE">
              <w:rPr>
                <w:rFonts w:cs="Times New Roman"/>
                <w:sz w:val="22"/>
              </w:rPr>
              <w:t>60</w:t>
            </w:r>
          </w:p>
        </w:tc>
        <w:tc>
          <w:tcPr>
            <w:tcW w:w="211" w:type="pct"/>
            <w:vAlign w:val="bottom"/>
          </w:tcPr>
          <w:p w14:paraId="1832610B" w14:textId="77777777" w:rsidR="00F60B69" w:rsidRPr="00BE68AE" w:rsidRDefault="00F60B69" w:rsidP="007A4FE8">
            <w:pPr>
              <w:jc w:val="center"/>
              <w:rPr>
                <w:rFonts w:cs="Times New Roman"/>
                <w:sz w:val="22"/>
              </w:rPr>
            </w:pPr>
            <w:r w:rsidRPr="00BE68AE">
              <w:rPr>
                <w:rFonts w:cs="Times New Roman"/>
                <w:sz w:val="22"/>
              </w:rPr>
              <w:t>76</w:t>
            </w:r>
          </w:p>
        </w:tc>
        <w:tc>
          <w:tcPr>
            <w:tcW w:w="176" w:type="pct"/>
            <w:vAlign w:val="bottom"/>
          </w:tcPr>
          <w:p w14:paraId="5FC19A5E" w14:textId="77777777" w:rsidR="00F60B69" w:rsidRPr="00BE68AE" w:rsidRDefault="00F60B69" w:rsidP="007A4FE8">
            <w:pPr>
              <w:jc w:val="center"/>
              <w:rPr>
                <w:rFonts w:cs="Times New Roman"/>
                <w:sz w:val="22"/>
              </w:rPr>
            </w:pPr>
            <w:r w:rsidRPr="00BE68AE">
              <w:rPr>
                <w:rFonts w:cs="Times New Roman"/>
                <w:sz w:val="22"/>
              </w:rPr>
              <w:t>5</w:t>
            </w:r>
          </w:p>
        </w:tc>
        <w:tc>
          <w:tcPr>
            <w:tcW w:w="176" w:type="pct"/>
            <w:vAlign w:val="bottom"/>
          </w:tcPr>
          <w:p w14:paraId="214BEAE8"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787F8930" w14:textId="77777777" w:rsidR="00F60B69" w:rsidRPr="00BE68AE" w:rsidRDefault="00F60B69" w:rsidP="007A4FE8">
            <w:pPr>
              <w:jc w:val="center"/>
              <w:rPr>
                <w:rFonts w:cs="Times New Roman"/>
                <w:sz w:val="22"/>
              </w:rPr>
            </w:pPr>
          </w:p>
        </w:tc>
        <w:tc>
          <w:tcPr>
            <w:tcW w:w="176" w:type="pct"/>
            <w:vAlign w:val="bottom"/>
          </w:tcPr>
          <w:p w14:paraId="4FBEFE82" w14:textId="77777777" w:rsidR="00F60B69" w:rsidRPr="00BE68AE" w:rsidRDefault="00F60B69" w:rsidP="007A4FE8">
            <w:pPr>
              <w:jc w:val="center"/>
              <w:rPr>
                <w:rFonts w:cs="Times New Roman"/>
                <w:sz w:val="22"/>
              </w:rPr>
            </w:pPr>
            <w:r w:rsidRPr="00BE68AE">
              <w:rPr>
                <w:rFonts w:cs="Times New Roman"/>
                <w:sz w:val="22"/>
              </w:rPr>
              <w:t>13</w:t>
            </w:r>
          </w:p>
        </w:tc>
        <w:tc>
          <w:tcPr>
            <w:tcW w:w="176" w:type="pct"/>
            <w:vAlign w:val="bottom"/>
          </w:tcPr>
          <w:p w14:paraId="6D3695AB" w14:textId="77777777" w:rsidR="00F60B69" w:rsidRPr="00BE68AE" w:rsidRDefault="00F60B69" w:rsidP="007A4FE8">
            <w:pPr>
              <w:jc w:val="center"/>
              <w:rPr>
                <w:rFonts w:cs="Times New Roman"/>
                <w:sz w:val="22"/>
              </w:rPr>
            </w:pPr>
            <w:r w:rsidRPr="00BE68AE">
              <w:rPr>
                <w:rFonts w:cs="Times New Roman"/>
                <w:sz w:val="22"/>
              </w:rPr>
              <w:t>31</w:t>
            </w:r>
          </w:p>
        </w:tc>
        <w:tc>
          <w:tcPr>
            <w:tcW w:w="194" w:type="pct"/>
            <w:vAlign w:val="bottom"/>
          </w:tcPr>
          <w:p w14:paraId="6218B628" w14:textId="77777777" w:rsidR="00F60B69" w:rsidRPr="00BE68AE" w:rsidRDefault="00F60B69" w:rsidP="007A4FE8">
            <w:pPr>
              <w:jc w:val="center"/>
              <w:rPr>
                <w:rFonts w:cs="Times New Roman"/>
                <w:sz w:val="22"/>
              </w:rPr>
            </w:pPr>
            <w:r w:rsidRPr="00BE68AE">
              <w:rPr>
                <w:rFonts w:cs="Times New Roman"/>
                <w:sz w:val="22"/>
              </w:rPr>
              <w:t>10</w:t>
            </w:r>
          </w:p>
        </w:tc>
        <w:tc>
          <w:tcPr>
            <w:tcW w:w="155" w:type="pct"/>
            <w:vAlign w:val="bottom"/>
          </w:tcPr>
          <w:p w14:paraId="6911123E"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4EF5BC13" w14:textId="77777777" w:rsidR="00F60B69" w:rsidRPr="00BE68AE" w:rsidRDefault="00F60B69" w:rsidP="007A4FE8">
            <w:pPr>
              <w:jc w:val="center"/>
              <w:rPr>
                <w:rFonts w:cs="Times New Roman"/>
                <w:sz w:val="22"/>
              </w:rPr>
            </w:pPr>
            <w:r w:rsidRPr="00BE68AE">
              <w:rPr>
                <w:rFonts w:cs="Times New Roman"/>
                <w:sz w:val="22"/>
              </w:rPr>
              <w:t>7</w:t>
            </w:r>
          </w:p>
        </w:tc>
        <w:tc>
          <w:tcPr>
            <w:tcW w:w="176" w:type="pct"/>
            <w:vAlign w:val="bottom"/>
          </w:tcPr>
          <w:p w14:paraId="443CFFCA"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732DCEE2" w14:textId="77777777" w:rsidR="00F60B69" w:rsidRPr="00BE68AE" w:rsidRDefault="00F60B69" w:rsidP="007A4FE8">
            <w:pPr>
              <w:jc w:val="center"/>
              <w:rPr>
                <w:rFonts w:cs="Times New Roman"/>
                <w:sz w:val="22"/>
              </w:rPr>
            </w:pPr>
          </w:p>
        </w:tc>
        <w:tc>
          <w:tcPr>
            <w:tcW w:w="176" w:type="pct"/>
            <w:vAlign w:val="bottom"/>
          </w:tcPr>
          <w:p w14:paraId="3F66A086" w14:textId="77777777" w:rsidR="00F60B69" w:rsidRPr="00BE68AE" w:rsidRDefault="00F60B69" w:rsidP="007A4FE8">
            <w:pPr>
              <w:jc w:val="center"/>
              <w:rPr>
                <w:rFonts w:cs="Times New Roman"/>
                <w:sz w:val="22"/>
              </w:rPr>
            </w:pPr>
            <w:r w:rsidRPr="00BE68AE">
              <w:rPr>
                <w:rFonts w:cs="Times New Roman"/>
                <w:sz w:val="22"/>
              </w:rPr>
              <w:t>3</w:t>
            </w:r>
          </w:p>
        </w:tc>
        <w:tc>
          <w:tcPr>
            <w:tcW w:w="211" w:type="pct"/>
            <w:vAlign w:val="bottom"/>
          </w:tcPr>
          <w:p w14:paraId="5F290839" w14:textId="77777777" w:rsidR="00F60B69" w:rsidRPr="00BE68AE" w:rsidRDefault="00F60B69" w:rsidP="007A4FE8">
            <w:pPr>
              <w:jc w:val="center"/>
              <w:rPr>
                <w:rFonts w:cs="Times New Roman"/>
                <w:sz w:val="22"/>
              </w:rPr>
            </w:pPr>
            <w:r w:rsidRPr="00BE68AE">
              <w:rPr>
                <w:rFonts w:cs="Times New Roman"/>
                <w:sz w:val="22"/>
              </w:rPr>
              <w:t>137</w:t>
            </w:r>
          </w:p>
        </w:tc>
        <w:tc>
          <w:tcPr>
            <w:tcW w:w="155" w:type="pct"/>
            <w:vAlign w:val="bottom"/>
          </w:tcPr>
          <w:p w14:paraId="442D60DA"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1BE9657D" w14:textId="77777777" w:rsidR="00F60B69" w:rsidRPr="00BE68AE" w:rsidRDefault="00F60B69" w:rsidP="007A4FE8">
            <w:pPr>
              <w:jc w:val="center"/>
              <w:rPr>
                <w:rFonts w:cs="Times New Roman"/>
                <w:sz w:val="22"/>
              </w:rPr>
            </w:pPr>
            <w:r w:rsidRPr="00BE68AE">
              <w:rPr>
                <w:rFonts w:cs="Times New Roman"/>
                <w:sz w:val="22"/>
              </w:rPr>
              <w:t>4</w:t>
            </w:r>
          </w:p>
        </w:tc>
        <w:tc>
          <w:tcPr>
            <w:tcW w:w="155" w:type="pct"/>
            <w:vAlign w:val="bottom"/>
          </w:tcPr>
          <w:p w14:paraId="63E71B2A" w14:textId="77777777" w:rsidR="00F60B69" w:rsidRPr="00BE68AE" w:rsidRDefault="00F60B69" w:rsidP="007A4FE8">
            <w:pPr>
              <w:jc w:val="center"/>
              <w:rPr>
                <w:rFonts w:cs="Times New Roman"/>
                <w:sz w:val="22"/>
              </w:rPr>
            </w:pPr>
          </w:p>
        </w:tc>
        <w:tc>
          <w:tcPr>
            <w:tcW w:w="176" w:type="pct"/>
            <w:vAlign w:val="bottom"/>
          </w:tcPr>
          <w:p w14:paraId="340A0149" w14:textId="77777777" w:rsidR="00F60B69" w:rsidRPr="00BE68AE" w:rsidRDefault="00F60B69" w:rsidP="007A4FE8">
            <w:pPr>
              <w:jc w:val="center"/>
              <w:rPr>
                <w:rFonts w:cs="Times New Roman"/>
                <w:sz w:val="22"/>
              </w:rPr>
            </w:pPr>
            <w:r w:rsidRPr="00BE68AE">
              <w:rPr>
                <w:rFonts w:cs="Times New Roman"/>
                <w:sz w:val="22"/>
              </w:rPr>
              <w:t>9</w:t>
            </w:r>
          </w:p>
        </w:tc>
        <w:tc>
          <w:tcPr>
            <w:tcW w:w="176" w:type="pct"/>
            <w:vAlign w:val="bottom"/>
          </w:tcPr>
          <w:p w14:paraId="7EE01DFD" w14:textId="77777777" w:rsidR="00F60B69" w:rsidRPr="00BE68AE" w:rsidRDefault="00F60B69" w:rsidP="007A4FE8">
            <w:pPr>
              <w:jc w:val="center"/>
              <w:rPr>
                <w:rFonts w:cs="Times New Roman"/>
                <w:sz w:val="22"/>
              </w:rPr>
            </w:pPr>
            <w:r w:rsidRPr="00BE68AE">
              <w:rPr>
                <w:rFonts w:cs="Times New Roman"/>
                <w:sz w:val="22"/>
              </w:rPr>
              <w:t>13</w:t>
            </w:r>
          </w:p>
        </w:tc>
      </w:tr>
      <w:tr w:rsidR="00F60B69" w:rsidRPr="00BE68AE" w14:paraId="0E3C7AB4" w14:textId="77777777" w:rsidTr="00B816DC">
        <w:tc>
          <w:tcPr>
            <w:tcW w:w="548" w:type="pct"/>
          </w:tcPr>
          <w:p w14:paraId="4224ABDA" w14:textId="77777777" w:rsidR="00F60B69" w:rsidRPr="00BE68AE" w:rsidRDefault="00F60B69" w:rsidP="007A4FE8">
            <w:pPr>
              <w:jc w:val="both"/>
              <w:rPr>
                <w:rFonts w:cs="Times New Roman"/>
                <w:sz w:val="22"/>
              </w:rPr>
            </w:pPr>
            <w:r w:rsidRPr="00BE68AE">
              <w:rPr>
                <w:rFonts w:eastAsia="Times New Roman" w:cs="Times New Roman"/>
                <w:sz w:val="22"/>
                <w:lang w:eastAsia="es-CR"/>
              </w:rPr>
              <w:t>Pacayas (A)</w:t>
            </w:r>
          </w:p>
        </w:tc>
        <w:tc>
          <w:tcPr>
            <w:tcW w:w="211" w:type="pct"/>
            <w:vAlign w:val="bottom"/>
          </w:tcPr>
          <w:p w14:paraId="13E19700" w14:textId="77777777" w:rsidR="00F60B69" w:rsidRPr="00BE68AE" w:rsidRDefault="00F60B69" w:rsidP="007A4FE8">
            <w:pPr>
              <w:jc w:val="center"/>
              <w:rPr>
                <w:rFonts w:cs="Times New Roman"/>
                <w:sz w:val="22"/>
              </w:rPr>
            </w:pPr>
            <w:r w:rsidRPr="00BE68AE">
              <w:rPr>
                <w:rFonts w:cs="Times New Roman"/>
                <w:sz w:val="22"/>
              </w:rPr>
              <w:t>161</w:t>
            </w:r>
          </w:p>
        </w:tc>
        <w:tc>
          <w:tcPr>
            <w:tcW w:w="211" w:type="pct"/>
            <w:vAlign w:val="bottom"/>
          </w:tcPr>
          <w:p w14:paraId="506A9572" w14:textId="77777777" w:rsidR="00F60B69" w:rsidRPr="00BE68AE" w:rsidRDefault="00F60B69" w:rsidP="007A4FE8">
            <w:pPr>
              <w:jc w:val="center"/>
              <w:rPr>
                <w:rFonts w:cs="Times New Roman"/>
                <w:sz w:val="22"/>
              </w:rPr>
            </w:pPr>
            <w:r w:rsidRPr="00BE68AE">
              <w:rPr>
                <w:rFonts w:cs="Times New Roman"/>
                <w:sz w:val="22"/>
              </w:rPr>
              <w:t>138</w:t>
            </w:r>
          </w:p>
        </w:tc>
        <w:tc>
          <w:tcPr>
            <w:tcW w:w="176" w:type="pct"/>
            <w:vAlign w:val="bottom"/>
          </w:tcPr>
          <w:p w14:paraId="23F403F8" w14:textId="77777777" w:rsidR="00F60B69" w:rsidRPr="00BE68AE" w:rsidRDefault="00F60B69" w:rsidP="007A4FE8">
            <w:pPr>
              <w:jc w:val="center"/>
              <w:rPr>
                <w:rFonts w:cs="Times New Roman"/>
                <w:sz w:val="22"/>
              </w:rPr>
            </w:pPr>
            <w:r w:rsidRPr="00BE68AE">
              <w:rPr>
                <w:rFonts w:cs="Times New Roman"/>
                <w:sz w:val="22"/>
              </w:rPr>
              <w:t>2</w:t>
            </w:r>
          </w:p>
        </w:tc>
        <w:tc>
          <w:tcPr>
            <w:tcW w:w="155" w:type="pct"/>
            <w:vAlign w:val="bottom"/>
          </w:tcPr>
          <w:p w14:paraId="6348F47E" w14:textId="77777777" w:rsidR="00F60B69" w:rsidRPr="00BE68AE" w:rsidRDefault="00F60B69" w:rsidP="007A4FE8">
            <w:pPr>
              <w:jc w:val="center"/>
              <w:rPr>
                <w:rFonts w:cs="Times New Roman"/>
                <w:sz w:val="22"/>
              </w:rPr>
            </w:pPr>
          </w:p>
        </w:tc>
        <w:tc>
          <w:tcPr>
            <w:tcW w:w="155" w:type="pct"/>
            <w:vAlign w:val="bottom"/>
          </w:tcPr>
          <w:p w14:paraId="00D876D8" w14:textId="77777777" w:rsidR="00F60B69" w:rsidRPr="00BE68AE" w:rsidRDefault="00F60B69" w:rsidP="007A4FE8">
            <w:pPr>
              <w:jc w:val="center"/>
              <w:rPr>
                <w:rFonts w:cs="Times New Roman"/>
                <w:sz w:val="22"/>
              </w:rPr>
            </w:pPr>
          </w:p>
        </w:tc>
        <w:tc>
          <w:tcPr>
            <w:tcW w:w="176" w:type="pct"/>
            <w:vAlign w:val="bottom"/>
          </w:tcPr>
          <w:p w14:paraId="0B53F39F" w14:textId="77777777" w:rsidR="00F60B69" w:rsidRPr="00BE68AE" w:rsidRDefault="00F60B69" w:rsidP="007A4FE8">
            <w:pPr>
              <w:jc w:val="center"/>
              <w:rPr>
                <w:rFonts w:cs="Times New Roman"/>
                <w:sz w:val="22"/>
              </w:rPr>
            </w:pPr>
            <w:r w:rsidRPr="00BE68AE">
              <w:rPr>
                <w:rFonts w:cs="Times New Roman"/>
                <w:sz w:val="22"/>
              </w:rPr>
              <w:t>21</w:t>
            </w:r>
          </w:p>
        </w:tc>
        <w:tc>
          <w:tcPr>
            <w:tcW w:w="176" w:type="pct"/>
            <w:vAlign w:val="bottom"/>
          </w:tcPr>
          <w:p w14:paraId="2EB5C240" w14:textId="77777777" w:rsidR="00F60B69" w:rsidRPr="00BE68AE" w:rsidRDefault="00F60B69" w:rsidP="007A4FE8">
            <w:pPr>
              <w:jc w:val="center"/>
              <w:rPr>
                <w:rFonts w:cs="Times New Roman"/>
                <w:sz w:val="22"/>
              </w:rPr>
            </w:pPr>
            <w:r w:rsidRPr="00BE68AE">
              <w:rPr>
                <w:rFonts w:cs="Times New Roman"/>
                <w:sz w:val="22"/>
              </w:rPr>
              <w:t>50</w:t>
            </w:r>
          </w:p>
        </w:tc>
        <w:tc>
          <w:tcPr>
            <w:tcW w:w="211" w:type="pct"/>
            <w:vAlign w:val="bottom"/>
          </w:tcPr>
          <w:p w14:paraId="0DE9EC07" w14:textId="77777777" w:rsidR="00F60B69" w:rsidRPr="00BE68AE" w:rsidRDefault="00F60B69" w:rsidP="007A4FE8">
            <w:pPr>
              <w:jc w:val="center"/>
              <w:rPr>
                <w:rFonts w:cs="Times New Roman"/>
                <w:sz w:val="22"/>
              </w:rPr>
            </w:pPr>
            <w:r w:rsidRPr="00BE68AE">
              <w:rPr>
                <w:rFonts w:cs="Times New Roman"/>
                <w:sz w:val="22"/>
              </w:rPr>
              <w:t>99</w:t>
            </w:r>
          </w:p>
        </w:tc>
        <w:tc>
          <w:tcPr>
            <w:tcW w:w="176" w:type="pct"/>
            <w:vAlign w:val="bottom"/>
          </w:tcPr>
          <w:p w14:paraId="62109169" w14:textId="77777777" w:rsidR="00F60B69" w:rsidRPr="00BE68AE" w:rsidRDefault="00F60B69" w:rsidP="007A4FE8">
            <w:pPr>
              <w:jc w:val="center"/>
              <w:rPr>
                <w:rFonts w:cs="Times New Roman"/>
                <w:sz w:val="22"/>
              </w:rPr>
            </w:pPr>
            <w:r w:rsidRPr="00BE68AE">
              <w:rPr>
                <w:rFonts w:cs="Times New Roman"/>
                <w:sz w:val="22"/>
              </w:rPr>
              <w:t>9</w:t>
            </w:r>
          </w:p>
        </w:tc>
        <w:tc>
          <w:tcPr>
            <w:tcW w:w="176" w:type="pct"/>
            <w:vAlign w:val="bottom"/>
          </w:tcPr>
          <w:p w14:paraId="30A74891"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1C97B58D" w14:textId="77777777" w:rsidR="00F60B69" w:rsidRPr="00BE68AE" w:rsidRDefault="00F60B69" w:rsidP="007A4FE8">
            <w:pPr>
              <w:jc w:val="center"/>
              <w:rPr>
                <w:rFonts w:cs="Times New Roman"/>
                <w:sz w:val="22"/>
              </w:rPr>
            </w:pPr>
            <w:r w:rsidRPr="00BE68AE">
              <w:rPr>
                <w:rFonts w:cs="Times New Roman"/>
                <w:sz w:val="22"/>
              </w:rPr>
              <w:t>2</w:t>
            </w:r>
          </w:p>
        </w:tc>
        <w:tc>
          <w:tcPr>
            <w:tcW w:w="176" w:type="pct"/>
            <w:vAlign w:val="bottom"/>
          </w:tcPr>
          <w:p w14:paraId="031C91A8" w14:textId="77777777" w:rsidR="00F60B69" w:rsidRPr="00BE68AE" w:rsidRDefault="00F60B69" w:rsidP="007A4FE8">
            <w:pPr>
              <w:jc w:val="center"/>
              <w:rPr>
                <w:rFonts w:cs="Times New Roman"/>
                <w:sz w:val="22"/>
              </w:rPr>
            </w:pPr>
            <w:r w:rsidRPr="00BE68AE">
              <w:rPr>
                <w:rFonts w:cs="Times New Roman"/>
                <w:sz w:val="22"/>
              </w:rPr>
              <w:t>34</w:t>
            </w:r>
          </w:p>
        </w:tc>
        <w:tc>
          <w:tcPr>
            <w:tcW w:w="176" w:type="pct"/>
            <w:vAlign w:val="bottom"/>
          </w:tcPr>
          <w:p w14:paraId="7A0C8CAE" w14:textId="77777777" w:rsidR="00F60B69" w:rsidRPr="00BE68AE" w:rsidRDefault="00F60B69" w:rsidP="007A4FE8">
            <w:pPr>
              <w:jc w:val="center"/>
              <w:rPr>
                <w:rFonts w:cs="Times New Roman"/>
                <w:sz w:val="22"/>
              </w:rPr>
            </w:pPr>
            <w:r w:rsidRPr="00BE68AE">
              <w:rPr>
                <w:rFonts w:cs="Times New Roman"/>
                <w:sz w:val="22"/>
              </w:rPr>
              <w:t>44</w:t>
            </w:r>
          </w:p>
        </w:tc>
        <w:tc>
          <w:tcPr>
            <w:tcW w:w="194" w:type="pct"/>
            <w:vAlign w:val="bottom"/>
          </w:tcPr>
          <w:p w14:paraId="4E7DE753" w14:textId="77777777" w:rsidR="00F60B69" w:rsidRPr="00BE68AE" w:rsidRDefault="00F60B69" w:rsidP="007A4FE8">
            <w:pPr>
              <w:jc w:val="center"/>
              <w:rPr>
                <w:rFonts w:cs="Times New Roman"/>
                <w:sz w:val="22"/>
              </w:rPr>
            </w:pPr>
            <w:r w:rsidRPr="00BE68AE">
              <w:rPr>
                <w:rFonts w:cs="Times New Roman"/>
                <w:sz w:val="22"/>
              </w:rPr>
              <w:t>22</w:t>
            </w:r>
          </w:p>
        </w:tc>
        <w:tc>
          <w:tcPr>
            <w:tcW w:w="155" w:type="pct"/>
            <w:vAlign w:val="bottom"/>
          </w:tcPr>
          <w:p w14:paraId="4F202C26" w14:textId="77777777" w:rsidR="00F60B69" w:rsidRPr="00BE68AE" w:rsidRDefault="00F60B69" w:rsidP="007A4FE8">
            <w:pPr>
              <w:jc w:val="center"/>
              <w:rPr>
                <w:rFonts w:cs="Times New Roman"/>
                <w:sz w:val="22"/>
              </w:rPr>
            </w:pPr>
            <w:r w:rsidRPr="00BE68AE">
              <w:rPr>
                <w:rFonts w:cs="Times New Roman"/>
                <w:sz w:val="22"/>
              </w:rPr>
              <w:t>5</w:t>
            </w:r>
          </w:p>
        </w:tc>
        <w:tc>
          <w:tcPr>
            <w:tcW w:w="176" w:type="pct"/>
            <w:vAlign w:val="bottom"/>
          </w:tcPr>
          <w:p w14:paraId="204A9535" w14:textId="77777777" w:rsidR="00F60B69" w:rsidRPr="00BE68AE" w:rsidRDefault="00F60B69" w:rsidP="007A4FE8">
            <w:pPr>
              <w:jc w:val="center"/>
              <w:rPr>
                <w:rFonts w:cs="Times New Roman"/>
                <w:sz w:val="22"/>
              </w:rPr>
            </w:pPr>
            <w:r w:rsidRPr="00BE68AE">
              <w:rPr>
                <w:rFonts w:cs="Times New Roman"/>
                <w:sz w:val="22"/>
              </w:rPr>
              <w:t>11</w:t>
            </w:r>
          </w:p>
        </w:tc>
        <w:tc>
          <w:tcPr>
            <w:tcW w:w="176" w:type="pct"/>
            <w:vAlign w:val="bottom"/>
          </w:tcPr>
          <w:p w14:paraId="684ADF34" w14:textId="77777777" w:rsidR="00F60B69" w:rsidRPr="00BE68AE" w:rsidRDefault="00F60B69" w:rsidP="007A4FE8">
            <w:pPr>
              <w:jc w:val="center"/>
              <w:rPr>
                <w:rFonts w:cs="Times New Roman"/>
                <w:sz w:val="22"/>
              </w:rPr>
            </w:pPr>
            <w:r w:rsidRPr="00BE68AE">
              <w:rPr>
                <w:rFonts w:cs="Times New Roman"/>
                <w:sz w:val="22"/>
              </w:rPr>
              <w:t>2</w:t>
            </w:r>
          </w:p>
        </w:tc>
        <w:tc>
          <w:tcPr>
            <w:tcW w:w="176" w:type="pct"/>
            <w:vAlign w:val="bottom"/>
          </w:tcPr>
          <w:p w14:paraId="1B61BCA3"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0F8E7E87" w14:textId="77777777" w:rsidR="00F60B69" w:rsidRPr="00BE68AE" w:rsidRDefault="00F60B69" w:rsidP="007A4FE8">
            <w:pPr>
              <w:jc w:val="center"/>
              <w:rPr>
                <w:rFonts w:cs="Times New Roman"/>
                <w:sz w:val="22"/>
              </w:rPr>
            </w:pPr>
            <w:r w:rsidRPr="00BE68AE">
              <w:rPr>
                <w:rFonts w:cs="Times New Roman"/>
                <w:sz w:val="22"/>
              </w:rPr>
              <w:t>13</w:t>
            </w:r>
          </w:p>
        </w:tc>
        <w:tc>
          <w:tcPr>
            <w:tcW w:w="211" w:type="pct"/>
            <w:vAlign w:val="bottom"/>
          </w:tcPr>
          <w:p w14:paraId="6898B531" w14:textId="77777777" w:rsidR="00F60B69" w:rsidRPr="00BE68AE" w:rsidRDefault="00F60B69" w:rsidP="007A4FE8">
            <w:pPr>
              <w:jc w:val="center"/>
              <w:rPr>
                <w:rFonts w:cs="Times New Roman"/>
                <w:sz w:val="22"/>
              </w:rPr>
            </w:pPr>
            <w:r w:rsidRPr="00BE68AE">
              <w:rPr>
                <w:rFonts w:cs="Times New Roman"/>
                <w:sz w:val="22"/>
              </w:rPr>
              <w:t>145</w:t>
            </w:r>
          </w:p>
        </w:tc>
        <w:tc>
          <w:tcPr>
            <w:tcW w:w="155" w:type="pct"/>
            <w:vAlign w:val="bottom"/>
          </w:tcPr>
          <w:p w14:paraId="456C02D3" w14:textId="77777777" w:rsidR="00F60B69" w:rsidRPr="00BE68AE" w:rsidRDefault="00F60B69" w:rsidP="007A4FE8">
            <w:pPr>
              <w:jc w:val="center"/>
              <w:rPr>
                <w:rFonts w:cs="Times New Roman"/>
                <w:sz w:val="22"/>
              </w:rPr>
            </w:pPr>
          </w:p>
        </w:tc>
        <w:tc>
          <w:tcPr>
            <w:tcW w:w="176" w:type="pct"/>
            <w:vAlign w:val="bottom"/>
          </w:tcPr>
          <w:p w14:paraId="5BB53350" w14:textId="77777777" w:rsidR="00F60B69" w:rsidRPr="00BE68AE" w:rsidRDefault="00F60B69" w:rsidP="007A4FE8">
            <w:pPr>
              <w:jc w:val="center"/>
              <w:rPr>
                <w:rFonts w:cs="Times New Roman"/>
                <w:sz w:val="22"/>
              </w:rPr>
            </w:pPr>
            <w:r w:rsidRPr="00BE68AE">
              <w:rPr>
                <w:rFonts w:cs="Times New Roman"/>
                <w:sz w:val="22"/>
              </w:rPr>
              <w:t>7</w:t>
            </w:r>
          </w:p>
        </w:tc>
        <w:tc>
          <w:tcPr>
            <w:tcW w:w="155" w:type="pct"/>
            <w:vAlign w:val="bottom"/>
          </w:tcPr>
          <w:p w14:paraId="517E7C06" w14:textId="77777777" w:rsidR="00F60B69" w:rsidRPr="00BE68AE" w:rsidRDefault="00F60B69" w:rsidP="007A4FE8">
            <w:pPr>
              <w:jc w:val="center"/>
              <w:rPr>
                <w:rFonts w:cs="Times New Roman"/>
                <w:sz w:val="22"/>
              </w:rPr>
            </w:pPr>
            <w:r w:rsidRPr="00BE68AE">
              <w:rPr>
                <w:rFonts w:cs="Times New Roman"/>
                <w:sz w:val="22"/>
              </w:rPr>
              <w:t>3</w:t>
            </w:r>
          </w:p>
        </w:tc>
        <w:tc>
          <w:tcPr>
            <w:tcW w:w="176" w:type="pct"/>
            <w:vAlign w:val="bottom"/>
          </w:tcPr>
          <w:p w14:paraId="7C68C499" w14:textId="77777777" w:rsidR="00F60B69" w:rsidRPr="00BE68AE" w:rsidRDefault="00F60B69" w:rsidP="007A4FE8">
            <w:pPr>
              <w:jc w:val="center"/>
              <w:rPr>
                <w:rFonts w:cs="Times New Roman"/>
                <w:sz w:val="22"/>
              </w:rPr>
            </w:pPr>
            <w:r w:rsidRPr="00BE68AE">
              <w:rPr>
                <w:rFonts w:cs="Times New Roman"/>
                <w:sz w:val="22"/>
              </w:rPr>
              <w:t>20</w:t>
            </w:r>
          </w:p>
        </w:tc>
        <w:tc>
          <w:tcPr>
            <w:tcW w:w="176" w:type="pct"/>
            <w:vAlign w:val="bottom"/>
          </w:tcPr>
          <w:p w14:paraId="5A4B1A4A" w14:textId="77777777" w:rsidR="00F60B69" w:rsidRPr="00BE68AE" w:rsidRDefault="00F60B69" w:rsidP="007A4FE8">
            <w:pPr>
              <w:jc w:val="center"/>
              <w:rPr>
                <w:rFonts w:cs="Times New Roman"/>
                <w:sz w:val="22"/>
              </w:rPr>
            </w:pPr>
            <w:r w:rsidRPr="00BE68AE">
              <w:rPr>
                <w:rFonts w:cs="Times New Roman"/>
                <w:sz w:val="22"/>
              </w:rPr>
              <w:t>34</w:t>
            </w:r>
          </w:p>
        </w:tc>
      </w:tr>
      <w:tr w:rsidR="00F60B69" w:rsidRPr="00BE68AE" w14:paraId="336C25B1" w14:textId="77777777" w:rsidTr="00B816DC">
        <w:tc>
          <w:tcPr>
            <w:tcW w:w="548" w:type="pct"/>
          </w:tcPr>
          <w:p w14:paraId="413BFB7F" w14:textId="77777777" w:rsidR="00F60B69" w:rsidRPr="00BE68AE" w:rsidRDefault="00F60B69" w:rsidP="007A4FE8">
            <w:pPr>
              <w:jc w:val="both"/>
              <w:rPr>
                <w:rFonts w:cs="Times New Roman"/>
                <w:sz w:val="22"/>
              </w:rPr>
            </w:pPr>
            <w:r w:rsidRPr="00BE68AE">
              <w:rPr>
                <w:rFonts w:eastAsia="Times New Roman" w:cs="Times New Roman"/>
                <w:sz w:val="22"/>
                <w:lang w:eastAsia="es-CR"/>
              </w:rPr>
              <w:t>Pavones (T)</w:t>
            </w:r>
          </w:p>
        </w:tc>
        <w:tc>
          <w:tcPr>
            <w:tcW w:w="211" w:type="pct"/>
            <w:vAlign w:val="bottom"/>
          </w:tcPr>
          <w:p w14:paraId="352C0224" w14:textId="77777777" w:rsidR="00F60B69" w:rsidRPr="00BE68AE" w:rsidRDefault="00F60B69" w:rsidP="007A4FE8">
            <w:pPr>
              <w:jc w:val="center"/>
              <w:rPr>
                <w:rFonts w:cs="Times New Roman"/>
                <w:sz w:val="22"/>
              </w:rPr>
            </w:pPr>
            <w:r w:rsidRPr="00BE68AE">
              <w:rPr>
                <w:rFonts w:cs="Times New Roman"/>
                <w:sz w:val="22"/>
              </w:rPr>
              <w:t>27</w:t>
            </w:r>
          </w:p>
        </w:tc>
        <w:tc>
          <w:tcPr>
            <w:tcW w:w="211" w:type="pct"/>
            <w:vAlign w:val="bottom"/>
          </w:tcPr>
          <w:p w14:paraId="745AF219" w14:textId="77777777" w:rsidR="00F60B69" w:rsidRPr="00BE68AE" w:rsidRDefault="00F60B69" w:rsidP="007A4FE8">
            <w:pPr>
              <w:jc w:val="center"/>
              <w:rPr>
                <w:rFonts w:cs="Times New Roman"/>
                <w:sz w:val="22"/>
              </w:rPr>
            </w:pPr>
            <w:r w:rsidRPr="00BE68AE">
              <w:rPr>
                <w:rFonts w:cs="Times New Roman"/>
                <w:sz w:val="22"/>
              </w:rPr>
              <w:t>2</w:t>
            </w:r>
          </w:p>
        </w:tc>
        <w:tc>
          <w:tcPr>
            <w:tcW w:w="176" w:type="pct"/>
            <w:vAlign w:val="bottom"/>
          </w:tcPr>
          <w:p w14:paraId="60068CCF" w14:textId="77777777" w:rsidR="00F60B69" w:rsidRPr="00BE68AE" w:rsidRDefault="00F60B69" w:rsidP="007A4FE8">
            <w:pPr>
              <w:jc w:val="center"/>
              <w:rPr>
                <w:rFonts w:cs="Times New Roman"/>
                <w:sz w:val="22"/>
              </w:rPr>
            </w:pPr>
            <w:r w:rsidRPr="00BE68AE">
              <w:rPr>
                <w:rFonts w:cs="Times New Roman"/>
                <w:sz w:val="22"/>
              </w:rPr>
              <w:t>22</w:t>
            </w:r>
          </w:p>
        </w:tc>
        <w:tc>
          <w:tcPr>
            <w:tcW w:w="155" w:type="pct"/>
            <w:vAlign w:val="bottom"/>
          </w:tcPr>
          <w:p w14:paraId="7654D868" w14:textId="77777777" w:rsidR="00F60B69" w:rsidRPr="00BE68AE" w:rsidRDefault="00F60B69" w:rsidP="007A4FE8">
            <w:pPr>
              <w:jc w:val="center"/>
              <w:rPr>
                <w:rFonts w:cs="Times New Roman"/>
                <w:sz w:val="22"/>
              </w:rPr>
            </w:pPr>
          </w:p>
        </w:tc>
        <w:tc>
          <w:tcPr>
            <w:tcW w:w="155" w:type="pct"/>
            <w:vAlign w:val="bottom"/>
          </w:tcPr>
          <w:p w14:paraId="2FFF0D9C"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66B9EF03" w14:textId="77777777" w:rsidR="00F60B69" w:rsidRPr="00BE68AE" w:rsidRDefault="00F60B69" w:rsidP="007A4FE8">
            <w:pPr>
              <w:jc w:val="center"/>
              <w:rPr>
                <w:rFonts w:cs="Times New Roman"/>
                <w:sz w:val="22"/>
              </w:rPr>
            </w:pPr>
            <w:r w:rsidRPr="00BE68AE">
              <w:rPr>
                <w:rFonts w:cs="Times New Roman"/>
                <w:sz w:val="22"/>
              </w:rPr>
              <w:t>2</w:t>
            </w:r>
          </w:p>
        </w:tc>
        <w:tc>
          <w:tcPr>
            <w:tcW w:w="176" w:type="pct"/>
            <w:vAlign w:val="bottom"/>
          </w:tcPr>
          <w:p w14:paraId="06134206" w14:textId="77777777" w:rsidR="00F60B69" w:rsidRPr="00BE68AE" w:rsidRDefault="00F60B69" w:rsidP="007A4FE8">
            <w:pPr>
              <w:jc w:val="center"/>
              <w:rPr>
                <w:rFonts w:cs="Times New Roman"/>
                <w:sz w:val="22"/>
              </w:rPr>
            </w:pPr>
            <w:r w:rsidRPr="00BE68AE">
              <w:rPr>
                <w:rFonts w:cs="Times New Roman"/>
                <w:sz w:val="22"/>
              </w:rPr>
              <w:t>11</w:t>
            </w:r>
          </w:p>
        </w:tc>
        <w:tc>
          <w:tcPr>
            <w:tcW w:w="211" w:type="pct"/>
            <w:vAlign w:val="bottom"/>
          </w:tcPr>
          <w:p w14:paraId="2BD8A44B" w14:textId="77777777" w:rsidR="00F60B69" w:rsidRPr="00BE68AE" w:rsidRDefault="00F60B69" w:rsidP="007A4FE8">
            <w:pPr>
              <w:jc w:val="center"/>
              <w:rPr>
                <w:rFonts w:cs="Times New Roman"/>
                <w:sz w:val="22"/>
              </w:rPr>
            </w:pPr>
            <w:r w:rsidRPr="00BE68AE">
              <w:rPr>
                <w:rFonts w:cs="Times New Roman"/>
                <w:sz w:val="22"/>
              </w:rPr>
              <w:t>14</w:t>
            </w:r>
          </w:p>
        </w:tc>
        <w:tc>
          <w:tcPr>
            <w:tcW w:w="176" w:type="pct"/>
            <w:vAlign w:val="bottom"/>
          </w:tcPr>
          <w:p w14:paraId="312388FE" w14:textId="77777777" w:rsidR="00F60B69" w:rsidRPr="00BE68AE" w:rsidRDefault="00F60B69" w:rsidP="007A4FE8">
            <w:pPr>
              <w:jc w:val="center"/>
              <w:rPr>
                <w:rFonts w:cs="Times New Roman"/>
                <w:sz w:val="22"/>
              </w:rPr>
            </w:pPr>
            <w:r w:rsidRPr="00BE68AE">
              <w:rPr>
                <w:rFonts w:cs="Times New Roman"/>
                <w:sz w:val="22"/>
              </w:rPr>
              <w:t>2</w:t>
            </w:r>
          </w:p>
        </w:tc>
        <w:tc>
          <w:tcPr>
            <w:tcW w:w="176" w:type="pct"/>
            <w:vAlign w:val="bottom"/>
          </w:tcPr>
          <w:p w14:paraId="3B4B5782" w14:textId="77777777" w:rsidR="00F60B69" w:rsidRPr="00BE68AE" w:rsidRDefault="00F60B69" w:rsidP="007A4FE8">
            <w:pPr>
              <w:jc w:val="center"/>
              <w:rPr>
                <w:rFonts w:cs="Times New Roman"/>
                <w:sz w:val="22"/>
              </w:rPr>
            </w:pPr>
          </w:p>
        </w:tc>
        <w:tc>
          <w:tcPr>
            <w:tcW w:w="176" w:type="pct"/>
            <w:vAlign w:val="bottom"/>
          </w:tcPr>
          <w:p w14:paraId="5468EAE5" w14:textId="77777777" w:rsidR="00F60B69" w:rsidRPr="00BE68AE" w:rsidRDefault="00F60B69" w:rsidP="007A4FE8">
            <w:pPr>
              <w:jc w:val="center"/>
              <w:rPr>
                <w:rFonts w:cs="Times New Roman"/>
                <w:sz w:val="22"/>
              </w:rPr>
            </w:pPr>
          </w:p>
        </w:tc>
        <w:tc>
          <w:tcPr>
            <w:tcW w:w="176" w:type="pct"/>
            <w:vAlign w:val="bottom"/>
          </w:tcPr>
          <w:p w14:paraId="580836C5" w14:textId="77777777" w:rsidR="00F60B69" w:rsidRPr="00BE68AE" w:rsidRDefault="00F60B69" w:rsidP="007A4FE8">
            <w:pPr>
              <w:jc w:val="center"/>
              <w:rPr>
                <w:rFonts w:cs="Times New Roman"/>
                <w:sz w:val="22"/>
              </w:rPr>
            </w:pPr>
            <w:r w:rsidRPr="00BE68AE">
              <w:rPr>
                <w:rFonts w:cs="Times New Roman"/>
                <w:sz w:val="22"/>
              </w:rPr>
              <w:t>7</w:t>
            </w:r>
          </w:p>
        </w:tc>
        <w:tc>
          <w:tcPr>
            <w:tcW w:w="176" w:type="pct"/>
            <w:vAlign w:val="bottom"/>
          </w:tcPr>
          <w:p w14:paraId="4E2A0CC4" w14:textId="77777777" w:rsidR="00F60B69" w:rsidRPr="00BE68AE" w:rsidRDefault="00F60B69" w:rsidP="007A4FE8">
            <w:pPr>
              <w:jc w:val="center"/>
              <w:rPr>
                <w:rFonts w:cs="Times New Roman"/>
                <w:sz w:val="22"/>
              </w:rPr>
            </w:pPr>
            <w:r w:rsidRPr="00BE68AE">
              <w:rPr>
                <w:rFonts w:cs="Times New Roman"/>
                <w:sz w:val="22"/>
              </w:rPr>
              <w:t>2</w:t>
            </w:r>
          </w:p>
        </w:tc>
        <w:tc>
          <w:tcPr>
            <w:tcW w:w="194" w:type="pct"/>
            <w:vAlign w:val="bottom"/>
          </w:tcPr>
          <w:p w14:paraId="3E3895F1" w14:textId="77777777" w:rsidR="00F60B69" w:rsidRPr="00BE68AE" w:rsidRDefault="00F60B69" w:rsidP="007A4FE8">
            <w:pPr>
              <w:jc w:val="center"/>
              <w:rPr>
                <w:rFonts w:cs="Times New Roman"/>
                <w:sz w:val="22"/>
              </w:rPr>
            </w:pPr>
            <w:r w:rsidRPr="00BE68AE">
              <w:rPr>
                <w:rFonts w:cs="Times New Roman"/>
                <w:sz w:val="22"/>
              </w:rPr>
              <w:t>1</w:t>
            </w:r>
          </w:p>
        </w:tc>
        <w:tc>
          <w:tcPr>
            <w:tcW w:w="155" w:type="pct"/>
            <w:vAlign w:val="bottom"/>
          </w:tcPr>
          <w:p w14:paraId="1BDD171E" w14:textId="77777777" w:rsidR="00F60B69" w:rsidRPr="00BE68AE" w:rsidRDefault="00F60B69" w:rsidP="007A4FE8">
            <w:pPr>
              <w:jc w:val="center"/>
              <w:rPr>
                <w:rFonts w:cs="Times New Roman"/>
                <w:sz w:val="22"/>
              </w:rPr>
            </w:pPr>
          </w:p>
        </w:tc>
        <w:tc>
          <w:tcPr>
            <w:tcW w:w="176" w:type="pct"/>
            <w:vAlign w:val="bottom"/>
          </w:tcPr>
          <w:p w14:paraId="0BCCA834" w14:textId="77777777" w:rsidR="00F60B69" w:rsidRPr="00BE68AE" w:rsidRDefault="00F60B69" w:rsidP="007A4FE8">
            <w:pPr>
              <w:jc w:val="center"/>
              <w:rPr>
                <w:rFonts w:cs="Times New Roman"/>
                <w:sz w:val="22"/>
              </w:rPr>
            </w:pPr>
            <w:r w:rsidRPr="00BE68AE">
              <w:rPr>
                <w:rFonts w:cs="Times New Roman"/>
                <w:sz w:val="22"/>
              </w:rPr>
              <w:t>6</w:t>
            </w:r>
          </w:p>
        </w:tc>
        <w:tc>
          <w:tcPr>
            <w:tcW w:w="176" w:type="pct"/>
            <w:vAlign w:val="bottom"/>
          </w:tcPr>
          <w:p w14:paraId="455D7F40" w14:textId="77777777" w:rsidR="00F60B69" w:rsidRPr="00BE68AE" w:rsidRDefault="00F60B69" w:rsidP="007A4FE8">
            <w:pPr>
              <w:jc w:val="center"/>
              <w:rPr>
                <w:rFonts w:cs="Times New Roman"/>
                <w:sz w:val="22"/>
              </w:rPr>
            </w:pPr>
          </w:p>
        </w:tc>
        <w:tc>
          <w:tcPr>
            <w:tcW w:w="176" w:type="pct"/>
            <w:vAlign w:val="bottom"/>
          </w:tcPr>
          <w:p w14:paraId="2EE7821C" w14:textId="77777777" w:rsidR="00F60B69" w:rsidRPr="00BE68AE" w:rsidRDefault="00F60B69" w:rsidP="007A4FE8">
            <w:pPr>
              <w:jc w:val="center"/>
              <w:rPr>
                <w:rFonts w:cs="Times New Roman"/>
                <w:sz w:val="22"/>
              </w:rPr>
            </w:pPr>
          </w:p>
        </w:tc>
        <w:tc>
          <w:tcPr>
            <w:tcW w:w="176" w:type="pct"/>
            <w:vAlign w:val="bottom"/>
          </w:tcPr>
          <w:p w14:paraId="02772712" w14:textId="77777777" w:rsidR="00F60B69" w:rsidRPr="00BE68AE" w:rsidRDefault="00F60B69" w:rsidP="007A4FE8">
            <w:pPr>
              <w:jc w:val="center"/>
              <w:rPr>
                <w:rFonts w:cs="Times New Roman"/>
                <w:sz w:val="22"/>
              </w:rPr>
            </w:pPr>
            <w:r w:rsidRPr="00BE68AE">
              <w:rPr>
                <w:rFonts w:cs="Times New Roman"/>
                <w:sz w:val="22"/>
              </w:rPr>
              <w:t>2</w:t>
            </w:r>
          </w:p>
        </w:tc>
        <w:tc>
          <w:tcPr>
            <w:tcW w:w="211" w:type="pct"/>
            <w:vAlign w:val="bottom"/>
          </w:tcPr>
          <w:p w14:paraId="3022882D" w14:textId="77777777" w:rsidR="00F60B69" w:rsidRPr="00BE68AE" w:rsidRDefault="00F60B69" w:rsidP="007A4FE8">
            <w:pPr>
              <w:jc w:val="center"/>
              <w:rPr>
                <w:rFonts w:cs="Times New Roman"/>
                <w:sz w:val="22"/>
              </w:rPr>
            </w:pPr>
            <w:r w:rsidRPr="00BE68AE">
              <w:rPr>
                <w:rFonts w:cs="Times New Roman"/>
                <w:sz w:val="22"/>
              </w:rPr>
              <w:t>25</w:t>
            </w:r>
          </w:p>
        </w:tc>
        <w:tc>
          <w:tcPr>
            <w:tcW w:w="155" w:type="pct"/>
            <w:vAlign w:val="bottom"/>
          </w:tcPr>
          <w:p w14:paraId="37CEE763" w14:textId="77777777" w:rsidR="00F60B69" w:rsidRPr="00BE68AE" w:rsidRDefault="00F60B69" w:rsidP="007A4FE8">
            <w:pPr>
              <w:jc w:val="center"/>
              <w:rPr>
                <w:rFonts w:cs="Times New Roman"/>
                <w:sz w:val="22"/>
              </w:rPr>
            </w:pPr>
          </w:p>
        </w:tc>
        <w:tc>
          <w:tcPr>
            <w:tcW w:w="176" w:type="pct"/>
            <w:vAlign w:val="bottom"/>
          </w:tcPr>
          <w:p w14:paraId="178FA4EC" w14:textId="77777777" w:rsidR="00F60B69" w:rsidRPr="00BE68AE" w:rsidRDefault="00F60B69" w:rsidP="007A4FE8">
            <w:pPr>
              <w:jc w:val="center"/>
              <w:rPr>
                <w:rFonts w:cs="Times New Roman"/>
                <w:sz w:val="22"/>
              </w:rPr>
            </w:pPr>
            <w:r w:rsidRPr="00BE68AE">
              <w:rPr>
                <w:rFonts w:cs="Times New Roman"/>
                <w:sz w:val="22"/>
              </w:rPr>
              <w:t>2</w:t>
            </w:r>
          </w:p>
        </w:tc>
        <w:tc>
          <w:tcPr>
            <w:tcW w:w="155" w:type="pct"/>
            <w:vAlign w:val="bottom"/>
          </w:tcPr>
          <w:p w14:paraId="7CB6B10C"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07B305DC" w14:textId="77777777" w:rsidR="00F60B69" w:rsidRPr="00BE68AE" w:rsidRDefault="00F60B69" w:rsidP="007A4FE8">
            <w:pPr>
              <w:jc w:val="center"/>
              <w:rPr>
                <w:rFonts w:cs="Times New Roman"/>
                <w:sz w:val="22"/>
              </w:rPr>
            </w:pPr>
          </w:p>
        </w:tc>
        <w:tc>
          <w:tcPr>
            <w:tcW w:w="176" w:type="pct"/>
            <w:vAlign w:val="bottom"/>
          </w:tcPr>
          <w:p w14:paraId="79F47CFE" w14:textId="77777777" w:rsidR="00F60B69" w:rsidRPr="00BE68AE" w:rsidRDefault="00F60B69" w:rsidP="007A4FE8">
            <w:pPr>
              <w:jc w:val="center"/>
              <w:rPr>
                <w:rFonts w:cs="Times New Roman"/>
                <w:sz w:val="22"/>
              </w:rPr>
            </w:pPr>
            <w:r w:rsidRPr="00BE68AE">
              <w:rPr>
                <w:rFonts w:cs="Times New Roman"/>
                <w:sz w:val="22"/>
              </w:rPr>
              <w:t>1</w:t>
            </w:r>
          </w:p>
        </w:tc>
      </w:tr>
      <w:tr w:rsidR="00F60B69" w:rsidRPr="00BE68AE" w14:paraId="2D2A66B1" w14:textId="77777777" w:rsidTr="00B816DC">
        <w:tc>
          <w:tcPr>
            <w:tcW w:w="548" w:type="pct"/>
          </w:tcPr>
          <w:p w14:paraId="56EED63C" w14:textId="77777777" w:rsidR="00F60B69" w:rsidRPr="00BE68AE" w:rsidRDefault="00F60B69" w:rsidP="007A4FE8">
            <w:pPr>
              <w:jc w:val="both"/>
              <w:rPr>
                <w:rFonts w:cs="Times New Roman"/>
                <w:sz w:val="22"/>
              </w:rPr>
            </w:pPr>
            <w:r w:rsidRPr="00BE68AE">
              <w:rPr>
                <w:rFonts w:eastAsia="Times New Roman" w:cs="Times New Roman"/>
                <w:sz w:val="22"/>
                <w:lang w:eastAsia="es-CR"/>
              </w:rPr>
              <w:t>Pejibaye (J)</w:t>
            </w:r>
          </w:p>
        </w:tc>
        <w:tc>
          <w:tcPr>
            <w:tcW w:w="211" w:type="pct"/>
            <w:vAlign w:val="bottom"/>
          </w:tcPr>
          <w:p w14:paraId="239D9AF5" w14:textId="77777777" w:rsidR="00F60B69" w:rsidRPr="00BE68AE" w:rsidRDefault="00F60B69" w:rsidP="007A4FE8">
            <w:pPr>
              <w:jc w:val="center"/>
              <w:rPr>
                <w:rFonts w:cs="Times New Roman"/>
                <w:sz w:val="22"/>
              </w:rPr>
            </w:pPr>
            <w:r w:rsidRPr="00BE68AE">
              <w:rPr>
                <w:rFonts w:cs="Times New Roman"/>
                <w:sz w:val="22"/>
              </w:rPr>
              <w:t>122</w:t>
            </w:r>
          </w:p>
        </w:tc>
        <w:tc>
          <w:tcPr>
            <w:tcW w:w="211" w:type="pct"/>
            <w:vAlign w:val="bottom"/>
          </w:tcPr>
          <w:p w14:paraId="704E76B4" w14:textId="77777777" w:rsidR="00F60B69" w:rsidRPr="00BE68AE" w:rsidRDefault="00F60B69" w:rsidP="007A4FE8">
            <w:pPr>
              <w:jc w:val="center"/>
              <w:rPr>
                <w:rFonts w:cs="Times New Roman"/>
                <w:sz w:val="22"/>
              </w:rPr>
            </w:pPr>
            <w:r w:rsidRPr="00BE68AE">
              <w:rPr>
                <w:rFonts w:cs="Times New Roman"/>
                <w:sz w:val="22"/>
              </w:rPr>
              <w:t>4</w:t>
            </w:r>
          </w:p>
        </w:tc>
        <w:tc>
          <w:tcPr>
            <w:tcW w:w="176" w:type="pct"/>
            <w:vAlign w:val="bottom"/>
          </w:tcPr>
          <w:p w14:paraId="0D2CBF18" w14:textId="77777777" w:rsidR="00F60B69" w:rsidRPr="00BE68AE" w:rsidRDefault="00F60B69" w:rsidP="007A4FE8">
            <w:pPr>
              <w:jc w:val="center"/>
              <w:rPr>
                <w:rFonts w:cs="Times New Roman"/>
                <w:sz w:val="22"/>
              </w:rPr>
            </w:pPr>
            <w:r w:rsidRPr="00BE68AE">
              <w:rPr>
                <w:rFonts w:cs="Times New Roman"/>
                <w:sz w:val="22"/>
              </w:rPr>
              <w:t>108</w:t>
            </w:r>
          </w:p>
        </w:tc>
        <w:tc>
          <w:tcPr>
            <w:tcW w:w="155" w:type="pct"/>
            <w:vAlign w:val="bottom"/>
          </w:tcPr>
          <w:p w14:paraId="08ABBE2F" w14:textId="77777777" w:rsidR="00F60B69" w:rsidRPr="00BE68AE" w:rsidRDefault="00F60B69" w:rsidP="007A4FE8">
            <w:pPr>
              <w:jc w:val="center"/>
              <w:rPr>
                <w:rFonts w:cs="Times New Roman"/>
                <w:sz w:val="22"/>
              </w:rPr>
            </w:pPr>
            <w:r w:rsidRPr="00BE68AE">
              <w:rPr>
                <w:rFonts w:cs="Times New Roman"/>
                <w:sz w:val="22"/>
              </w:rPr>
              <w:t>1</w:t>
            </w:r>
          </w:p>
        </w:tc>
        <w:tc>
          <w:tcPr>
            <w:tcW w:w="155" w:type="pct"/>
            <w:vAlign w:val="bottom"/>
          </w:tcPr>
          <w:p w14:paraId="3FABC8F9"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3C49BF44" w14:textId="77777777" w:rsidR="00F60B69" w:rsidRPr="00BE68AE" w:rsidRDefault="00F60B69" w:rsidP="007A4FE8">
            <w:pPr>
              <w:jc w:val="center"/>
              <w:rPr>
                <w:rFonts w:cs="Times New Roman"/>
                <w:sz w:val="22"/>
              </w:rPr>
            </w:pPr>
            <w:r w:rsidRPr="00BE68AE">
              <w:rPr>
                <w:rFonts w:cs="Times New Roman"/>
                <w:sz w:val="22"/>
              </w:rPr>
              <w:t>8</w:t>
            </w:r>
          </w:p>
        </w:tc>
        <w:tc>
          <w:tcPr>
            <w:tcW w:w="176" w:type="pct"/>
            <w:vAlign w:val="bottom"/>
          </w:tcPr>
          <w:p w14:paraId="743B6021" w14:textId="77777777" w:rsidR="00F60B69" w:rsidRPr="00BE68AE" w:rsidRDefault="00F60B69" w:rsidP="007A4FE8">
            <w:pPr>
              <w:jc w:val="center"/>
              <w:rPr>
                <w:rFonts w:cs="Times New Roman"/>
                <w:sz w:val="22"/>
              </w:rPr>
            </w:pPr>
            <w:r w:rsidRPr="00BE68AE">
              <w:rPr>
                <w:rFonts w:cs="Times New Roman"/>
                <w:sz w:val="22"/>
              </w:rPr>
              <w:t>51</w:t>
            </w:r>
          </w:p>
        </w:tc>
        <w:tc>
          <w:tcPr>
            <w:tcW w:w="211" w:type="pct"/>
            <w:vAlign w:val="bottom"/>
          </w:tcPr>
          <w:p w14:paraId="24E3B652" w14:textId="77777777" w:rsidR="00F60B69" w:rsidRPr="00BE68AE" w:rsidRDefault="00F60B69" w:rsidP="007A4FE8">
            <w:pPr>
              <w:jc w:val="center"/>
              <w:rPr>
                <w:rFonts w:cs="Times New Roman"/>
                <w:sz w:val="22"/>
              </w:rPr>
            </w:pPr>
            <w:r w:rsidRPr="00BE68AE">
              <w:rPr>
                <w:rFonts w:cs="Times New Roman"/>
                <w:sz w:val="22"/>
              </w:rPr>
              <w:t>67</w:t>
            </w:r>
          </w:p>
        </w:tc>
        <w:tc>
          <w:tcPr>
            <w:tcW w:w="176" w:type="pct"/>
            <w:vAlign w:val="bottom"/>
          </w:tcPr>
          <w:p w14:paraId="4ED623A8" w14:textId="77777777" w:rsidR="00F60B69" w:rsidRPr="00BE68AE" w:rsidRDefault="00F60B69" w:rsidP="007A4FE8">
            <w:pPr>
              <w:jc w:val="center"/>
              <w:rPr>
                <w:rFonts w:cs="Times New Roman"/>
                <w:sz w:val="22"/>
              </w:rPr>
            </w:pPr>
            <w:r w:rsidRPr="00BE68AE">
              <w:rPr>
                <w:rFonts w:cs="Times New Roman"/>
                <w:sz w:val="22"/>
              </w:rPr>
              <w:t>4</w:t>
            </w:r>
          </w:p>
        </w:tc>
        <w:tc>
          <w:tcPr>
            <w:tcW w:w="176" w:type="pct"/>
            <w:vAlign w:val="bottom"/>
          </w:tcPr>
          <w:p w14:paraId="0822C2E5" w14:textId="77777777" w:rsidR="00F60B69" w:rsidRPr="00BE68AE" w:rsidRDefault="00F60B69" w:rsidP="007A4FE8">
            <w:pPr>
              <w:jc w:val="center"/>
              <w:rPr>
                <w:rFonts w:cs="Times New Roman"/>
                <w:sz w:val="22"/>
              </w:rPr>
            </w:pPr>
          </w:p>
        </w:tc>
        <w:tc>
          <w:tcPr>
            <w:tcW w:w="176" w:type="pct"/>
            <w:vAlign w:val="bottom"/>
          </w:tcPr>
          <w:p w14:paraId="389B7D05" w14:textId="77777777" w:rsidR="00F60B69" w:rsidRPr="00BE68AE" w:rsidRDefault="00F60B69" w:rsidP="007A4FE8">
            <w:pPr>
              <w:jc w:val="center"/>
              <w:rPr>
                <w:rFonts w:cs="Times New Roman"/>
                <w:sz w:val="22"/>
              </w:rPr>
            </w:pPr>
          </w:p>
        </w:tc>
        <w:tc>
          <w:tcPr>
            <w:tcW w:w="176" w:type="pct"/>
            <w:vAlign w:val="bottom"/>
          </w:tcPr>
          <w:p w14:paraId="4017FAA3" w14:textId="77777777" w:rsidR="00F60B69" w:rsidRPr="00BE68AE" w:rsidRDefault="00F60B69" w:rsidP="007A4FE8">
            <w:pPr>
              <w:jc w:val="center"/>
              <w:rPr>
                <w:rFonts w:cs="Times New Roman"/>
                <w:sz w:val="22"/>
              </w:rPr>
            </w:pPr>
            <w:r w:rsidRPr="00BE68AE">
              <w:rPr>
                <w:rFonts w:cs="Times New Roman"/>
                <w:sz w:val="22"/>
              </w:rPr>
              <w:t>35</w:t>
            </w:r>
          </w:p>
        </w:tc>
        <w:tc>
          <w:tcPr>
            <w:tcW w:w="176" w:type="pct"/>
            <w:vAlign w:val="bottom"/>
          </w:tcPr>
          <w:p w14:paraId="72F7268A" w14:textId="77777777" w:rsidR="00F60B69" w:rsidRPr="00BE68AE" w:rsidRDefault="00F60B69" w:rsidP="007A4FE8">
            <w:pPr>
              <w:jc w:val="center"/>
              <w:rPr>
                <w:rFonts w:cs="Times New Roman"/>
                <w:sz w:val="22"/>
              </w:rPr>
            </w:pPr>
            <w:r w:rsidRPr="00BE68AE">
              <w:rPr>
                <w:rFonts w:cs="Times New Roman"/>
                <w:sz w:val="22"/>
              </w:rPr>
              <w:t>55</w:t>
            </w:r>
          </w:p>
        </w:tc>
        <w:tc>
          <w:tcPr>
            <w:tcW w:w="194" w:type="pct"/>
            <w:vAlign w:val="bottom"/>
          </w:tcPr>
          <w:p w14:paraId="0E8E687C" w14:textId="77777777" w:rsidR="00F60B69" w:rsidRPr="00BE68AE" w:rsidRDefault="00F60B69" w:rsidP="007A4FE8">
            <w:pPr>
              <w:jc w:val="center"/>
              <w:rPr>
                <w:rFonts w:cs="Times New Roman"/>
                <w:sz w:val="22"/>
              </w:rPr>
            </w:pPr>
            <w:r w:rsidRPr="00BE68AE">
              <w:rPr>
                <w:rFonts w:cs="Times New Roman"/>
                <w:sz w:val="22"/>
              </w:rPr>
              <w:t>2</w:t>
            </w:r>
          </w:p>
        </w:tc>
        <w:tc>
          <w:tcPr>
            <w:tcW w:w="155" w:type="pct"/>
            <w:vAlign w:val="bottom"/>
          </w:tcPr>
          <w:p w14:paraId="084B0357" w14:textId="77777777" w:rsidR="00F60B69" w:rsidRPr="00BE68AE" w:rsidRDefault="00F60B69" w:rsidP="007A4FE8">
            <w:pPr>
              <w:jc w:val="center"/>
              <w:rPr>
                <w:rFonts w:cs="Times New Roman"/>
                <w:sz w:val="22"/>
              </w:rPr>
            </w:pPr>
          </w:p>
        </w:tc>
        <w:tc>
          <w:tcPr>
            <w:tcW w:w="176" w:type="pct"/>
            <w:vAlign w:val="bottom"/>
          </w:tcPr>
          <w:p w14:paraId="40CBCD1D" w14:textId="77777777" w:rsidR="00F60B69" w:rsidRPr="00BE68AE" w:rsidRDefault="00F60B69" w:rsidP="007A4FE8">
            <w:pPr>
              <w:jc w:val="center"/>
              <w:rPr>
                <w:rFonts w:cs="Times New Roman"/>
                <w:sz w:val="22"/>
              </w:rPr>
            </w:pPr>
            <w:r w:rsidRPr="00BE68AE">
              <w:rPr>
                <w:rFonts w:cs="Times New Roman"/>
                <w:sz w:val="22"/>
              </w:rPr>
              <w:t>7</w:t>
            </w:r>
          </w:p>
        </w:tc>
        <w:tc>
          <w:tcPr>
            <w:tcW w:w="176" w:type="pct"/>
            <w:vAlign w:val="bottom"/>
          </w:tcPr>
          <w:p w14:paraId="6588A753" w14:textId="77777777" w:rsidR="00F60B69" w:rsidRPr="00BE68AE" w:rsidRDefault="00F60B69" w:rsidP="007A4FE8">
            <w:pPr>
              <w:jc w:val="center"/>
              <w:rPr>
                <w:rFonts w:cs="Times New Roman"/>
                <w:sz w:val="22"/>
              </w:rPr>
            </w:pPr>
          </w:p>
        </w:tc>
        <w:tc>
          <w:tcPr>
            <w:tcW w:w="176" w:type="pct"/>
            <w:vAlign w:val="bottom"/>
          </w:tcPr>
          <w:p w14:paraId="46881A88" w14:textId="77777777" w:rsidR="00F60B69" w:rsidRPr="00BE68AE" w:rsidRDefault="00F60B69" w:rsidP="007A4FE8">
            <w:pPr>
              <w:jc w:val="center"/>
              <w:rPr>
                <w:rFonts w:cs="Times New Roman"/>
                <w:sz w:val="22"/>
              </w:rPr>
            </w:pPr>
          </w:p>
        </w:tc>
        <w:tc>
          <w:tcPr>
            <w:tcW w:w="176" w:type="pct"/>
            <w:vAlign w:val="bottom"/>
          </w:tcPr>
          <w:p w14:paraId="6E6EA527" w14:textId="77777777" w:rsidR="00F60B69" w:rsidRPr="00BE68AE" w:rsidRDefault="00F60B69" w:rsidP="007A4FE8">
            <w:pPr>
              <w:jc w:val="center"/>
              <w:rPr>
                <w:rFonts w:cs="Times New Roman"/>
                <w:sz w:val="22"/>
              </w:rPr>
            </w:pPr>
          </w:p>
        </w:tc>
        <w:tc>
          <w:tcPr>
            <w:tcW w:w="211" w:type="pct"/>
            <w:vAlign w:val="bottom"/>
          </w:tcPr>
          <w:p w14:paraId="25C2A987" w14:textId="77777777" w:rsidR="00F60B69" w:rsidRPr="00BE68AE" w:rsidRDefault="00F60B69" w:rsidP="007A4FE8">
            <w:pPr>
              <w:jc w:val="center"/>
              <w:rPr>
                <w:rFonts w:cs="Times New Roman"/>
                <w:sz w:val="22"/>
              </w:rPr>
            </w:pPr>
            <w:r w:rsidRPr="00BE68AE">
              <w:rPr>
                <w:rFonts w:cs="Times New Roman"/>
                <w:sz w:val="22"/>
              </w:rPr>
              <w:t>122</w:t>
            </w:r>
          </w:p>
        </w:tc>
        <w:tc>
          <w:tcPr>
            <w:tcW w:w="155" w:type="pct"/>
            <w:vAlign w:val="bottom"/>
          </w:tcPr>
          <w:p w14:paraId="37EE6A4C" w14:textId="77777777" w:rsidR="00F60B69" w:rsidRPr="00BE68AE" w:rsidRDefault="00F60B69" w:rsidP="007A4FE8">
            <w:pPr>
              <w:jc w:val="center"/>
              <w:rPr>
                <w:rFonts w:cs="Times New Roman"/>
                <w:sz w:val="22"/>
              </w:rPr>
            </w:pPr>
          </w:p>
        </w:tc>
        <w:tc>
          <w:tcPr>
            <w:tcW w:w="176" w:type="pct"/>
            <w:vAlign w:val="bottom"/>
          </w:tcPr>
          <w:p w14:paraId="5070BFAC" w14:textId="77777777" w:rsidR="00F60B69" w:rsidRPr="00BE68AE" w:rsidRDefault="00F60B69" w:rsidP="007A4FE8">
            <w:pPr>
              <w:jc w:val="center"/>
              <w:rPr>
                <w:rFonts w:cs="Times New Roman"/>
                <w:sz w:val="22"/>
              </w:rPr>
            </w:pPr>
            <w:r w:rsidRPr="00BE68AE">
              <w:rPr>
                <w:rFonts w:cs="Times New Roman"/>
                <w:sz w:val="22"/>
              </w:rPr>
              <w:t>1</w:t>
            </w:r>
          </w:p>
        </w:tc>
        <w:tc>
          <w:tcPr>
            <w:tcW w:w="155" w:type="pct"/>
            <w:vAlign w:val="bottom"/>
          </w:tcPr>
          <w:p w14:paraId="10761010" w14:textId="77777777" w:rsidR="00F60B69" w:rsidRPr="00BE68AE" w:rsidRDefault="00F60B69" w:rsidP="007A4FE8">
            <w:pPr>
              <w:jc w:val="center"/>
              <w:rPr>
                <w:rFonts w:cs="Times New Roman"/>
                <w:sz w:val="22"/>
              </w:rPr>
            </w:pPr>
          </w:p>
        </w:tc>
        <w:tc>
          <w:tcPr>
            <w:tcW w:w="176" w:type="pct"/>
            <w:vAlign w:val="bottom"/>
          </w:tcPr>
          <w:p w14:paraId="1C5302D7" w14:textId="77777777" w:rsidR="00F60B69" w:rsidRPr="00BE68AE" w:rsidRDefault="00F60B69" w:rsidP="007A4FE8">
            <w:pPr>
              <w:jc w:val="center"/>
              <w:rPr>
                <w:rFonts w:cs="Times New Roman"/>
                <w:sz w:val="22"/>
              </w:rPr>
            </w:pPr>
            <w:r w:rsidRPr="00BE68AE">
              <w:rPr>
                <w:rFonts w:cs="Times New Roman"/>
                <w:sz w:val="22"/>
              </w:rPr>
              <w:t>3</w:t>
            </w:r>
          </w:p>
        </w:tc>
        <w:tc>
          <w:tcPr>
            <w:tcW w:w="176" w:type="pct"/>
            <w:vAlign w:val="bottom"/>
          </w:tcPr>
          <w:p w14:paraId="37A0C175" w14:textId="77777777" w:rsidR="00F60B69" w:rsidRPr="00BE68AE" w:rsidRDefault="00F60B69" w:rsidP="007A4FE8">
            <w:pPr>
              <w:jc w:val="center"/>
              <w:rPr>
                <w:rFonts w:cs="Times New Roman"/>
                <w:sz w:val="22"/>
              </w:rPr>
            </w:pPr>
            <w:r w:rsidRPr="00BE68AE">
              <w:rPr>
                <w:rFonts w:cs="Times New Roman"/>
                <w:sz w:val="22"/>
              </w:rPr>
              <w:t>10</w:t>
            </w:r>
          </w:p>
        </w:tc>
      </w:tr>
      <w:tr w:rsidR="00F60B69" w:rsidRPr="00BE68AE" w14:paraId="24B50D40" w14:textId="77777777" w:rsidTr="00B816DC">
        <w:tc>
          <w:tcPr>
            <w:tcW w:w="548" w:type="pct"/>
          </w:tcPr>
          <w:p w14:paraId="4EB26F30" w14:textId="77777777" w:rsidR="00F60B69" w:rsidRPr="00BE68AE" w:rsidRDefault="00F60B69" w:rsidP="007A4FE8">
            <w:pPr>
              <w:jc w:val="both"/>
              <w:rPr>
                <w:rFonts w:cs="Times New Roman"/>
                <w:sz w:val="22"/>
              </w:rPr>
            </w:pPr>
            <w:r w:rsidRPr="00BE68AE">
              <w:rPr>
                <w:rFonts w:eastAsia="Times New Roman" w:cs="Times New Roman"/>
                <w:sz w:val="22"/>
                <w:lang w:eastAsia="es-CR"/>
              </w:rPr>
              <w:t>Peralta (T)</w:t>
            </w:r>
          </w:p>
        </w:tc>
        <w:tc>
          <w:tcPr>
            <w:tcW w:w="211" w:type="pct"/>
            <w:vAlign w:val="bottom"/>
          </w:tcPr>
          <w:p w14:paraId="2E606AF1" w14:textId="77777777" w:rsidR="00F60B69" w:rsidRPr="00BE68AE" w:rsidRDefault="00F60B69" w:rsidP="007A4FE8">
            <w:pPr>
              <w:jc w:val="center"/>
              <w:rPr>
                <w:rFonts w:cs="Times New Roman"/>
                <w:sz w:val="22"/>
              </w:rPr>
            </w:pPr>
            <w:r w:rsidRPr="00BE68AE">
              <w:rPr>
                <w:rFonts w:cs="Times New Roman"/>
                <w:sz w:val="22"/>
              </w:rPr>
              <w:t>10</w:t>
            </w:r>
          </w:p>
        </w:tc>
        <w:tc>
          <w:tcPr>
            <w:tcW w:w="211" w:type="pct"/>
            <w:vAlign w:val="bottom"/>
          </w:tcPr>
          <w:p w14:paraId="43F3659C" w14:textId="77777777" w:rsidR="00F60B69" w:rsidRPr="00BE68AE" w:rsidRDefault="00F60B69" w:rsidP="007A4FE8">
            <w:pPr>
              <w:jc w:val="center"/>
              <w:rPr>
                <w:rFonts w:cs="Times New Roman"/>
                <w:sz w:val="22"/>
              </w:rPr>
            </w:pPr>
          </w:p>
        </w:tc>
        <w:tc>
          <w:tcPr>
            <w:tcW w:w="176" w:type="pct"/>
            <w:vAlign w:val="bottom"/>
          </w:tcPr>
          <w:p w14:paraId="6B8DE524" w14:textId="77777777" w:rsidR="00F60B69" w:rsidRPr="00BE68AE" w:rsidRDefault="00F60B69" w:rsidP="007A4FE8">
            <w:pPr>
              <w:jc w:val="center"/>
              <w:rPr>
                <w:rFonts w:cs="Times New Roman"/>
                <w:sz w:val="22"/>
              </w:rPr>
            </w:pPr>
            <w:r w:rsidRPr="00BE68AE">
              <w:rPr>
                <w:rFonts w:cs="Times New Roman"/>
                <w:sz w:val="22"/>
              </w:rPr>
              <w:t>10</w:t>
            </w:r>
          </w:p>
        </w:tc>
        <w:tc>
          <w:tcPr>
            <w:tcW w:w="155" w:type="pct"/>
            <w:vAlign w:val="bottom"/>
          </w:tcPr>
          <w:p w14:paraId="3D9C7D41" w14:textId="77777777" w:rsidR="00F60B69" w:rsidRPr="00BE68AE" w:rsidRDefault="00F60B69" w:rsidP="007A4FE8">
            <w:pPr>
              <w:jc w:val="center"/>
              <w:rPr>
                <w:rFonts w:cs="Times New Roman"/>
                <w:sz w:val="22"/>
              </w:rPr>
            </w:pPr>
          </w:p>
        </w:tc>
        <w:tc>
          <w:tcPr>
            <w:tcW w:w="155" w:type="pct"/>
            <w:vAlign w:val="bottom"/>
          </w:tcPr>
          <w:p w14:paraId="377E0519" w14:textId="77777777" w:rsidR="00F60B69" w:rsidRPr="00BE68AE" w:rsidRDefault="00F60B69" w:rsidP="007A4FE8">
            <w:pPr>
              <w:jc w:val="center"/>
              <w:rPr>
                <w:rFonts w:cs="Times New Roman"/>
                <w:sz w:val="22"/>
              </w:rPr>
            </w:pPr>
          </w:p>
        </w:tc>
        <w:tc>
          <w:tcPr>
            <w:tcW w:w="176" w:type="pct"/>
            <w:vAlign w:val="bottom"/>
          </w:tcPr>
          <w:p w14:paraId="78966BCB" w14:textId="77777777" w:rsidR="00F60B69" w:rsidRPr="00BE68AE" w:rsidRDefault="00F60B69" w:rsidP="007A4FE8">
            <w:pPr>
              <w:jc w:val="center"/>
              <w:rPr>
                <w:rFonts w:cs="Times New Roman"/>
                <w:sz w:val="22"/>
              </w:rPr>
            </w:pPr>
          </w:p>
        </w:tc>
        <w:tc>
          <w:tcPr>
            <w:tcW w:w="176" w:type="pct"/>
            <w:vAlign w:val="bottom"/>
          </w:tcPr>
          <w:p w14:paraId="3DB2312C" w14:textId="77777777" w:rsidR="00F60B69" w:rsidRPr="00BE68AE" w:rsidRDefault="00F60B69" w:rsidP="007A4FE8">
            <w:pPr>
              <w:jc w:val="center"/>
              <w:rPr>
                <w:rFonts w:cs="Times New Roman"/>
                <w:sz w:val="22"/>
              </w:rPr>
            </w:pPr>
            <w:r w:rsidRPr="00BE68AE">
              <w:rPr>
                <w:rFonts w:cs="Times New Roman"/>
                <w:sz w:val="22"/>
              </w:rPr>
              <w:t>4</w:t>
            </w:r>
          </w:p>
        </w:tc>
        <w:tc>
          <w:tcPr>
            <w:tcW w:w="211" w:type="pct"/>
            <w:vAlign w:val="bottom"/>
          </w:tcPr>
          <w:p w14:paraId="78154A82" w14:textId="77777777" w:rsidR="00F60B69" w:rsidRPr="00BE68AE" w:rsidRDefault="00F60B69" w:rsidP="007A4FE8">
            <w:pPr>
              <w:jc w:val="center"/>
              <w:rPr>
                <w:rFonts w:cs="Times New Roman"/>
                <w:sz w:val="22"/>
              </w:rPr>
            </w:pPr>
            <w:r w:rsidRPr="00BE68AE">
              <w:rPr>
                <w:rFonts w:cs="Times New Roman"/>
                <w:sz w:val="22"/>
              </w:rPr>
              <w:t>2</w:t>
            </w:r>
          </w:p>
        </w:tc>
        <w:tc>
          <w:tcPr>
            <w:tcW w:w="176" w:type="pct"/>
            <w:vAlign w:val="bottom"/>
          </w:tcPr>
          <w:p w14:paraId="63D86226"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7F3A2EA2"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761BED17" w14:textId="77777777" w:rsidR="00F60B69" w:rsidRPr="00BE68AE" w:rsidRDefault="00F60B69" w:rsidP="007A4FE8">
            <w:pPr>
              <w:jc w:val="center"/>
              <w:rPr>
                <w:rFonts w:cs="Times New Roman"/>
                <w:sz w:val="22"/>
              </w:rPr>
            </w:pPr>
            <w:r w:rsidRPr="00BE68AE">
              <w:rPr>
                <w:rFonts w:cs="Times New Roman"/>
                <w:sz w:val="22"/>
              </w:rPr>
              <w:t>2</w:t>
            </w:r>
          </w:p>
        </w:tc>
        <w:tc>
          <w:tcPr>
            <w:tcW w:w="176" w:type="pct"/>
            <w:vAlign w:val="bottom"/>
          </w:tcPr>
          <w:p w14:paraId="28638F75" w14:textId="77777777" w:rsidR="00F60B69" w:rsidRPr="00BE68AE" w:rsidRDefault="00F60B69" w:rsidP="007A4FE8">
            <w:pPr>
              <w:jc w:val="center"/>
              <w:rPr>
                <w:rFonts w:cs="Times New Roman"/>
                <w:sz w:val="22"/>
              </w:rPr>
            </w:pPr>
          </w:p>
        </w:tc>
        <w:tc>
          <w:tcPr>
            <w:tcW w:w="176" w:type="pct"/>
            <w:vAlign w:val="bottom"/>
          </w:tcPr>
          <w:p w14:paraId="0E8337F9" w14:textId="77777777" w:rsidR="00F60B69" w:rsidRPr="00BE68AE" w:rsidRDefault="00F60B69" w:rsidP="007A4FE8">
            <w:pPr>
              <w:jc w:val="center"/>
              <w:rPr>
                <w:rFonts w:cs="Times New Roman"/>
                <w:sz w:val="22"/>
              </w:rPr>
            </w:pPr>
          </w:p>
        </w:tc>
        <w:tc>
          <w:tcPr>
            <w:tcW w:w="194" w:type="pct"/>
            <w:vAlign w:val="bottom"/>
          </w:tcPr>
          <w:p w14:paraId="5B071556" w14:textId="77777777" w:rsidR="00F60B69" w:rsidRPr="00BE68AE" w:rsidRDefault="00F60B69" w:rsidP="007A4FE8">
            <w:pPr>
              <w:jc w:val="center"/>
              <w:rPr>
                <w:rFonts w:cs="Times New Roman"/>
                <w:sz w:val="22"/>
              </w:rPr>
            </w:pPr>
            <w:r w:rsidRPr="00BE68AE">
              <w:rPr>
                <w:rFonts w:cs="Times New Roman"/>
                <w:sz w:val="22"/>
              </w:rPr>
              <w:t>4</w:t>
            </w:r>
          </w:p>
        </w:tc>
        <w:tc>
          <w:tcPr>
            <w:tcW w:w="155" w:type="pct"/>
            <w:vAlign w:val="bottom"/>
          </w:tcPr>
          <w:p w14:paraId="39CA61D4" w14:textId="77777777" w:rsidR="00F60B69" w:rsidRPr="00BE68AE" w:rsidRDefault="00F60B69" w:rsidP="007A4FE8">
            <w:pPr>
              <w:jc w:val="center"/>
              <w:rPr>
                <w:rFonts w:cs="Times New Roman"/>
                <w:sz w:val="22"/>
              </w:rPr>
            </w:pPr>
            <w:r w:rsidRPr="00BE68AE">
              <w:rPr>
                <w:rFonts w:cs="Times New Roman"/>
                <w:sz w:val="22"/>
              </w:rPr>
              <w:t>2</w:t>
            </w:r>
          </w:p>
        </w:tc>
        <w:tc>
          <w:tcPr>
            <w:tcW w:w="176" w:type="pct"/>
            <w:vAlign w:val="bottom"/>
          </w:tcPr>
          <w:p w14:paraId="2417D6D6" w14:textId="77777777" w:rsidR="00F60B69" w:rsidRPr="00BE68AE" w:rsidRDefault="00F60B69" w:rsidP="007A4FE8">
            <w:pPr>
              <w:jc w:val="center"/>
              <w:rPr>
                <w:rFonts w:cs="Times New Roman"/>
                <w:sz w:val="22"/>
              </w:rPr>
            </w:pPr>
            <w:r w:rsidRPr="00BE68AE">
              <w:rPr>
                <w:rFonts w:cs="Times New Roman"/>
                <w:sz w:val="22"/>
              </w:rPr>
              <w:t>3</w:t>
            </w:r>
          </w:p>
        </w:tc>
        <w:tc>
          <w:tcPr>
            <w:tcW w:w="176" w:type="pct"/>
            <w:vAlign w:val="bottom"/>
          </w:tcPr>
          <w:p w14:paraId="41999AE5" w14:textId="77777777" w:rsidR="00F60B69" w:rsidRPr="00BE68AE" w:rsidRDefault="00F60B69" w:rsidP="007A4FE8">
            <w:pPr>
              <w:jc w:val="center"/>
              <w:rPr>
                <w:rFonts w:cs="Times New Roman"/>
                <w:sz w:val="22"/>
              </w:rPr>
            </w:pPr>
          </w:p>
        </w:tc>
        <w:tc>
          <w:tcPr>
            <w:tcW w:w="176" w:type="pct"/>
            <w:vAlign w:val="bottom"/>
          </w:tcPr>
          <w:p w14:paraId="3CD82426"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4AEFA14B" w14:textId="77777777" w:rsidR="00F60B69" w:rsidRPr="00BE68AE" w:rsidRDefault="00F60B69" w:rsidP="007A4FE8">
            <w:pPr>
              <w:jc w:val="center"/>
              <w:rPr>
                <w:rFonts w:cs="Times New Roman"/>
                <w:sz w:val="22"/>
              </w:rPr>
            </w:pPr>
            <w:r w:rsidRPr="00BE68AE">
              <w:rPr>
                <w:rFonts w:cs="Times New Roman"/>
                <w:sz w:val="22"/>
              </w:rPr>
              <w:t>2</w:t>
            </w:r>
          </w:p>
        </w:tc>
        <w:tc>
          <w:tcPr>
            <w:tcW w:w="211" w:type="pct"/>
            <w:vAlign w:val="bottom"/>
          </w:tcPr>
          <w:p w14:paraId="660B8BC4" w14:textId="77777777" w:rsidR="00F60B69" w:rsidRPr="00BE68AE" w:rsidRDefault="00F60B69" w:rsidP="007A4FE8">
            <w:pPr>
              <w:jc w:val="center"/>
              <w:rPr>
                <w:rFonts w:cs="Times New Roman"/>
                <w:sz w:val="22"/>
              </w:rPr>
            </w:pPr>
            <w:r w:rsidRPr="00BE68AE">
              <w:rPr>
                <w:rFonts w:cs="Times New Roman"/>
                <w:sz w:val="22"/>
              </w:rPr>
              <w:t>6</w:t>
            </w:r>
          </w:p>
        </w:tc>
        <w:tc>
          <w:tcPr>
            <w:tcW w:w="155" w:type="pct"/>
            <w:vAlign w:val="bottom"/>
          </w:tcPr>
          <w:p w14:paraId="63FDD004"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1B222649" w14:textId="77777777" w:rsidR="00F60B69" w:rsidRPr="00BE68AE" w:rsidRDefault="00F60B69" w:rsidP="007A4FE8">
            <w:pPr>
              <w:jc w:val="center"/>
              <w:rPr>
                <w:rFonts w:cs="Times New Roman"/>
                <w:sz w:val="22"/>
              </w:rPr>
            </w:pPr>
            <w:r w:rsidRPr="00BE68AE">
              <w:rPr>
                <w:rFonts w:cs="Times New Roman"/>
                <w:sz w:val="22"/>
              </w:rPr>
              <w:t>1</w:t>
            </w:r>
          </w:p>
        </w:tc>
        <w:tc>
          <w:tcPr>
            <w:tcW w:w="155" w:type="pct"/>
            <w:vAlign w:val="bottom"/>
          </w:tcPr>
          <w:p w14:paraId="08238987" w14:textId="77777777" w:rsidR="00F60B69" w:rsidRPr="00BE68AE" w:rsidRDefault="00F60B69" w:rsidP="007A4FE8">
            <w:pPr>
              <w:jc w:val="center"/>
              <w:rPr>
                <w:rFonts w:cs="Times New Roman"/>
                <w:sz w:val="22"/>
              </w:rPr>
            </w:pPr>
          </w:p>
        </w:tc>
        <w:tc>
          <w:tcPr>
            <w:tcW w:w="176" w:type="pct"/>
            <w:vAlign w:val="bottom"/>
          </w:tcPr>
          <w:p w14:paraId="565FACB3" w14:textId="77777777" w:rsidR="00F60B69" w:rsidRPr="00BE68AE" w:rsidRDefault="00F60B69" w:rsidP="007A4FE8">
            <w:pPr>
              <w:jc w:val="center"/>
              <w:rPr>
                <w:rFonts w:cs="Times New Roman"/>
                <w:sz w:val="22"/>
              </w:rPr>
            </w:pPr>
          </w:p>
        </w:tc>
        <w:tc>
          <w:tcPr>
            <w:tcW w:w="176" w:type="pct"/>
            <w:vAlign w:val="bottom"/>
          </w:tcPr>
          <w:p w14:paraId="2F7132C2" w14:textId="77777777" w:rsidR="00F60B69" w:rsidRPr="00BE68AE" w:rsidRDefault="00F60B69" w:rsidP="007A4FE8">
            <w:pPr>
              <w:jc w:val="center"/>
              <w:rPr>
                <w:rFonts w:cs="Times New Roman"/>
                <w:sz w:val="22"/>
              </w:rPr>
            </w:pPr>
            <w:r w:rsidRPr="00BE68AE">
              <w:rPr>
                <w:rFonts w:cs="Times New Roman"/>
                <w:sz w:val="22"/>
              </w:rPr>
              <w:t>6</w:t>
            </w:r>
          </w:p>
        </w:tc>
      </w:tr>
      <w:tr w:rsidR="00F60B69" w:rsidRPr="00BE68AE" w14:paraId="10BB17F5" w14:textId="77777777" w:rsidTr="00B816DC">
        <w:tc>
          <w:tcPr>
            <w:tcW w:w="548" w:type="pct"/>
          </w:tcPr>
          <w:p w14:paraId="50CA22BF" w14:textId="77777777" w:rsidR="00F60B69" w:rsidRPr="00BE68AE" w:rsidRDefault="00F60B69" w:rsidP="007A4FE8">
            <w:pPr>
              <w:jc w:val="both"/>
              <w:rPr>
                <w:rFonts w:cs="Times New Roman"/>
                <w:sz w:val="22"/>
              </w:rPr>
            </w:pPr>
            <w:proofErr w:type="spellStart"/>
            <w:r w:rsidRPr="00BE68AE">
              <w:rPr>
                <w:rFonts w:eastAsia="Times New Roman" w:cs="Times New Roman"/>
                <w:sz w:val="22"/>
                <w:lang w:eastAsia="es-CR"/>
              </w:rPr>
              <w:t>Pot</w:t>
            </w:r>
            <w:proofErr w:type="spellEnd"/>
            <w:r w:rsidRPr="00BE68AE">
              <w:rPr>
                <w:rFonts w:eastAsia="Times New Roman" w:cs="Times New Roman"/>
                <w:sz w:val="22"/>
                <w:lang w:eastAsia="es-CR"/>
              </w:rPr>
              <w:t>. Cerrado (O)</w:t>
            </w:r>
          </w:p>
        </w:tc>
        <w:tc>
          <w:tcPr>
            <w:tcW w:w="211" w:type="pct"/>
            <w:vAlign w:val="bottom"/>
          </w:tcPr>
          <w:p w14:paraId="75A3D2B3" w14:textId="77777777" w:rsidR="00F60B69" w:rsidRPr="00BE68AE" w:rsidRDefault="00F60B69" w:rsidP="007A4FE8">
            <w:pPr>
              <w:jc w:val="center"/>
              <w:rPr>
                <w:rFonts w:cs="Times New Roman"/>
                <w:sz w:val="22"/>
              </w:rPr>
            </w:pPr>
            <w:r w:rsidRPr="00BE68AE">
              <w:rPr>
                <w:rFonts w:cs="Times New Roman"/>
                <w:sz w:val="22"/>
              </w:rPr>
              <w:t>47</w:t>
            </w:r>
          </w:p>
        </w:tc>
        <w:tc>
          <w:tcPr>
            <w:tcW w:w="211" w:type="pct"/>
            <w:vAlign w:val="bottom"/>
          </w:tcPr>
          <w:p w14:paraId="28D70AA6"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5CC05240" w14:textId="77777777" w:rsidR="00F60B69" w:rsidRPr="00BE68AE" w:rsidRDefault="00F60B69" w:rsidP="007A4FE8">
            <w:pPr>
              <w:jc w:val="center"/>
              <w:rPr>
                <w:rFonts w:cs="Times New Roman"/>
                <w:sz w:val="22"/>
              </w:rPr>
            </w:pPr>
            <w:r w:rsidRPr="00BE68AE">
              <w:rPr>
                <w:rFonts w:cs="Times New Roman"/>
                <w:sz w:val="22"/>
              </w:rPr>
              <w:t>45</w:t>
            </w:r>
          </w:p>
        </w:tc>
        <w:tc>
          <w:tcPr>
            <w:tcW w:w="155" w:type="pct"/>
            <w:vAlign w:val="bottom"/>
          </w:tcPr>
          <w:p w14:paraId="59205A2F" w14:textId="77777777" w:rsidR="00F60B69" w:rsidRPr="00BE68AE" w:rsidRDefault="00F60B69" w:rsidP="007A4FE8">
            <w:pPr>
              <w:jc w:val="center"/>
              <w:rPr>
                <w:rFonts w:cs="Times New Roman"/>
                <w:sz w:val="22"/>
              </w:rPr>
            </w:pPr>
          </w:p>
        </w:tc>
        <w:tc>
          <w:tcPr>
            <w:tcW w:w="155" w:type="pct"/>
            <w:vAlign w:val="bottom"/>
          </w:tcPr>
          <w:p w14:paraId="49309D5B" w14:textId="77777777" w:rsidR="00F60B69" w:rsidRPr="00BE68AE" w:rsidRDefault="00F60B69" w:rsidP="007A4FE8">
            <w:pPr>
              <w:jc w:val="center"/>
              <w:rPr>
                <w:rFonts w:cs="Times New Roman"/>
                <w:sz w:val="22"/>
              </w:rPr>
            </w:pPr>
          </w:p>
        </w:tc>
        <w:tc>
          <w:tcPr>
            <w:tcW w:w="176" w:type="pct"/>
            <w:vAlign w:val="bottom"/>
          </w:tcPr>
          <w:p w14:paraId="6911958E"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62A35F32" w14:textId="77777777" w:rsidR="00F60B69" w:rsidRPr="00BE68AE" w:rsidRDefault="00F60B69" w:rsidP="007A4FE8">
            <w:pPr>
              <w:jc w:val="center"/>
              <w:rPr>
                <w:rFonts w:cs="Times New Roman"/>
                <w:sz w:val="22"/>
              </w:rPr>
            </w:pPr>
            <w:r w:rsidRPr="00BE68AE">
              <w:rPr>
                <w:rFonts w:cs="Times New Roman"/>
                <w:sz w:val="22"/>
              </w:rPr>
              <w:t>30</w:t>
            </w:r>
          </w:p>
        </w:tc>
        <w:tc>
          <w:tcPr>
            <w:tcW w:w="211" w:type="pct"/>
            <w:vAlign w:val="bottom"/>
          </w:tcPr>
          <w:p w14:paraId="3087EF9C" w14:textId="77777777" w:rsidR="00F60B69" w:rsidRPr="00BE68AE" w:rsidRDefault="00F60B69" w:rsidP="007A4FE8">
            <w:pPr>
              <w:jc w:val="center"/>
              <w:rPr>
                <w:rFonts w:cs="Times New Roman"/>
                <w:sz w:val="22"/>
              </w:rPr>
            </w:pPr>
            <w:r w:rsidRPr="00BE68AE">
              <w:rPr>
                <w:rFonts w:cs="Times New Roman"/>
                <w:sz w:val="22"/>
              </w:rPr>
              <w:t>16</w:t>
            </w:r>
          </w:p>
        </w:tc>
        <w:tc>
          <w:tcPr>
            <w:tcW w:w="176" w:type="pct"/>
            <w:vAlign w:val="bottom"/>
          </w:tcPr>
          <w:p w14:paraId="6A000378"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1D91FD98" w14:textId="77777777" w:rsidR="00F60B69" w:rsidRPr="00BE68AE" w:rsidRDefault="00F60B69" w:rsidP="007A4FE8">
            <w:pPr>
              <w:jc w:val="center"/>
              <w:rPr>
                <w:rFonts w:cs="Times New Roman"/>
                <w:sz w:val="22"/>
              </w:rPr>
            </w:pPr>
          </w:p>
        </w:tc>
        <w:tc>
          <w:tcPr>
            <w:tcW w:w="176" w:type="pct"/>
            <w:vAlign w:val="bottom"/>
          </w:tcPr>
          <w:p w14:paraId="04BA7262" w14:textId="77777777" w:rsidR="00F60B69" w:rsidRPr="00BE68AE" w:rsidRDefault="00F60B69" w:rsidP="007A4FE8">
            <w:pPr>
              <w:jc w:val="center"/>
              <w:rPr>
                <w:rFonts w:cs="Times New Roman"/>
                <w:sz w:val="22"/>
              </w:rPr>
            </w:pPr>
          </w:p>
        </w:tc>
        <w:tc>
          <w:tcPr>
            <w:tcW w:w="176" w:type="pct"/>
            <w:vAlign w:val="bottom"/>
          </w:tcPr>
          <w:p w14:paraId="7FC2DBFC" w14:textId="77777777" w:rsidR="00F60B69" w:rsidRPr="00BE68AE" w:rsidRDefault="00F60B69" w:rsidP="007A4FE8">
            <w:pPr>
              <w:jc w:val="center"/>
              <w:rPr>
                <w:rFonts w:cs="Times New Roman"/>
                <w:sz w:val="22"/>
              </w:rPr>
            </w:pPr>
            <w:r w:rsidRPr="00BE68AE">
              <w:rPr>
                <w:rFonts w:cs="Times New Roman"/>
                <w:sz w:val="22"/>
              </w:rPr>
              <w:t>10</w:t>
            </w:r>
          </w:p>
        </w:tc>
        <w:tc>
          <w:tcPr>
            <w:tcW w:w="176" w:type="pct"/>
            <w:vAlign w:val="bottom"/>
          </w:tcPr>
          <w:p w14:paraId="717E5033" w14:textId="77777777" w:rsidR="00F60B69" w:rsidRPr="00BE68AE" w:rsidRDefault="00F60B69" w:rsidP="007A4FE8">
            <w:pPr>
              <w:jc w:val="center"/>
              <w:rPr>
                <w:rFonts w:cs="Times New Roman"/>
                <w:sz w:val="22"/>
              </w:rPr>
            </w:pPr>
            <w:r w:rsidRPr="00BE68AE">
              <w:rPr>
                <w:rFonts w:cs="Times New Roman"/>
                <w:sz w:val="22"/>
              </w:rPr>
              <w:t>11</w:t>
            </w:r>
          </w:p>
        </w:tc>
        <w:tc>
          <w:tcPr>
            <w:tcW w:w="194" w:type="pct"/>
            <w:vAlign w:val="bottom"/>
          </w:tcPr>
          <w:p w14:paraId="15D7A5E6" w14:textId="77777777" w:rsidR="00F60B69" w:rsidRPr="00BE68AE" w:rsidRDefault="00F60B69" w:rsidP="007A4FE8">
            <w:pPr>
              <w:jc w:val="center"/>
              <w:rPr>
                <w:rFonts w:cs="Times New Roman"/>
                <w:sz w:val="22"/>
              </w:rPr>
            </w:pPr>
            <w:r w:rsidRPr="00BE68AE">
              <w:rPr>
                <w:rFonts w:cs="Times New Roman"/>
                <w:sz w:val="22"/>
              </w:rPr>
              <w:t>4</w:t>
            </w:r>
          </w:p>
        </w:tc>
        <w:tc>
          <w:tcPr>
            <w:tcW w:w="155" w:type="pct"/>
            <w:vAlign w:val="bottom"/>
          </w:tcPr>
          <w:p w14:paraId="0D04154A" w14:textId="77777777" w:rsidR="00F60B69" w:rsidRPr="00BE68AE" w:rsidRDefault="00F60B69" w:rsidP="007A4FE8">
            <w:pPr>
              <w:jc w:val="center"/>
              <w:rPr>
                <w:rFonts w:cs="Times New Roman"/>
                <w:sz w:val="22"/>
              </w:rPr>
            </w:pPr>
          </w:p>
        </w:tc>
        <w:tc>
          <w:tcPr>
            <w:tcW w:w="176" w:type="pct"/>
            <w:vAlign w:val="bottom"/>
          </w:tcPr>
          <w:p w14:paraId="70B17C37"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63F73CFE" w14:textId="77777777" w:rsidR="00F60B69" w:rsidRPr="00BE68AE" w:rsidRDefault="00F60B69" w:rsidP="007A4FE8">
            <w:pPr>
              <w:jc w:val="center"/>
              <w:rPr>
                <w:rFonts w:cs="Times New Roman"/>
                <w:sz w:val="22"/>
              </w:rPr>
            </w:pPr>
          </w:p>
        </w:tc>
        <w:tc>
          <w:tcPr>
            <w:tcW w:w="176" w:type="pct"/>
            <w:vAlign w:val="bottom"/>
          </w:tcPr>
          <w:p w14:paraId="1EEBD596"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586D91E4" w14:textId="77777777" w:rsidR="00F60B69" w:rsidRPr="00BE68AE" w:rsidRDefault="00F60B69" w:rsidP="007A4FE8">
            <w:pPr>
              <w:jc w:val="center"/>
              <w:rPr>
                <w:rFonts w:cs="Times New Roman"/>
                <w:sz w:val="22"/>
              </w:rPr>
            </w:pPr>
            <w:r w:rsidRPr="00BE68AE">
              <w:rPr>
                <w:rFonts w:cs="Times New Roman"/>
                <w:sz w:val="22"/>
              </w:rPr>
              <w:t>1</w:t>
            </w:r>
          </w:p>
        </w:tc>
        <w:tc>
          <w:tcPr>
            <w:tcW w:w="211" w:type="pct"/>
            <w:vAlign w:val="bottom"/>
          </w:tcPr>
          <w:p w14:paraId="7E82ACB8" w14:textId="77777777" w:rsidR="00F60B69" w:rsidRPr="00BE68AE" w:rsidRDefault="00F60B69" w:rsidP="007A4FE8">
            <w:pPr>
              <w:jc w:val="center"/>
              <w:rPr>
                <w:rFonts w:cs="Times New Roman"/>
                <w:sz w:val="22"/>
              </w:rPr>
            </w:pPr>
            <w:r w:rsidRPr="00BE68AE">
              <w:rPr>
                <w:rFonts w:cs="Times New Roman"/>
                <w:sz w:val="22"/>
              </w:rPr>
              <w:t>45</w:t>
            </w:r>
          </w:p>
        </w:tc>
        <w:tc>
          <w:tcPr>
            <w:tcW w:w="155" w:type="pct"/>
            <w:vAlign w:val="bottom"/>
          </w:tcPr>
          <w:p w14:paraId="76290753" w14:textId="77777777" w:rsidR="00F60B69" w:rsidRPr="00BE68AE" w:rsidRDefault="00F60B69" w:rsidP="007A4FE8">
            <w:pPr>
              <w:jc w:val="center"/>
              <w:rPr>
                <w:rFonts w:cs="Times New Roman"/>
                <w:sz w:val="22"/>
              </w:rPr>
            </w:pPr>
          </w:p>
        </w:tc>
        <w:tc>
          <w:tcPr>
            <w:tcW w:w="176" w:type="pct"/>
            <w:vAlign w:val="bottom"/>
          </w:tcPr>
          <w:p w14:paraId="1F0AFE5B" w14:textId="77777777" w:rsidR="00F60B69" w:rsidRPr="00BE68AE" w:rsidRDefault="00F60B69" w:rsidP="007A4FE8">
            <w:pPr>
              <w:jc w:val="center"/>
              <w:rPr>
                <w:rFonts w:cs="Times New Roman"/>
                <w:sz w:val="22"/>
              </w:rPr>
            </w:pPr>
            <w:r w:rsidRPr="00BE68AE">
              <w:rPr>
                <w:rFonts w:cs="Times New Roman"/>
                <w:sz w:val="22"/>
              </w:rPr>
              <w:t>4</w:t>
            </w:r>
          </w:p>
        </w:tc>
        <w:tc>
          <w:tcPr>
            <w:tcW w:w="155" w:type="pct"/>
            <w:vAlign w:val="bottom"/>
          </w:tcPr>
          <w:p w14:paraId="03CC9EA3" w14:textId="77777777" w:rsidR="00F60B69" w:rsidRPr="00BE68AE" w:rsidRDefault="00F60B69" w:rsidP="007A4FE8">
            <w:pPr>
              <w:jc w:val="center"/>
              <w:rPr>
                <w:rFonts w:cs="Times New Roman"/>
                <w:sz w:val="22"/>
              </w:rPr>
            </w:pPr>
          </w:p>
        </w:tc>
        <w:tc>
          <w:tcPr>
            <w:tcW w:w="176" w:type="pct"/>
            <w:vAlign w:val="bottom"/>
          </w:tcPr>
          <w:p w14:paraId="5BEE81D2"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67F72E60" w14:textId="77777777" w:rsidR="00F60B69" w:rsidRPr="00BE68AE" w:rsidRDefault="00F60B69" w:rsidP="007A4FE8">
            <w:pPr>
              <w:jc w:val="center"/>
              <w:rPr>
                <w:rFonts w:cs="Times New Roman"/>
                <w:sz w:val="22"/>
              </w:rPr>
            </w:pPr>
            <w:r w:rsidRPr="00BE68AE">
              <w:rPr>
                <w:rFonts w:cs="Times New Roman"/>
                <w:sz w:val="22"/>
              </w:rPr>
              <w:t>10</w:t>
            </w:r>
          </w:p>
        </w:tc>
      </w:tr>
      <w:tr w:rsidR="00F60B69" w:rsidRPr="00BE68AE" w14:paraId="3DCC88EA" w14:textId="77777777" w:rsidTr="00B816DC">
        <w:tc>
          <w:tcPr>
            <w:tcW w:w="548" w:type="pct"/>
          </w:tcPr>
          <w:p w14:paraId="7492C7E0" w14:textId="77777777" w:rsidR="00F60B69" w:rsidRPr="00BE68AE" w:rsidRDefault="00F60B69" w:rsidP="007A4FE8">
            <w:pPr>
              <w:jc w:val="both"/>
              <w:rPr>
                <w:rFonts w:cs="Times New Roman"/>
                <w:sz w:val="22"/>
              </w:rPr>
            </w:pPr>
            <w:r w:rsidRPr="00BE68AE">
              <w:rPr>
                <w:rFonts w:eastAsia="Times New Roman" w:cs="Times New Roman"/>
                <w:color w:val="000000" w:themeColor="text1"/>
                <w:sz w:val="22"/>
                <w:lang w:eastAsia="es-CR"/>
              </w:rPr>
              <w:t>San Rafael (O)</w:t>
            </w:r>
          </w:p>
        </w:tc>
        <w:tc>
          <w:tcPr>
            <w:tcW w:w="211" w:type="pct"/>
            <w:vAlign w:val="bottom"/>
          </w:tcPr>
          <w:p w14:paraId="3E0ACD38" w14:textId="77777777" w:rsidR="00F60B69" w:rsidRPr="00BE68AE" w:rsidRDefault="00F60B69" w:rsidP="007A4FE8">
            <w:pPr>
              <w:jc w:val="center"/>
              <w:rPr>
                <w:rFonts w:cs="Times New Roman"/>
                <w:sz w:val="22"/>
              </w:rPr>
            </w:pPr>
            <w:r w:rsidRPr="00BE68AE">
              <w:rPr>
                <w:rFonts w:cs="Times New Roman"/>
                <w:sz w:val="22"/>
              </w:rPr>
              <w:t>361</w:t>
            </w:r>
          </w:p>
        </w:tc>
        <w:tc>
          <w:tcPr>
            <w:tcW w:w="211" w:type="pct"/>
            <w:vAlign w:val="bottom"/>
          </w:tcPr>
          <w:p w14:paraId="3F6FA619" w14:textId="77777777" w:rsidR="00F60B69" w:rsidRPr="00BE68AE" w:rsidRDefault="00F60B69" w:rsidP="007A4FE8">
            <w:pPr>
              <w:jc w:val="center"/>
              <w:rPr>
                <w:rFonts w:cs="Times New Roman"/>
                <w:sz w:val="22"/>
              </w:rPr>
            </w:pPr>
            <w:r w:rsidRPr="00BE68AE">
              <w:rPr>
                <w:rFonts w:cs="Times New Roman"/>
                <w:sz w:val="22"/>
              </w:rPr>
              <w:t>305</w:t>
            </w:r>
          </w:p>
        </w:tc>
        <w:tc>
          <w:tcPr>
            <w:tcW w:w="176" w:type="pct"/>
            <w:vAlign w:val="bottom"/>
          </w:tcPr>
          <w:p w14:paraId="3943F53C" w14:textId="77777777" w:rsidR="00F60B69" w:rsidRPr="00BE68AE" w:rsidRDefault="00F60B69" w:rsidP="007A4FE8">
            <w:pPr>
              <w:jc w:val="center"/>
              <w:rPr>
                <w:rFonts w:cs="Times New Roman"/>
                <w:sz w:val="22"/>
              </w:rPr>
            </w:pPr>
            <w:r w:rsidRPr="00BE68AE">
              <w:rPr>
                <w:rFonts w:cs="Times New Roman"/>
                <w:sz w:val="22"/>
              </w:rPr>
              <w:t>7</w:t>
            </w:r>
          </w:p>
        </w:tc>
        <w:tc>
          <w:tcPr>
            <w:tcW w:w="155" w:type="pct"/>
            <w:vAlign w:val="bottom"/>
          </w:tcPr>
          <w:p w14:paraId="7F23C4B4" w14:textId="77777777" w:rsidR="00F60B69" w:rsidRPr="00BE68AE" w:rsidRDefault="00F60B69" w:rsidP="007A4FE8">
            <w:pPr>
              <w:jc w:val="center"/>
              <w:rPr>
                <w:rFonts w:cs="Times New Roman"/>
                <w:sz w:val="22"/>
              </w:rPr>
            </w:pPr>
            <w:r w:rsidRPr="00BE68AE">
              <w:rPr>
                <w:rFonts w:cs="Times New Roman"/>
                <w:sz w:val="22"/>
              </w:rPr>
              <w:t>3</w:t>
            </w:r>
          </w:p>
        </w:tc>
        <w:tc>
          <w:tcPr>
            <w:tcW w:w="155" w:type="pct"/>
            <w:vAlign w:val="bottom"/>
          </w:tcPr>
          <w:p w14:paraId="1A3E194A" w14:textId="77777777" w:rsidR="00F60B69" w:rsidRPr="00BE68AE" w:rsidRDefault="00F60B69" w:rsidP="007A4FE8">
            <w:pPr>
              <w:jc w:val="center"/>
              <w:rPr>
                <w:rFonts w:cs="Times New Roman"/>
                <w:sz w:val="22"/>
              </w:rPr>
            </w:pPr>
            <w:r w:rsidRPr="00BE68AE">
              <w:rPr>
                <w:rFonts w:cs="Times New Roman"/>
                <w:sz w:val="22"/>
              </w:rPr>
              <w:t>2</w:t>
            </w:r>
          </w:p>
        </w:tc>
        <w:tc>
          <w:tcPr>
            <w:tcW w:w="176" w:type="pct"/>
            <w:vAlign w:val="bottom"/>
          </w:tcPr>
          <w:p w14:paraId="5B5CF4F0" w14:textId="77777777" w:rsidR="00F60B69" w:rsidRPr="00BE68AE" w:rsidRDefault="00F60B69" w:rsidP="007A4FE8">
            <w:pPr>
              <w:jc w:val="center"/>
              <w:rPr>
                <w:rFonts w:cs="Times New Roman"/>
                <w:sz w:val="22"/>
              </w:rPr>
            </w:pPr>
            <w:r w:rsidRPr="00BE68AE">
              <w:rPr>
                <w:rFonts w:cs="Times New Roman"/>
                <w:sz w:val="22"/>
              </w:rPr>
              <w:t>44</w:t>
            </w:r>
          </w:p>
        </w:tc>
        <w:tc>
          <w:tcPr>
            <w:tcW w:w="176" w:type="pct"/>
            <w:vAlign w:val="bottom"/>
          </w:tcPr>
          <w:p w14:paraId="182D78DA" w14:textId="77777777" w:rsidR="00F60B69" w:rsidRPr="00BE68AE" w:rsidRDefault="00F60B69" w:rsidP="007A4FE8">
            <w:pPr>
              <w:jc w:val="center"/>
              <w:rPr>
                <w:rFonts w:cs="Times New Roman"/>
                <w:sz w:val="22"/>
              </w:rPr>
            </w:pPr>
            <w:r w:rsidRPr="00BE68AE">
              <w:rPr>
                <w:rFonts w:cs="Times New Roman"/>
                <w:sz w:val="22"/>
              </w:rPr>
              <w:t>12</w:t>
            </w:r>
          </w:p>
        </w:tc>
        <w:tc>
          <w:tcPr>
            <w:tcW w:w="211" w:type="pct"/>
            <w:vAlign w:val="bottom"/>
          </w:tcPr>
          <w:p w14:paraId="2381F89F" w14:textId="77777777" w:rsidR="00F60B69" w:rsidRPr="00BE68AE" w:rsidRDefault="00F60B69" w:rsidP="007A4FE8">
            <w:pPr>
              <w:jc w:val="center"/>
              <w:rPr>
                <w:rFonts w:cs="Times New Roman"/>
                <w:sz w:val="22"/>
              </w:rPr>
            </w:pPr>
            <w:r w:rsidRPr="00BE68AE">
              <w:rPr>
                <w:rFonts w:cs="Times New Roman"/>
                <w:sz w:val="22"/>
              </w:rPr>
              <w:t>44</w:t>
            </w:r>
          </w:p>
        </w:tc>
        <w:tc>
          <w:tcPr>
            <w:tcW w:w="176" w:type="pct"/>
            <w:vAlign w:val="bottom"/>
          </w:tcPr>
          <w:p w14:paraId="4C2BB2CB" w14:textId="77777777" w:rsidR="00F60B69" w:rsidRPr="00BE68AE" w:rsidRDefault="00F60B69" w:rsidP="007A4FE8">
            <w:pPr>
              <w:jc w:val="center"/>
              <w:rPr>
                <w:rFonts w:cs="Times New Roman"/>
                <w:sz w:val="22"/>
              </w:rPr>
            </w:pPr>
            <w:r w:rsidRPr="00BE68AE">
              <w:rPr>
                <w:rFonts w:cs="Times New Roman"/>
                <w:sz w:val="22"/>
              </w:rPr>
              <w:t>108</w:t>
            </w:r>
          </w:p>
        </w:tc>
        <w:tc>
          <w:tcPr>
            <w:tcW w:w="176" w:type="pct"/>
            <w:vAlign w:val="bottom"/>
          </w:tcPr>
          <w:p w14:paraId="4376F714" w14:textId="77777777" w:rsidR="00F60B69" w:rsidRPr="00BE68AE" w:rsidRDefault="00F60B69" w:rsidP="007A4FE8">
            <w:pPr>
              <w:jc w:val="center"/>
              <w:rPr>
                <w:rFonts w:cs="Times New Roman"/>
                <w:sz w:val="22"/>
              </w:rPr>
            </w:pPr>
            <w:r w:rsidRPr="00BE68AE">
              <w:rPr>
                <w:rFonts w:cs="Times New Roman"/>
                <w:sz w:val="22"/>
              </w:rPr>
              <w:t>95</w:t>
            </w:r>
          </w:p>
        </w:tc>
        <w:tc>
          <w:tcPr>
            <w:tcW w:w="176" w:type="pct"/>
            <w:vAlign w:val="bottom"/>
          </w:tcPr>
          <w:p w14:paraId="45F1923B" w14:textId="77777777" w:rsidR="00F60B69" w:rsidRPr="00BE68AE" w:rsidRDefault="00F60B69" w:rsidP="007A4FE8">
            <w:pPr>
              <w:jc w:val="center"/>
              <w:rPr>
                <w:rFonts w:cs="Times New Roman"/>
                <w:sz w:val="22"/>
              </w:rPr>
            </w:pPr>
            <w:r w:rsidRPr="00BE68AE">
              <w:rPr>
                <w:rFonts w:cs="Times New Roman"/>
                <w:sz w:val="22"/>
              </w:rPr>
              <w:t>102</w:t>
            </w:r>
          </w:p>
        </w:tc>
        <w:tc>
          <w:tcPr>
            <w:tcW w:w="176" w:type="pct"/>
            <w:vAlign w:val="bottom"/>
          </w:tcPr>
          <w:p w14:paraId="5F83C4B6" w14:textId="77777777" w:rsidR="00F60B69" w:rsidRPr="00BE68AE" w:rsidRDefault="00F60B69" w:rsidP="007A4FE8">
            <w:pPr>
              <w:jc w:val="center"/>
              <w:rPr>
                <w:rFonts w:cs="Times New Roman"/>
                <w:sz w:val="22"/>
              </w:rPr>
            </w:pPr>
            <w:r w:rsidRPr="00BE68AE">
              <w:rPr>
                <w:rFonts w:cs="Times New Roman"/>
                <w:sz w:val="22"/>
              </w:rPr>
              <w:t>129</w:t>
            </w:r>
          </w:p>
        </w:tc>
        <w:tc>
          <w:tcPr>
            <w:tcW w:w="176" w:type="pct"/>
            <w:vAlign w:val="bottom"/>
          </w:tcPr>
          <w:p w14:paraId="5D1E6DCE" w14:textId="77777777" w:rsidR="00F60B69" w:rsidRPr="00BE68AE" w:rsidRDefault="00F60B69" w:rsidP="007A4FE8">
            <w:pPr>
              <w:jc w:val="center"/>
              <w:rPr>
                <w:rFonts w:cs="Times New Roman"/>
                <w:sz w:val="22"/>
              </w:rPr>
            </w:pPr>
            <w:r w:rsidRPr="00BE68AE">
              <w:rPr>
                <w:rFonts w:cs="Times New Roman"/>
                <w:sz w:val="22"/>
              </w:rPr>
              <w:t>153</w:t>
            </w:r>
          </w:p>
        </w:tc>
        <w:tc>
          <w:tcPr>
            <w:tcW w:w="194" w:type="pct"/>
            <w:vAlign w:val="bottom"/>
          </w:tcPr>
          <w:p w14:paraId="7367630E" w14:textId="77777777" w:rsidR="00F60B69" w:rsidRPr="00BE68AE" w:rsidRDefault="00F60B69" w:rsidP="007A4FE8">
            <w:pPr>
              <w:jc w:val="center"/>
              <w:rPr>
                <w:rFonts w:cs="Times New Roman"/>
                <w:sz w:val="22"/>
              </w:rPr>
            </w:pPr>
            <w:r w:rsidRPr="00BE68AE">
              <w:rPr>
                <w:rFonts w:cs="Times New Roman"/>
                <w:sz w:val="22"/>
              </w:rPr>
              <w:t>115</w:t>
            </w:r>
          </w:p>
        </w:tc>
        <w:tc>
          <w:tcPr>
            <w:tcW w:w="155" w:type="pct"/>
            <w:vAlign w:val="bottom"/>
          </w:tcPr>
          <w:p w14:paraId="60500D84" w14:textId="77777777" w:rsidR="00F60B69" w:rsidRPr="00BE68AE" w:rsidRDefault="00F60B69" w:rsidP="007A4FE8">
            <w:pPr>
              <w:jc w:val="center"/>
              <w:rPr>
                <w:rFonts w:cs="Times New Roman"/>
                <w:sz w:val="22"/>
              </w:rPr>
            </w:pPr>
            <w:r w:rsidRPr="00BE68AE">
              <w:rPr>
                <w:rFonts w:cs="Times New Roman"/>
                <w:sz w:val="22"/>
              </w:rPr>
              <w:t>7</w:t>
            </w:r>
          </w:p>
        </w:tc>
        <w:tc>
          <w:tcPr>
            <w:tcW w:w="176" w:type="pct"/>
            <w:vAlign w:val="bottom"/>
          </w:tcPr>
          <w:p w14:paraId="7A235D7D" w14:textId="77777777" w:rsidR="00F60B69" w:rsidRPr="00BE68AE" w:rsidRDefault="00F60B69" w:rsidP="007A4FE8">
            <w:pPr>
              <w:jc w:val="center"/>
              <w:rPr>
                <w:rFonts w:cs="Times New Roman"/>
                <w:sz w:val="22"/>
              </w:rPr>
            </w:pPr>
            <w:r w:rsidRPr="00BE68AE">
              <w:rPr>
                <w:rFonts w:cs="Times New Roman"/>
                <w:sz w:val="22"/>
              </w:rPr>
              <w:t>153</w:t>
            </w:r>
          </w:p>
        </w:tc>
        <w:tc>
          <w:tcPr>
            <w:tcW w:w="176" w:type="pct"/>
            <w:vAlign w:val="bottom"/>
          </w:tcPr>
          <w:p w14:paraId="39C66AC3" w14:textId="77777777" w:rsidR="00F60B69" w:rsidRPr="00BE68AE" w:rsidRDefault="00F60B69" w:rsidP="007A4FE8">
            <w:pPr>
              <w:jc w:val="center"/>
              <w:rPr>
                <w:rFonts w:cs="Times New Roman"/>
                <w:sz w:val="22"/>
              </w:rPr>
            </w:pPr>
            <w:r w:rsidRPr="00BE68AE">
              <w:rPr>
                <w:rFonts w:cs="Times New Roman"/>
                <w:sz w:val="22"/>
              </w:rPr>
              <w:t>171</w:t>
            </w:r>
          </w:p>
        </w:tc>
        <w:tc>
          <w:tcPr>
            <w:tcW w:w="176" w:type="pct"/>
            <w:vAlign w:val="bottom"/>
          </w:tcPr>
          <w:p w14:paraId="0BFA997A" w14:textId="77777777" w:rsidR="00F60B69" w:rsidRPr="00BE68AE" w:rsidRDefault="00F60B69" w:rsidP="007A4FE8">
            <w:pPr>
              <w:jc w:val="center"/>
              <w:rPr>
                <w:rFonts w:cs="Times New Roman"/>
                <w:sz w:val="22"/>
              </w:rPr>
            </w:pPr>
            <w:r w:rsidRPr="00BE68AE">
              <w:rPr>
                <w:rFonts w:cs="Times New Roman"/>
                <w:sz w:val="22"/>
              </w:rPr>
              <w:t>108</w:t>
            </w:r>
          </w:p>
        </w:tc>
        <w:tc>
          <w:tcPr>
            <w:tcW w:w="176" w:type="pct"/>
            <w:vAlign w:val="bottom"/>
          </w:tcPr>
          <w:p w14:paraId="27DEA09C" w14:textId="77777777" w:rsidR="00F60B69" w:rsidRPr="00BE68AE" w:rsidRDefault="00F60B69" w:rsidP="007A4FE8">
            <w:pPr>
              <w:jc w:val="center"/>
              <w:rPr>
                <w:rFonts w:cs="Times New Roman"/>
                <w:sz w:val="22"/>
              </w:rPr>
            </w:pPr>
            <w:r w:rsidRPr="00BE68AE">
              <w:rPr>
                <w:rFonts w:cs="Times New Roman"/>
                <w:sz w:val="22"/>
              </w:rPr>
              <w:t>45</w:t>
            </w:r>
          </w:p>
        </w:tc>
        <w:tc>
          <w:tcPr>
            <w:tcW w:w="211" w:type="pct"/>
            <w:vAlign w:val="bottom"/>
          </w:tcPr>
          <w:p w14:paraId="22C4387F" w14:textId="77777777" w:rsidR="00F60B69" w:rsidRPr="00BE68AE" w:rsidRDefault="00F60B69" w:rsidP="007A4FE8">
            <w:pPr>
              <w:jc w:val="center"/>
              <w:rPr>
                <w:rFonts w:cs="Times New Roman"/>
                <w:sz w:val="22"/>
              </w:rPr>
            </w:pPr>
            <w:r w:rsidRPr="00BE68AE">
              <w:rPr>
                <w:rFonts w:cs="Times New Roman"/>
                <w:sz w:val="22"/>
              </w:rPr>
              <w:t>34</w:t>
            </w:r>
          </w:p>
        </w:tc>
        <w:tc>
          <w:tcPr>
            <w:tcW w:w="155" w:type="pct"/>
            <w:vAlign w:val="bottom"/>
          </w:tcPr>
          <w:p w14:paraId="5CB81FF9" w14:textId="77777777" w:rsidR="00F60B69" w:rsidRPr="00BE68AE" w:rsidRDefault="00F60B69" w:rsidP="007A4FE8">
            <w:pPr>
              <w:jc w:val="center"/>
              <w:rPr>
                <w:rFonts w:cs="Times New Roman"/>
                <w:sz w:val="22"/>
              </w:rPr>
            </w:pPr>
            <w:r w:rsidRPr="00BE68AE">
              <w:rPr>
                <w:rFonts w:cs="Times New Roman"/>
                <w:sz w:val="22"/>
              </w:rPr>
              <w:t>3</w:t>
            </w:r>
          </w:p>
        </w:tc>
        <w:tc>
          <w:tcPr>
            <w:tcW w:w="176" w:type="pct"/>
            <w:vAlign w:val="bottom"/>
          </w:tcPr>
          <w:p w14:paraId="1EAF8A5F" w14:textId="77777777" w:rsidR="00F60B69" w:rsidRPr="00BE68AE" w:rsidRDefault="00F60B69" w:rsidP="007A4FE8">
            <w:pPr>
              <w:jc w:val="center"/>
              <w:rPr>
                <w:rFonts w:cs="Times New Roman"/>
                <w:sz w:val="22"/>
              </w:rPr>
            </w:pPr>
            <w:r w:rsidRPr="00BE68AE">
              <w:rPr>
                <w:rFonts w:cs="Times New Roman"/>
                <w:sz w:val="22"/>
              </w:rPr>
              <w:t>156</w:t>
            </w:r>
          </w:p>
        </w:tc>
        <w:tc>
          <w:tcPr>
            <w:tcW w:w="155" w:type="pct"/>
            <w:vAlign w:val="bottom"/>
          </w:tcPr>
          <w:p w14:paraId="4F5C1C1A" w14:textId="77777777" w:rsidR="00F60B69" w:rsidRPr="00BE68AE" w:rsidRDefault="00F60B69" w:rsidP="007A4FE8">
            <w:pPr>
              <w:jc w:val="center"/>
              <w:rPr>
                <w:rFonts w:cs="Times New Roman"/>
                <w:sz w:val="22"/>
              </w:rPr>
            </w:pPr>
            <w:r w:rsidRPr="00BE68AE">
              <w:rPr>
                <w:rFonts w:cs="Times New Roman"/>
                <w:sz w:val="22"/>
              </w:rPr>
              <w:t>32</w:t>
            </w:r>
          </w:p>
        </w:tc>
        <w:tc>
          <w:tcPr>
            <w:tcW w:w="176" w:type="pct"/>
            <w:vAlign w:val="bottom"/>
          </w:tcPr>
          <w:p w14:paraId="1BAEF720" w14:textId="77777777" w:rsidR="00F60B69" w:rsidRPr="00BE68AE" w:rsidRDefault="00F60B69" w:rsidP="007A4FE8">
            <w:pPr>
              <w:jc w:val="center"/>
              <w:rPr>
                <w:rFonts w:cs="Times New Roman"/>
                <w:sz w:val="22"/>
              </w:rPr>
            </w:pPr>
            <w:r w:rsidRPr="00BE68AE">
              <w:rPr>
                <w:rFonts w:cs="Times New Roman"/>
                <w:sz w:val="22"/>
              </w:rPr>
              <w:t>60</w:t>
            </w:r>
          </w:p>
        </w:tc>
        <w:tc>
          <w:tcPr>
            <w:tcW w:w="176" w:type="pct"/>
            <w:vAlign w:val="bottom"/>
          </w:tcPr>
          <w:p w14:paraId="224B4CC3" w14:textId="77777777" w:rsidR="00F60B69" w:rsidRPr="00BE68AE" w:rsidRDefault="00F60B69" w:rsidP="007A4FE8">
            <w:pPr>
              <w:jc w:val="center"/>
              <w:rPr>
                <w:rFonts w:cs="Times New Roman"/>
                <w:sz w:val="22"/>
              </w:rPr>
            </w:pPr>
            <w:r w:rsidRPr="00BE68AE">
              <w:rPr>
                <w:rFonts w:cs="Times New Roman"/>
                <w:sz w:val="22"/>
              </w:rPr>
              <w:t>139</w:t>
            </w:r>
          </w:p>
        </w:tc>
      </w:tr>
      <w:tr w:rsidR="00F60B69" w:rsidRPr="00BE68AE" w14:paraId="0022FE64" w14:textId="77777777" w:rsidTr="00B816DC">
        <w:tc>
          <w:tcPr>
            <w:tcW w:w="548" w:type="pct"/>
          </w:tcPr>
          <w:p w14:paraId="6AAD5C10" w14:textId="77777777" w:rsidR="00F60B69" w:rsidRPr="00BE68AE" w:rsidRDefault="00F60B69" w:rsidP="007A4FE8">
            <w:pPr>
              <w:jc w:val="both"/>
              <w:rPr>
                <w:rFonts w:cs="Times New Roman"/>
                <w:sz w:val="22"/>
              </w:rPr>
            </w:pPr>
            <w:r w:rsidRPr="00BE68AE">
              <w:rPr>
                <w:rFonts w:eastAsia="Times New Roman" w:cs="Times New Roman"/>
                <w:sz w:val="22"/>
                <w:lang w:eastAsia="es-CR"/>
              </w:rPr>
              <w:t>Santa Cruz (T)</w:t>
            </w:r>
          </w:p>
        </w:tc>
        <w:tc>
          <w:tcPr>
            <w:tcW w:w="211" w:type="pct"/>
            <w:vAlign w:val="bottom"/>
          </w:tcPr>
          <w:p w14:paraId="17B1B099" w14:textId="77777777" w:rsidR="00F60B69" w:rsidRPr="00BE68AE" w:rsidRDefault="00F60B69" w:rsidP="007A4FE8">
            <w:pPr>
              <w:jc w:val="center"/>
              <w:rPr>
                <w:rFonts w:cs="Times New Roman"/>
                <w:sz w:val="22"/>
              </w:rPr>
            </w:pPr>
            <w:r w:rsidRPr="00BE68AE">
              <w:rPr>
                <w:rFonts w:cs="Times New Roman"/>
                <w:sz w:val="22"/>
              </w:rPr>
              <w:t>22</w:t>
            </w:r>
          </w:p>
        </w:tc>
        <w:tc>
          <w:tcPr>
            <w:tcW w:w="211" w:type="pct"/>
            <w:vAlign w:val="bottom"/>
          </w:tcPr>
          <w:p w14:paraId="16D0AECF" w14:textId="77777777" w:rsidR="00F60B69" w:rsidRPr="00BE68AE" w:rsidRDefault="00F60B69" w:rsidP="007A4FE8">
            <w:pPr>
              <w:jc w:val="center"/>
              <w:rPr>
                <w:rFonts w:cs="Times New Roman"/>
                <w:sz w:val="22"/>
              </w:rPr>
            </w:pPr>
          </w:p>
        </w:tc>
        <w:tc>
          <w:tcPr>
            <w:tcW w:w="176" w:type="pct"/>
            <w:vAlign w:val="bottom"/>
          </w:tcPr>
          <w:p w14:paraId="5ECEEAC7" w14:textId="77777777" w:rsidR="00F60B69" w:rsidRPr="00BE68AE" w:rsidRDefault="00F60B69" w:rsidP="007A4FE8">
            <w:pPr>
              <w:jc w:val="center"/>
              <w:rPr>
                <w:rFonts w:cs="Times New Roman"/>
                <w:sz w:val="22"/>
              </w:rPr>
            </w:pPr>
            <w:r w:rsidRPr="00BE68AE">
              <w:rPr>
                <w:rFonts w:cs="Times New Roman"/>
                <w:sz w:val="22"/>
              </w:rPr>
              <w:t>22</w:t>
            </w:r>
          </w:p>
        </w:tc>
        <w:tc>
          <w:tcPr>
            <w:tcW w:w="155" w:type="pct"/>
            <w:vAlign w:val="bottom"/>
          </w:tcPr>
          <w:p w14:paraId="4311BB3F" w14:textId="77777777" w:rsidR="00F60B69" w:rsidRPr="00BE68AE" w:rsidRDefault="00F60B69" w:rsidP="007A4FE8">
            <w:pPr>
              <w:jc w:val="center"/>
              <w:rPr>
                <w:rFonts w:cs="Times New Roman"/>
                <w:sz w:val="22"/>
              </w:rPr>
            </w:pPr>
          </w:p>
        </w:tc>
        <w:tc>
          <w:tcPr>
            <w:tcW w:w="155" w:type="pct"/>
            <w:vAlign w:val="bottom"/>
          </w:tcPr>
          <w:p w14:paraId="1A492965" w14:textId="77777777" w:rsidR="00F60B69" w:rsidRPr="00BE68AE" w:rsidRDefault="00F60B69" w:rsidP="007A4FE8">
            <w:pPr>
              <w:jc w:val="center"/>
              <w:rPr>
                <w:rFonts w:cs="Times New Roman"/>
                <w:sz w:val="22"/>
              </w:rPr>
            </w:pPr>
          </w:p>
        </w:tc>
        <w:tc>
          <w:tcPr>
            <w:tcW w:w="176" w:type="pct"/>
            <w:vAlign w:val="bottom"/>
          </w:tcPr>
          <w:p w14:paraId="03C5C270" w14:textId="77777777" w:rsidR="00F60B69" w:rsidRPr="00BE68AE" w:rsidRDefault="00F60B69" w:rsidP="007A4FE8">
            <w:pPr>
              <w:jc w:val="center"/>
              <w:rPr>
                <w:rFonts w:cs="Times New Roman"/>
                <w:sz w:val="22"/>
              </w:rPr>
            </w:pPr>
          </w:p>
        </w:tc>
        <w:tc>
          <w:tcPr>
            <w:tcW w:w="176" w:type="pct"/>
            <w:vAlign w:val="bottom"/>
          </w:tcPr>
          <w:p w14:paraId="54C105BF" w14:textId="77777777" w:rsidR="00F60B69" w:rsidRPr="00BE68AE" w:rsidRDefault="00F60B69" w:rsidP="007A4FE8">
            <w:pPr>
              <w:jc w:val="center"/>
              <w:rPr>
                <w:rFonts w:cs="Times New Roman"/>
                <w:sz w:val="22"/>
              </w:rPr>
            </w:pPr>
            <w:r w:rsidRPr="00BE68AE">
              <w:rPr>
                <w:rFonts w:cs="Times New Roman"/>
                <w:sz w:val="22"/>
              </w:rPr>
              <w:t>4</w:t>
            </w:r>
          </w:p>
        </w:tc>
        <w:tc>
          <w:tcPr>
            <w:tcW w:w="211" w:type="pct"/>
            <w:vAlign w:val="bottom"/>
          </w:tcPr>
          <w:p w14:paraId="0C066009" w14:textId="77777777" w:rsidR="00F60B69" w:rsidRPr="00BE68AE" w:rsidRDefault="00F60B69" w:rsidP="007A4FE8">
            <w:pPr>
              <w:jc w:val="center"/>
              <w:rPr>
                <w:rFonts w:cs="Times New Roman"/>
                <w:sz w:val="22"/>
              </w:rPr>
            </w:pPr>
            <w:r w:rsidRPr="00BE68AE">
              <w:rPr>
                <w:rFonts w:cs="Times New Roman"/>
                <w:sz w:val="22"/>
              </w:rPr>
              <w:t>18</w:t>
            </w:r>
          </w:p>
        </w:tc>
        <w:tc>
          <w:tcPr>
            <w:tcW w:w="176" w:type="pct"/>
            <w:vAlign w:val="bottom"/>
          </w:tcPr>
          <w:p w14:paraId="6B9EDF1B" w14:textId="77777777" w:rsidR="00F60B69" w:rsidRPr="00BE68AE" w:rsidRDefault="00F60B69" w:rsidP="007A4FE8">
            <w:pPr>
              <w:jc w:val="center"/>
              <w:rPr>
                <w:rFonts w:cs="Times New Roman"/>
                <w:sz w:val="22"/>
              </w:rPr>
            </w:pPr>
          </w:p>
        </w:tc>
        <w:tc>
          <w:tcPr>
            <w:tcW w:w="176" w:type="pct"/>
            <w:vAlign w:val="bottom"/>
          </w:tcPr>
          <w:p w14:paraId="48E20498" w14:textId="77777777" w:rsidR="00F60B69" w:rsidRPr="00BE68AE" w:rsidRDefault="00F60B69" w:rsidP="007A4FE8">
            <w:pPr>
              <w:jc w:val="center"/>
              <w:rPr>
                <w:rFonts w:cs="Times New Roman"/>
                <w:sz w:val="22"/>
              </w:rPr>
            </w:pPr>
          </w:p>
        </w:tc>
        <w:tc>
          <w:tcPr>
            <w:tcW w:w="176" w:type="pct"/>
            <w:vAlign w:val="bottom"/>
          </w:tcPr>
          <w:p w14:paraId="21D729BD" w14:textId="77777777" w:rsidR="00F60B69" w:rsidRPr="00BE68AE" w:rsidRDefault="00F60B69" w:rsidP="007A4FE8">
            <w:pPr>
              <w:jc w:val="center"/>
              <w:rPr>
                <w:rFonts w:cs="Times New Roman"/>
                <w:sz w:val="22"/>
              </w:rPr>
            </w:pPr>
          </w:p>
        </w:tc>
        <w:tc>
          <w:tcPr>
            <w:tcW w:w="176" w:type="pct"/>
            <w:vAlign w:val="bottom"/>
          </w:tcPr>
          <w:p w14:paraId="56690E6D" w14:textId="77777777" w:rsidR="00F60B69" w:rsidRPr="00BE68AE" w:rsidRDefault="00F60B69" w:rsidP="007A4FE8">
            <w:pPr>
              <w:jc w:val="center"/>
              <w:rPr>
                <w:rFonts w:cs="Times New Roman"/>
                <w:sz w:val="22"/>
              </w:rPr>
            </w:pPr>
            <w:r w:rsidRPr="00BE68AE">
              <w:rPr>
                <w:rFonts w:cs="Times New Roman"/>
                <w:sz w:val="22"/>
              </w:rPr>
              <w:t>5</w:t>
            </w:r>
          </w:p>
        </w:tc>
        <w:tc>
          <w:tcPr>
            <w:tcW w:w="176" w:type="pct"/>
            <w:vAlign w:val="bottom"/>
          </w:tcPr>
          <w:p w14:paraId="175B527A" w14:textId="77777777" w:rsidR="00F60B69" w:rsidRPr="00BE68AE" w:rsidRDefault="00F60B69" w:rsidP="007A4FE8">
            <w:pPr>
              <w:jc w:val="center"/>
              <w:rPr>
                <w:rFonts w:cs="Times New Roman"/>
                <w:sz w:val="22"/>
              </w:rPr>
            </w:pPr>
            <w:r w:rsidRPr="00BE68AE">
              <w:rPr>
                <w:rFonts w:cs="Times New Roman"/>
                <w:sz w:val="22"/>
              </w:rPr>
              <w:t>8</w:t>
            </w:r>
          </w:p>
        </w:tc>
        <w:tc>
          <w:tcPr>
            <w:tcW w:w="194" w:type="pct"/>
            <w:vAlign w:val="bottom"/>
          </w:tcPr>
          <w:p w14:paraId="2577D4DC" w14:textId="77777777" w:rsidR="00F60B69" w:rsidRPr="00BE68AE" w:rsidRDefault="00F60B69" w:rsidP="007A4FE8">
            <w:pPr>
              <w:jc w:val="center"/>
              <w:rPr>
                <w:rFonts w:cs="Times New Roman"/>
                <w:sz w:val="22"/>
              </w:rPr>
            </w:pPr>
            <w:r w:rsidRPr="00BE68AE">
              <w:rPr>
                <w:rFonts w:cs="Times New Roman"/>
                <w:sz w:val="22"/>
              </w:rPr>
              <w:t>1</w:t>
            </w:r>
          </w:p>
        </w:tc>
        <w:tc>
          <w:tcPr>
            <w:tcW w:w="155" w:type="pct"/>
            <w:vAlign w:val="bottom"/>
          </w:tcPr>
          <w:p w14:paraId="012DBACA" w14:textId="77777777" w:rsidR="00F60B69" w:rsidRPr="00BE68AE" w:rsidRDefault="00F60B69" w:rsidP="007A4FE8">
            <w:pPr>
              <w:jc w:val="center"/>
              <w:rPr>
                <w:rFonts w:cs="Times New Roman"/>
                <w:sz w:val="22"/>
              </w:rPr>
            </w:pPr>
          </w:p>
        </w:tc>
        <w:tc>
          <w:tcPr>
            <w:tcW w:w="176" w:type="pct"/>
            <w:vAlign w:val="bottom"/>
          </w:tcPr>
          <w:p w14:paraId="52639A11" w14:textId="77777777" w:rsidR="00F60B69" w:rsidRPr="00BE68AE" w:rsidRDefault="00F60B69" w:rsidP="007A4FE8">
            <w:pPr>
              <w:jc w:val="center"/>
              <w:rPr>
                <w:rFonts w:cs="Times New Roman"/>
                <w:sz w:val="22"/>
              </w:rPr>
            </w:pPr>
          </w:p>
        </w:tc>
        <w:tc>
          <w:tcPr>
            <w:tcW w:w="176" w:type="pct"/>
            <w:vAlign w:val="bottom"/>
          </w:tcPr>
          <w:p w14:paraId="521A7157" w14:textId="77777777" w:rsidR="00F60B69" w:rsidRPr="00BE68AE" w:rsidRDefault="00F60B69" w:rsidP="007A4FE8">
            <w:pPr>
              <w:jc w:val="center"/>
              <w:rPr>
                <w:rFonts w:cs="Times New Roman"/>
                <w:sz w:val="22"/>
              </w:rPr>
            </w:pPr>
          </w:p>
        </w:tc>
        <w:tc>
          <w:tcPr>
            <w:tcW w:w="176" w:type="pct"/>
            <w:vAlign w:val="bottom"/>
          </w:tcPr>
          <w:p w14:paraId="5B7B02E0" w14:textId="77777777" w:rsidR="00F60B69" w:rsidRPr="00BE68AE" w:rsidRDefault="00F60B69" w:rsidP="007A4FE8">
            <w:pPr>
              <w:jc w:val="center"/>
              <w:rPr>
                <w:rFonts w:cs="Times New Roman"/>
                <w:sz w:val="22"/>
              </w:rPr>
            </w:pPr>
          </w:p>
        </w:tc>
        <w:tc>
          <w:tcPr>
            <w:tcW w:w="176" w:type="pct"/>
            <w:vAlign w:val="bottom"/>
          </w:tcPr>
          <w:p w14:paraId="192A3746" w14:textId="77777777" w:rsidR="00F60B69" w:rsidRPr="00BE68AE" w:rsidRDefault="00F60B69" w:rsidP="007A4FE8">
            <w:pPr>
              <w:jc w:val="center"/>
              <w:rPr>
                <w:rFonts w:cs="Times New Roman"/>
                <w:sz w:val="22"/>
              </w:rPr>
            </w:pPr>
          </w:p>
        </w:tc>
        <w:tc>
          <w:tcPr>
            <w:tcW w:w="211" w:type="pct"/>
            <w:vAlign w:val="bottom"/>
          </w:tcPr>
          <w:p w14:paraId="0397417D" w14:textId="77777777" w:rsidR="00F60B69" w:rsidRPr="00BE68AE" w:rsidRDefault="00F60B69" w:rsidP="007A4FE8">
            <w:pPr>
              <w:jc w:val="center"/>
              <w:rPr>
                <w:rFonts w:cs="Times New Roman"/>
                <w:sz w:val="22"/>
              </w:rPr>
            </w:pPr>
            <w:r w:rsidRPr="00BE68AE">
              <w:rPr>
                <w:rFonts w:cs="Times New Roman"/>
                <w:sz w:val="22"/>
              </w:rPr>
              <w:t>22</w:t>
            </w:r>
          </w:p>
        </w:tc>
        <w:tc>
          <w:tcPr>
            <w:tcW w:w="155" w:type="pct"/>
            <w:vAlign w:val="bottom"/>
          </w:tcPr>
          <w:p w14:paraId="5CB80FB5" w14:textId="77777777" w:rsidR="00F60B69" w:rsidRPr="00BE68AE" w:rsidRDefault="00F60B69" w:rsidP="007A4FE8">
            <w:pPr>
              <w:jc w:val="center"/>
              <w:rPr>
                <w:rFonts w:cs="Times New Roman"/>
                <w:sz w:val="22"/>
              </w:rPr>
            </w:pPr>
          </w:p>
        </w:tc>
        <w:tc>
          <w:tcPr>
            <w:tcW w:w="176" w:type="pct"/>
            <w:vAlign w:val="bottom"/>
          </w:tcPr>
          <w:p w14:paraId="1C3F6E8B" w14:textId="77777777" w:rsidR="00F60B69" w:rsidRPr="00BE68AE" w:rsidRDefault="00F60B69" w:rsidP="007A4FE8">
            <w:pPr>
              <w:jc w:val="center"/>
              <w:rPr>
                <w:rFonts w:cs="Times New Roman"/>
                <w:sz w:val="22"/>
              </w:rPr>
            </w:pPr>
          </w:p>
        </w:tc>
        <w:tc>
          <w:tcPr>
            <w:tcW w:w="155" w:type="pct"/>
            <w:vAlign w:val="bottom"/>
          </w:tcPr>
          <w:p w14:paraId="48809187" w14:textId="77777777" w:rsidR="00F60B69" w:rsidRPr="00BE68AE" w:rsidRDefault="00F60B69" w:rsidP="007A4FE8">
            <w:pPr>
              <w:jc w:val="center"/>
              <w:rPr>
                <w:rFonts w:cs="Times New Roman"/>
                <w:sz w:val="22"/>
              </w:rPr>
            </w:pPr>
          </w:p>
        </w:tc>
        <w:tc>
          <w:tcPr>
            <w:tcW w:w="176" w:type="pct"/>
            <w:vAlign w:val="bottom"/>
          </w:tcPr>
          <w:p w14:paraId="075BC961"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67493FD7" w14:textId="77777777" w:rsidR="00F60B69" w:rsidRPr="00BE68AE" w:rsidRDefault="00F60B69" w:rsidP="007A4FE8">
            <w:pPr>
              <w:jc w:val="center"/>
              <w:rPr>
                <w:rFonts w:cs="Times New Roman"/>
                <w:sz w:val="22"/>
              </w:rPr>
            </w:pPr>
          </w:p>
        </w:tc>
      </w:tr>
      <w:tr w:rsidR="00F60B69" w:rsidRPr="00BE68AE" w14:paraId="7C8C91AA" w14:textId="77777777" w:rsidTr="00B816DC">
        <w:tc>
          <w:tcPr>
            <w:tcW w:w="548" w:type="pct"/>
          </w:tcPr>
          <w:p w14:paraId="5985E94A" w14:textId="77777777" w:rsidR="00F60B69" w:rsidRPr="00BE68AE" w:rsidRDefault="00F60B69" w:rsidP="007A4FE8">
            <w:pPr>
              <w:jc w:val="both"/>
              <w:rPr>
                <w:rFonts w:cs="Times New Roman"/>
                <w:sz w:val="22"/>
              </w:rPr>
            </w:pPr>
            <w:r w:rsidRPr="00BE68AE">
              <w:rPr>
                <w:rFonts w:eastAsia="Times New Roman" w:cs="Times New Roman"/>
                <w:color w:val="000000" w:themeColor="text1"/>
                <w:sz w:val="22"/>
                <w:lang w:eastAsia="es-CR"/>
              </w:rPr>
              <w:t>Sta. Rosa (O)</w:t>
            </w:r>
          </w:p>
        </w:tc>
        <w:tc>
          <w:tcPr>
            <w:tcW w:w="211" w:type="pct"/>
            <w:vAlign w:val="bottom"/>
          </w:tcPr>
          <w:p w14:paraId="0153A71C" w14:textId="77777777" w:rsidR="00F60B69" w:rsidRPr="00BE68AE" w:rsidRDefault="00F60B69" w:rsidP="007A4FE8">
            <w:pPr>
              <w:jc w:val="center"/>
              <w:rPr>
                <w:rFonts w:cs="Times New Roman"/>
                <w:sz w:val="22"/>
              </w:rPr>
            </w:pPr>
            <w:r w:rsidRPr="00BE68AE">
              <w:rPr>
                <w:rFonts w:cs="Times New Roman"/>
                <w:sz w:val="22"/>
              </w:rPr>
              <w:t>58</w:t>
            </w:r>
          </w:p>
        </w:tc>
        <w:tc>
          <w:tcPr>
            <w:tcW w:w="211" w:type="pct"/>
            <w:vAlign w:val="bottom"/>
          </w:tcPr>
          <w:p w14:paraId="013E9C44" w14:textId="77777777" w:rsidR="00F60B69" w:rsidRPr="00BE68AE" w:rsidRDefault="00F60B69" w:rsidP="007A4FE8">
            <w:pPr>
              <w:jc w:val="center"/>
              <w:rPr>
                <w:rFonts w:cs="Times New Roman"/>
                <w:sz w:val="22"/>
              </w:rPr>
            </w:pPr>
            <w:r w:rsidRPr="00BE68AE">
              <w:rPr>
                <w:rFonts w:cs="Times New Roman"/>
                <w:sz w:val="22"/>
              </w:rPr>
              <w:t>3</w:t>
            </w:r>
          </w:p>
        </w:tc>
        <w:tc>
          <w:tcPr>
            <w:tcW w:w="176" w:type="pct"/>
            <w:vAlign w:val="bottom"/>
          </w:tcPr>
          <w:p w14:paraId="59FD8DEE" w14:textId="77777777" w:rsidR="00F60B69" w:rsidRPr="00BE68AE" w:rsidRDefault="00F60B69" w:rsidP="007A4FE8">
            <w:pPr>
              <w:jc w:val="center"/>
              <w:rPr>
                <w:rFonts w:cs="Times New Roman"/>
                <w:sz w:val="22"/>
              </w:rPr>
            </w:pPr>
            <w:r w:rsidRPr="00BE68AE">
              <w:rPr>
                <w:rFonts w:cs="Times New Roman"/>
                <w:sz w:val="22"/>
              </w:rPr>
              <w:t>50</w:t>
            </w:r>
          </w:p>
        </w:tc>
        <w:tc>
          <w:tcPr>
            <w:tcW w:w="155" w:type="pct"/>
            <w:vAlign w:val="bottom"/>
          </w:tcPr>
          <w:p w14:paraId="6F3AD5C2" w14:textId="77777777" w:rsidR="00F60B69" w:rsidRPr="00BE68AE" w:rsidRDefault="00F60B69" w:rsidP="007A4FE8">
            <w:pPr>
              <w:jc w:val="center"/>
              <w:rPr>
                <w:rFonts w:cs="Times New Roman"/>
                <w:sz w:val="22"/>
              </w:rPr>
            </w:pPr>
          </w:p>
        </w:tc>
        <w:tc>
          <w:tcPr>
            <w:tcW w:w="155" w:type="pct"/>
            <w:vAlign w:val="bottom"/>
          </w:tcPr>
          <w:p w14:paraId="3F277374" w14:textId="77777777" w:rsidR="00F60B69" w:rsidRPr="00BE68AE" w:rsidRDefault="00F60B69" w:rsidP="007A4FE8">
            <w:pPr>
              <w:jc w:val="center"/>
              <w:rPr>
                <w:rFonts w:cs="Times New Roman"/>
                <w:sz w:val="22"/>
              </w:rPr>
            </w:pPr>
          </w:p>
        </w:tc>
        <w:tc>
          <w:tcPr>
            <w:tcW w:w="176" w:type="pct"/>
            <w:vAlign w:val="bottom"/>
          </w:tcPr>
          <w:p w14:paraId="67850C45" w14:textId="77777777" w:rsidR="00F60B69" w:rsidRPr="00BE68AE" w:rsidRDefault="00F60B69" w:rsidP="007A4FE8">
            <w:pPr>
              <w:jc w:val="center"/>
              <w:rPr>
                <w:rFonts w:cs="Times New Roman"/>
                <w:sz w:val="22"/>
              </w:rPr>
            </w:pPr>
            <w:r w:rsidRPr="00BE68AE">
              <w:rPr>
                <w:rFonts w:cs="Times New Roman"/>
                <w:sz w:val="22"/>
              </w:rPr>
              <w:t>5</w:t>
            </w:r>
          </w:p>
        </w:tc>
        <w:tc>
          <w:tcPr>
            <w:tcW w:w="176" w:type="pct"/>
            <w:vAlign w:val="bottom"/>
          </w:tcPr>
          <w:p w14:paraId="763498D1" w14:textId="77777777" w:rsidR="00F60B69" w:rsidRPr="00BE68AE" w:rsidRDefault="00F60B69" w:rsidP="007A4FE8">
            <w:pPr>
              <w:jc w:val="center"/>
              <w:rPr>
                <w:rFonts w:cs="Times New Roman"/>
                <w:sz w:val="22"/>
              </w:rPr>
            </w:pPr>
            <w:r w:rsidRPr="00BE68AE">
              <w:rPr>
                <w:rFonts w:cs="Times New Roman"/>
                <w:sz w:val="22"/>
              </w:rPr>
              <w:t>33</w:t>
            </w:r>
          </w:p>
        </w:tc>
        <w:tc>
          <w:tcPr>
            <w:tcW w:w="211" w:type="pct"/>
            <w:vAlign w:val="bottom"/>
          </w:tcPr>
          <w:p w14:paraId="5AD77D64" w14:textId="77777777" w:rsidR="00F60B69" w:rsidRPr="00BE68AE" w:rsidRDefault="00F60B69" w:rsidP="007A4FE8">
            <w:pPr>
              <w:jc w:val="center"/>
              <w:rPr>
                <w:rFonts w:cs="Times New Roman"/>
                <w:sz w:val="22"/>
              </w:rPr>
            </w:pPr>
            <w:r w:rsidRPr="00BE68AE">
              <w:rPr>
                <w:rFonts w:cs="Times New Roman"/>
                <w:sz w:val="22"/>
              </w:rPr>
              <w:t>21</w:t>
            </w:r>
          </w:p>
        </w:tc>
        <w:tc>
          <w:tcPr>
            <w:tcW w:w="176" w:type="pct"/>
            <w:vAlign w:val="bottom"/>
          </w:tcPr>
          <w:p w14:paraId="17F23BB9" w14:textId="77777777" w:rsidR="00F60B69" w:rsidRPr="00BE68AE" w:rsidRDefault="00F60B69" w:rsidP="007A4FE8">
            <w:pPr>
              <w:jc w:val="center"/>
              <w:rPr>
                <w:rFonts w:cs="Times New Roman"/>
                <w:sz w:val="22"/>
              </w:rPr>
            </w:pPr>
            <w:r w:rsidRPr="00BE68AE">
              <w:rPr>
                <w:rFonts w:cs="Times New Roman"/>
                <w:sz w:val="22"/>
              </w:rPr>
              <w:t>4</w:t>
            </w:r>
          </w:p>
        </w:tc>
        <w:tc>
          <w:tcPr>
            <w:tcW w:w="176" w:type="pct"/>
            <w:vAlign w:val="bottom"/>
          </w:tcPr>
          <w:p w14:paraId="42E9EC3E" w14:textId="77777777" w:rsidR="00F60B69" w:rsidRPr="00BE68AE" w:rsidRDefault="00F60B69" w:rsidP="007A4FE8">
            <w:pPr>
              <w:jc w:val="center"/>
              <w:rPr>
                <w:rFonts w:cs="Times New Roman"/>
                <w:sz w:val="22"/>
              </w:rPr>
            </w:pPr>
          </w:p>
        </w:tc>
        <w:tc>
          <w:tcPr>
            <w:tcW w:w="176" w:type="pct"/>
            <w:vAlign w:val="bottom"/>
          </w:tcPr>
          <w:p w14:paraId="2318DDAB" w14:textId="77777777" w:rsidR="00F60B69" w:rsidRPr="00BE68AE" w:rsidRDefault="00F60B69" w:rsidP="007A4FE8">
            <w:pPr>
              <w:jc w:val="center"/>
              <w:rPr>
                <w:rFonts w:cs="Times New Roman"/>
                <w:sz w:val="22"/>
              </w:rPr>
            </w:pPr>
          </w:p>
        </w:tc>
        <w:tc>
          <w:tcPr>
            <w:tcW w:w="176" w:type="pct"/>
            <w:vAlign w:val="bottom"/>
          </w:tcPr>
          <w:p w14:paraId="0BFCA61E" w14:textId="77777777" w:rsidR="00F60B69" w:rsidRPr="00BE68AE" w:rsidRDefault="00F60B69" w:rsidP="007A4FE8">
            <w:pPr>
              <w:jc w:val="center"/>
              <w:rPr>
                <w:rFonts w:cs="Times New Roman"/>
                <w:sz w:val="22"/>
              </w:rPr>
            </w:pPr>
            <w:r w:rsidRPr="00BE68AE">
              <w:rPr>
                <w:rFonts w:cs="Times New Roman"/>
                <w:sz w:val="22"/>
              </w:rPr>
              <w:t>4</w:t>
            </w:r>
          </w:p>
        </w:tc>
        <w:tc>
          <w:tcPr>
            <w:tcW w:w="176" w:type="pct"/>
            <w:vAlign w:val="bottom"/>
          </w:tcPr>
          <w:p w14:paraId="767D7AD4" w14:textId="77777777" w:rsidR="00F60B69" w:rsidRPr="00BE68AE" w:rsidRDefault="00F60B69" w:rsidP="007A4FE8">
            <w:pPr>
              <w:jc w:val="center"/>
              <w:rPr>
                <w:rFonts w:cs="Times New Roman"/>
                <w:sz w:val="22"/>
              </w:rPr>
            </w:pPr>
            <w:r w:rsidRPr="00BE68AE">
              <w:rPr>
                <w:rFonts w:cs="Times New Roman"/>
                <w:sz w:val="22"/>
              </w:rPr>
              <w:t>8</w:t>
            </w:r>
          </w:p>
        </w:tc>
        <w:tc>
          <w:tcPr>
            <w:tcW w:w="194" w:type="pct"/>
            <w:vAlign w:val="bottom"/>
          </w:tcPr>
          <w:p w14:paraId="46DDFE1E" w14:textId="77777777" w:rsidR="00F60B69" w:rsidRPr="00BE68AE" w:rsidRDefault="00F60B69" w:rsidP="007A4FE8">
            <w:pPr>
              <w:jc w:val="center"/>
              <w:rPr>
                <w:rFonts w:cs="Times New Roman"/>
                <w:sz w:val="22"/>
              </w:rPr>
            </w:pPr>
            <w:r w:rsidRPr="00BE68AE">
              <w:rPr>
                <w:rFonts w:cs="Times New Roman"/>
                <w:sz w:val="22"/>
              </w:rPr>
              <w:t>8</w:t>
            </w:r>
          </w:p>
        </w:tc>
        <w:tc>
          <w:tcPr>
            <w:tcW w:w="155" w:type="pct"/>
            <w:vAlign w:val="bottom"/>
          </w:tcPr>
          <w:p w14:paraId="4D6A9C57" w14:textId="77777777" w:rsidR="00F60B69" w:rsidRPr="00BE68AE" w:rsidRDefault="00F60B69" w:rsidP="007A4FE8">
            <w:pPr>
              <w:jc w:val="center"/>
              <w:rPr>
                <w:rFonts w:cs="Times New Roman"/>
                <w:sz w:val="22"/>
              </w:rPr>
            </w:pPr>
          </w:p>
        </w:tc>
        <w:tc>
          <w:tcPr>
            <w:tcW w:w="176" w:type="pct"/>
            <w:vAlign w:val="bottom"/>
          </w:tcPr>
          <w:p w14:paraId="0DFC8E79" w14:textId="77777777" w:rsidR="00F60B69" w:rsidRPr="00BE68AE" w:rsidRDefault="00F60B69" w:rsidP="007A4FE8">
            <w:pPr>
              <w:jc w:val="center"/>
              <w:rPr>
                <w:rFonts w:cs="Times New Roman"/>
                <w:sz w:val="22"/>
              </w:rPr>
            </w:pPr>
            <w:r w:rsidRPr="00BE68AE">
              <w:rPr>
                <w:rFonts w:cs="Times New Roman"/>
                <w:sz w:val="22"/>
              </w:rPr>
              <w:t>4</w:t>
            </w:r>
          </w:p>
        </w:tc>
        <w:tc>
          <w:tcPr>
            <w:tcW w:w="176" w:type="pct"/>
            <w:vAlign w:val="bottom"/>
          </w:tcPr>
          <w:p w14:paraId="2CF27BC5" w14:textId="77777777" w:rsidR="00F60B69" w:rsidRPr="00BE68AE" w:rsidRDefault="00F60B69" w:rsidP="007A4FE8">
            <w:pPr>
              <w:jc w:val="center"/>
              <w:rPr>
                <w:rFonts w:cs="Times New Roman"/>
                <w:sz w:val="22"/>
              </w:rPr>
            </w:pPr>
          </w:p>
        </w:tc>
        <w:tc>
          <w:tcPr>
            <w:tcW w:w="176" w:type="pct"/>
            <w:vAlign w:val="bottom"/>
          </w:tcPr>
          <w:p w14:paraId="6D82F6CD" w14:textId="77777777" w:rsidR="00F60B69" w:rsidRPr="00BE68AE" w:rsidRDefault="00F60B69" w:rsidP="007A4FE8">
            <w:pPr>
              <w:jc w:val="center"/>
              <w:rPr>
                <w:rFonts w:cs="Times New Roman"/>
                <w:sz w:val="22"/>
              </w:rPr>
            </w:pPr>
          </w:p>
        </w:tc>
        <w:tc>
          <w:tcPr>
            <w:tcW w:w="176" w:type="pct"/>
            <w:vAlign w:val="bottom"/>
          </w:tcPr>
          <w:p w14:paraId="54430631" w14:textId="77777777" w:rsidR="00F60B69" w:rsidRPr="00BE68AE" w:rsidRDefault="00F60B69" w:rsidP="007A4FE8">
            <w:pPr>
              <w:jc w:val="center"/>
              <w:rPr>
                <w:rFonts w:cs="Times New Roman"/>
                <w:sz w:val="22"/>
              </w:rPr>
            </w:pPr>
            <w:r w:rsidRPr="00BE68AE">
              <w:rPr>
                <w:rFonts w:cs="Times New Roman"/>
                <w:sz w:val="22"/>
              </w:rPr>
              <w:t>1</w:t>
            </w:r>
          </w:p>
        </w:tc>
        <w:tc>
          <w:tcPr>
            <w:tcW w:w="211" w:type="pct"/>
            <w:vAlign w:val="bottom"/>
          </w:tcPr>
          <w:p w14:paraId="2A51590C" w14:textId="77777777" w:rsidR="00F60B69" w:rsidRPr="00BE68AE" w:rsidRDefault="00F60B69" w:rsidP="007A4FE8">
            <w:pPr>
              <w:jc w:val="center"/>
              <w:rPr>
                <w:rFonts w:cs="Times New Roman"/>
                <w:sz w:val="22"/>
              </w:rPr>
            </w:pPr>
            <w:r w:rsidRPr="00BE68AE">
              <w:rPr>
                <w:rFonts w:cs="Times New Roman"/>
                <w:sz w:val="22"/>
              </w:rPr>
              <w:t>56</w:t>
            </w:r>
          </w:p>
        </w:tc>
        <w:tc>
          <w:tcPr>
            <w:tcW w:w="155" w:type="pct"/>
            <w:vAlign w:val="bottom"/>
          </w:tcPr>
          <w:p w14:paraId="0DD1F3A2"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4A7C5243" w14:textId="77777777" w:rsidR="00F60B69" w:rsidRPr="00BE68AE" w:rsidRDefault="00F60B69" w:rsidP="007A4FE8">
            <w:pPr>
              <w:jc w:val="center"/>
              <w:rPr>
                <w:rFonts w:cs="Times New Roman"/>
                <w:sz w:val="22"/>
              </w:rPr>
            </w:pPr>
            <w:r w:rsidRPr="00BE68AE">
              <w:rPr>
                <w:rFonts w:cs="Times New Roman"/>
                <w:sz w:val="22"/>
              </w:rPr>
              <w:t>7</w:t>
            </w:r>
          </w:p>
        </w:tc>
        <w:tc>
          <w:tcPr>
            <w:tcW w:w="155" w:type="pct"/>
            <w:vAlign w:val="bottom"/>
          </w:tcPr>
          <w:p w14:paraId="1E6CA7F6" w14:textId="77777777" w:rsidR="00F60B69" w:rsidRPr="00BE68AE" w:rsidRDefault="00F60B69" w:rsidP="007A4FE8">
            <w:pPr>
              <w:jc w:val="center"/>
              <w:rPr>
                <w:rFonts w:cs="Times New Roman"/>
                <w:sz w:val="22"/>
              </w:rPr>
            </w:pPr>
          </w:p>
        </w:tc>
        <w:tc>
          <w:tcPr>
            <w:tcW w:w="176" w:type="pct"/>
            <w:vAlign w:val="bottom"/>
          </w:tcPr>
          <w:p w14:paraId="4974571E"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0F3EF012" w14:textId="77777777" w:rsidR="00F60B69" w:rsidRPr="00BE68AE" w:rsidRDefault="00F60B69" w:rsidP="007A4FE8">
            <w:pPr>
              <w:jc w:val="center"/>
              <w:rPr>
                <w:rFonts w:cs="Times New Roman"/>
                <w:sz w:val="22"/>
              </w:rPr>
            </w:pPr>
            <w:r w:rsidRPr="00BE68AE">
              <w:rPr>
                <w:rFonts w:cs="Times New Roman"/>
                <w:sz w:val="22"/>
              </w:rPr>
              <w:t>6</w:t>
            </w:r>
          </w:p>
        </w:tc>
      </w:tr>
      <w:tr w:rsidR="00F60B69" w:rsidRPr="00BE68AE" w14:paraId="669C5CC9" w14:textId="77777777" w:rsidTr="00B816DC">
        <w:tc>
          <w:tcPr>
            <w:tcW w:w="548" w:type="pct"/>
          </w:tcPr>
          <w:p w14:paraId="37BD30A0" w14:textId="77777777" w:rsidR="00F60B69" w:rsidRPr="00BE68AE" w:rsidRDefault="00F60B69" w:rsidP="007A4FE8">
            <w:pPr>
              <w:jc w:val="both"/>
              <w:rPr>
                <w:rFonts w:cs="Times New Roman"/>
                <w:sz w:val="22"/>
              </w:rPr>
            </w:pPr>
            <w:r w:rsidRPr="00BE68AE">
              <w:rPr>
                <w:rFonts w:eastAsia="Times New Roman" w:cs="Times New Roman"/>
                <w:sz w:val="22"/>
                <w:lang w:eastAsia="es-CR"/>
              </w:rPr>
              <w:t>Sta. Rosa de (T)</w:t>
            </w:r>
          </w:p>
        </w:tc>
        <w:tc>
          <w:tcPr>
            <w:tcW w:w="211" w:type="pct"/>
            <w:vAlign w:val="bottom"/>
          </w:tcPr>
          <w:p w14:paraId="6FFF4C5A" w14:textId="77777777" w:rsidR="00F60B69" w:rsidRPr="00BE68AE" w:rsidRDefault="00F60B69" w:rsidP="007A4FE8">
            <w:pPr>
              <w:jc w:val="center"/>
              <w:rPr>
                <w:rFonts w:cs="Times New Roman"/>
                <w:sz w:val="22"/>
              </w:rPr>
            </w:pPr>
            <w:r w:rsidRPr="00BE68AE">
              <w:rPr>
                <w:rFonts w:cs="Times New Roman"/>
                <w:sz w:val="22"/>
              </w:rPr>
              <w:t>37</w:t>
            </w:r>
          </w:p>
        </w:tc>
        <w:tc>
          <w:tcPr>
            <w:tcW w:w="211" w:type="pct"/>
            <w:vAlign w:val="bottom"/>
          </w:tcPr>
          <w:p w14:paraId="30211DEB"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018598B7" w14:textId="77777777" w:rsidR="00F60B69" w:rsidRPr="00BE68AE" w:rsidRDefault="00F60B69" w:rsidP="007A4FE8">
            <w:pPr>
              <w:jc w:val="center"/>
              <w:rPr>
                <w:rFonts w:cs="Times New Roman"/>
                <w:sz w:val="22"/>
              </w:rPr>
            </w:pPr>
            <w:r w:rsidRPr="00BE68AE">
              <w:rPr>
                <w:rFonts w:cs="Times New Roman"/>
                <w:sz w:val="22"/>
              </w:rPr>
              <w:t>34</w:t>
            </w:r>
          </w:p>
        </w:tc>
        <w:tc>
          <w:tcPr>
            <w:tcW w:w="155" w:type="pct"/>
            <w:vAlign w:val="bottom"/>
          </w:tcPr>
          <w:p w14:paraId="7D405DDF" w14:textId="77777777" w:rsidR="00F60B69" w:rsidRPr="00BE68AE" w:rsidRDefault="00F60B69" w:rsidP="007A4FE8">
            <w:pPr>
              <w:jc w:val="center"/>
              <w:rPr>
                <w:rFonts w:cs="Times New Roman"/>
                <w:sz w:val="22"/>
              </w:rPr>
            </w:pPr>
          </w:p>
        </w:tc>
        <w:tc>
          <w:tcPr>
            <w:tcW w:w="155" w:type="pct"/>
            <w:vAlign w:val="bottom"/>
          </w:tcPr>
          <w:p w14:paraId="295E3976" w14:textId="77777777" w:rsidR="00F60B69" w:rsidRPr="00BE68AE" w:rsidRDefault="00F60B69" w:rsidP="007A4FE8">
            <w:pPr>
              <w:jc w:val="center"/>
              <w:rPr>
                <w:rFonts w:cs="Times New Roman"/>
                <w:sz w:val="22"/>
              </w:rPr>
            </w:pPr>
          </w:p>
        </w:tc>
        <w:tc>
          <w:tcPr>
            <w:tcW w:w="176" w:type="pct"/>
            <w:vAlign w:val="bottom"/>
          </w:tcPr>
          <w:p w14:paraId="1ECF3637" w14:textId="77777777" w:rsidR="00F60B69" w:rsidRPr="00BE68AE" w:rsidRDefault="00F60B69" w:rsidP="007A4FE8">
            <w:pPr>
              <w:jc w:val="center"/>
              <w:rPr>
                <w:rFonts w:cs="Times New Roman"/>
                <w:sz w:val="22"/>
              </w:rPr>
            </w:pPr>
            <w:r w:rsidRPr="00BE68AE">
              <w:rPr>
                <w:rFonts w:cs="Times New Roman"/>
                <w:sz w:val="22"/>
              </w:rPr>
              <w:t>2</w:t>
            </w:r>
          </w:p>
        </w:tc>
        <w:tc>
          <w:tcPr>
            <w:tcW w:w="176" w:type="pct"/>
            <w:vAlign w:val="bottom"/>
          </w:tcPr>
          <w:p w14:paraId="0E5FA75D" w14:textId="77777777" w:rsidR="00F60B69" w:rsidRPr="00BE68AE" w:rsidRDefault="00F60B69" w:rsidP="007A4FE8">
            <w:pPr>
              <w:jc w:val="center"/>
              <w:rPr>
                <w:rFonts w:cs="Times New Roman"/>
                <w:sz w:val="22"/>
              </w:rPr>
            </w:pPr>
            <w:r w:rsidRPr="00BE68AE">
              <w:rPr>
                <w:rFonts w:cs="Times New Roman"/>
                <w:sz w:val="22"/>
              </w:rPr>
              <w:t>14</w:t>
            </w:r>
          </w:p>
        </w:tc>
        <w:tc>
          <w:tcPr>
            <w:tcW w:w="211" w:type="pct"/>
            <w:vAlign w:val="bottom"/>
          </w:tcPr>
          <w:p w14:paraId="06A443ED" w14:textId="77777777" w:rsidR="00F60B69" w:rsidRPr="00BE68AE" w:rsidRDefault="00F60B69" w:rsidP="007A4FE8">
            <w:pPr>
              <w:jc w:val="center"/>
              <w:rPr>
                <w:rFonts w:cs="Times New Roman"/>
                <w:sz w:val="22"/>
              </w:rPr>
            </w:pPr>
            <w:r w:rsidRPr="00BE68AE">
              <w:rPr>
                <w:rFonts w:cs="Times New Roman"/>
                <w:sz w:val="22"/>
              </w:rPr>
              <w:t>23</w:t>
            </w:r>
          </w:p>
        </w:tc>
        <w:tc>
          <w:tcPr>
            <w:tcW w:w="176" w:type="pct"/>
            <w:vAlign w:val="bottom"/>
          </w:tcPr>
          <w:p w14:paraId="66CE83DB" w14:textId="77777777" w:rsidR="00F60B69" w:rsidRPr="00BE68AE" w:rsidRDefault="00F60B69" w:rsidP="007A4FE8">
            <w:pPr>
              <w:jc w:val="center"/>
              <w:rPr>
                <w:rFonts w:cs="Times New Roman"/>
                <w:sz w:val="22"/>
              </w:rPr>
            </w:pPr>
          </w:p>
        </w:tc>
        <w:tc>
          <w:tcPr>
            <w:tcW w:w="176" w:type="pct"/>
            <w:vAlign w:val="bottom"/>
          </w:tcPr>
          <w:p w14:paraId="1BA56192" w14:textId="77777777" w:rsidR="00F60B69" w:rsidRPr="00BE68AE" w:rsidRDefault="00F60B69" w:rsidP="007A4FE8">
            <w:pPr>
              <w:jc w:val="center"/>
              <w:rPr>
                <w:rFonts w:cs="Times New Roman"/>
                <w:sz w:val="22"/>
              </w:rPr>
            </w:pPr>
          </w:p>
        </w:tc>
        <w:tc>
          <w:tcPr>
            <w:tcW w:w="176" w:type="pct"/>
            <w:vAlign w:val="bottom"/>
          </w:tcPr>
          <w:p w14:paraId="329CDEEE" w14:textId="77777777" w:rsidR="00F60B69" w:rsidRPr="00BE68AE" w:rsidRDefault="00F60B69" w:rsidP="007A4FE8">
            <w:pPr>
              <w:jc w:val="center"/>
              <w:rPr>
                <w:rFonts w:cs="Times New Roman"/>
                <w:sz w:val="22"/>
              </w:rPr>
            </w:pPr>
          </w:p>
        </w:tc>
        <w:tc>
          <w:tcPr>
            <w:tcW w:w="176" w:type="pct"/>
            <w:vAlign w:val="bottom"/>
          </w:tcPr>
          <w:p w14:paraId="47210F7A" w14:textId="77777777" w:rsidR="00F60B69" w:rsidRPr="00BE68AE" w:rsidRDefault="00F60B69" w:rsidP="007A4FE8">
            <w:pPr>
              <w:jc w:val="center"/>
              <w:rPr>
                <w:rFonts w:cs="Times New Roman"/>
                <w:sz w:val="22"/>
              </w:rPr>
            </w:pPr>
            <w:r w:rsidRPr="00BE68AE">
              <w:rPr>
                <w:rFonts w:cs="Times New Roman"/>
                <w:sz w:val="22"/>
              </w:rPr>
              <w:t>4</w:t>
            </w:r>
          </w:p>
        </w:tc>
        <w:tc>
          <w:tcPr>
            <w:tcW w:w="176" w:type="pct"/>
            <w:vAlign w:val="bottom"/>
          </w:tcPr>
          <w:p w14:paraId="5A5B8BF1" w14:textId="77777777" w:rsidR="00F60B69" w:rsidRPr="00BE68AE" w:rsidRDefault="00F60B69" w:rsidP="007A4FE8">
            <w:pPr>
              <w:jc w:val="center"/>
              <w:rPr>
                <w:rFonts w:cs="Times New Roman"/>
                <w:sz w:val="22"/>
              </w:rPr>
            </w:pPr>
            <w:r w:rsidRPr="00BE68AE">
              <w:rPr>
                <w:rFonts w:cs="Times New Roman"/>
                <w:sz w:val="22"/>
              </w:rPr>
              <w:t>9</w:t>
            </w:r>
          </w:p>
        </w:tc>
        <w:tc>
          <w:tcPr>
            <w:tcW w:w="194" w:type="pct"/>
            <w:vAlign w:val="bottom"/>
          </w:tcPr>
          <w:p w14:paraId="0514877A" w14:textId="77777777" w:rsidR="00F60B69" w:rsidRPr="00BE68AE" w:rsidRDefault="00F60B69" w:rsidP="007A4FE8">
            <w:pPr>
              <w:jc w:val="center"/>
              <w:rPr>
                <w:rFonts w:cs="Times New Roman"/>
                <w:sz w:val="22"/>
              </w:rPr>
            </w:pPr>
            <w:r w:rsidRPr="00BE68AE">
              <w:rPr>
                <w:rFonts w:cs="Times New Roman"/>
                <w:sz w:val="22"/>
              </w:rPr>
              <w:t>2</w:t>
            </w:r>
          </w:p>
        </w:tc>
        <w:tc>
          <w:tcPr>
            <w:tcW w:w="155" w:type="pct"/>
            <w:vAlign w:val="bottom"/>
          </w:tcPr>
          <w:p w14:paraId="7F9E0E83" w14:textId="77777777" w:rsidR="00F60B69" w:rsidRPr="00BE68AE" w:rsidRDefault="00F60B69" w:rsidP="007A4FE8">
            <w:pPr>
              <w:jc w:val="center"/>
              <w:rPr>
                <w:rFonts w:cs="Times New Roman"/>
                <w:sz w:val="22"/>
              </w:rPr>
            </w:pPr>
          </w:p>
        </w:tc>
        <w:tc>
          <w:tcPr>
            <w:tcW w:w="176" w:type="pct"/>
            <w:vAlign w:val="bottom"/>
          </w:tcPr>
          <w:p w14:paraId="6D9FA475" w14:textId="77777777" w:rsidR="00F60B69" w:rsidRPr="00BE68AE" w:rsidRDefault="00F60B69" w:rsidP="007A4FE8">
            <w:pPr>
              <w:jc w:val="center"/>
              <w:rPr>
                <w:rFonts w:cs="Times New Roman"/>
                <w:sz w:val="22"/>
              </w:rPr>
            </w:pPr>
            <w:r w:rsidRPr="00BE68AE">
              <w:rPr>
                <w:rFonts w:cs="Times New Roman"/>
                <w:sz w:val="22"/>
              </w:rPr>
              <w:t>6</w:t>
            </w:r>
          </w:p>
        </w:tc>
        <w:tc>
          <w:tcPr>
            <w:tcW w:w="176" w:type="pct"/>
            <w:vAlign w:val="bottom"/>
          </w:tcPr>
          <w:p w14:paraId="207519DC" w14:textId="77777777" w:rsidR="00F60B69" w:rsidRPr="00BE68AE" w:rsidRDefault="00F60B69" w:rsidP="007A4FE8">
            <w:pPr>
              <w:jc w:val="center"/>
              <w:rPr>
                <w:rFonts w:cs="Times New Roman"/>
                <w:sz w:val="22"/>
              </w:rPr>
            </w:pPr>
          </w:p>
        </w:tc>
        <w:tc>
          <w:tcPr>
            <w:tcW w:w="176" w:type="pct"/>
            <w:vAlign w:val="bottom"/>
          </w:tcPr>
          <w:p w14:paraId="476DE26A" w14:textId="77777777" w:rsidR="00F60B69" w:rsidRPr="00BE68AE" w:rsidRDefault="00F60B69" w:rsidP="007A4FE8">
            <w:pPr>
              <w:jc w:val="center"/>
              <w:rPr>
                <w:rFonts w:cs="Times New Roman"/>
                <w:sz w:val="22"/>
              </w:rPr>
            </w:pPr>
          </w:p>
        </w:tc>
        <w:tc>
          <w:tcPr>
            <w:tcW w:w="176" w:type="pct"/>
            <w:vAlign w:val="bottom"/>
          </w:tcPr>
          <w:p w14:paraId="5D93E003" w14:textId="77777777" w:rsidR="00F60B69" w:rsidRPr="00BE68AE" w:rsidRDefault="00F60B69" w:rsidP="007A4FE8">
            <w:pPr>
              <w:jc w:val="center"/>
              <w:rPr>
                <w:rFonts w:cs="Times New Roman"/>
                <w:sz w:val="22"/>
              </w:rPr>
            </w:pPr>
            <w:r w:rsidRPr="00BE68AE">
              <w:rPr>
                <w:rFonts w:cs="Times New Roman"/>
                <w:sz w:val="22"/>
              </w:rPr>
              <w:t>2</w:t>
            </w:r>
          </w:p>
        </w:tc>
        <w:tc>
          <w:tcPr>
            <w:tcW w:w="211" w:type="pct"/>
            <w:vAlign w:val="bottom"/>
          </w:tcPr>
          <w:p w14:paraId="0D05B553" w14:textId="77777777" w:rsidR="00F60B69" w:rsidRPr="00BE68AE" w:rsidRDefault="00F60B69" w:rsidP="007A4FE8">
            <w:pPr>
              <w:jc w:val="center"/>
              <w:rPr>
                <w:rFonts w:cs="Times New Roman"/>
                <w:sz w:val="22"/>
              </w:rPr>
            </w:pPr>
            <w:r w:rsidRPr="00BE68AE">
              <w:rPr>
                <w:rFonts w:cs="Times New Roman"/>
                <w:sz w:val="22"/>
              </w:rPr>
              <w:t>35</w:t>
            </w:r>
          </w:p>
        </w:tc>
        <w:tc>
          <w:tcPr>
            <w:tcW w:w="155" w:type="pct"/>
            <w:vAlign w:val="bottom"/>
          </w:tcPr>
          <w:p w14:paraId="2F09E9A6" w14:textId="77777777" w:rsidR="00F60B69" w:rsidRPr="00BE68AE" w:rsidRDefault="00F60B69" w:rsidP="007A4FE8">
            <w:pPr>
              <w:jc w:val="center"/>
              <w:rPr>
                <w:rFonts w:cs="Times New Roman"/>
                <w:sz w:val="22"/>
              </w:rPr>
            </w:pPr>
          </w:p>
        </w:tc>
        <w:tc>
          <w:tcPr>
            <w:tcW w:w="176" w:type="pct"/>
            <w:vAlign w:val="bottom"/>
          </w:tcPr>
          <w:p w14:paraId="2A555D7F" w14:textId="77777777" w:rsidR="00F60B69" w:rsidRPr="00BE68AE" w:rsidRDefault="00F60B69" w:rsidP="007A4FE8">
            <w:pPr>
              <w:jc w:val="center"/>
              <w:rPr>
                <w:rFonts w:cs="Times New Roman"/>
                <w:sz w:val="22"/>
              </w:rPr>
            </w:pPr>
          </w:p>
        </w:tc>
        <w:tc>
          <w:tcPr>
            <w:tcW w:w="155" w:type="pct"/>
            <w:vAlign w:val="bottom"/>
          </w:tcPr>
          <w:p w14:paraId="27F0A2F6"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55A87854" w14:textId="77777777" w:rsidR="00F60B69" w:rsidRPr="00BE68AE" w:rsidRDefault="00F60B69" w:rsidP="007A4FE8">
            <w:pPr>
              <w:jc w:val="center"/>
              <w:rPr>
                <w:rFonts w:cs="Times New Roman"/>
                <w:sz w:val="22"/>
              </w:rPr>
            </w:pPr>
            <w:r w:rsidRPr="00BE68AE">
              <w:rPr>
                <w:rFonts w:cs="Times New Roman"/>
                <w:sz w:val="22"/>
              </w:rPr>
              <w:t>5</w:t>
            </w:r>
          </w:p>
        </w:tc>
        <w:tc>
          <w:tcPr>
            <w:tcW w:w="176" w:type="pct"/>
            <w:vAlign w:val="bottom"/>
          </w:tcPr>
          <w:p w14:paraId="3B1D1ADD" w14:textId="77777777" w:rsidR="00F60B69" w:rsidRPr="00BE68AE" w:rsidRDefault="00F60B69" w:rsidP="007A4FE8">
            <w:pPr>
              <w:jc w:val="center"/>
              <w:rPr>
                <w:rFonts w:cs="Times New Roman"/>
                <w:sz w:val="22"/>
              </w:rPr>
            </w:pPr>
          </w:p>
        </w:tc>
      </w:tr>
      <w:tr w:rsidR="00F60B69" w:rsidRPr="00BE68AE" w14:paraId="6950A4D5" w14:textId="77777777" w:rsidTr="00B816DC">
        <w:tc>
          <w:tcPr>
            <w:tcW w:w="548" w:type="pct"/>
          </w:tcPr>
          <w:p w14:paraId="17A07652" w14:textId="77777777" w:rsidR="00F60B69" w:rsidRPr="00BE68AE" w:rsidRDefault="00F60B69" w:rsidP="007A4FE8">
            <w:pPr>
              <w:jc w:val="both"/>
              <w:rPr>
                <w:rFonts w:cs="Times New Roman"/>
                <w:sz w:val="22"/>
              </w:rPr>
            </w:pPr>
            <w:r w:rsidRPr="00BE68AE">
              <w:rPr>
                <w:rFonts w:eastAsia="Times New Roman" w:cs="Times New Roman"/>
                <w:sz w:val="22"/>
                <w:lang w:eastAsia="es-CR"/>
              </w:rPr>
              <w:t>Sta. Teresita (T)</w:t>
            </w:r>
          </w:p>
        </w:tc>
        <w:tc>
          <w:tcPr>
            <w:tcW w:w="211" w:type="pct"/>
            <w:vAlign w:val="bottom"/>
          </w:tcPr>
          <w:p w14:paraId="01E7DF77" w14:textId="77777777" w:rsidR="00F60B69" w:rsidRPr="00BE68AE" w:rsidRDefault="00F60B69" w:rsidP="007A4FE8">
            <w:pPr>
              <w:jc w:val="center"/>
              <w:rPr>
                <w:rFonts w:cs="Times New Roman"/>
                <w:sz w:val="22"/>
              </w:rPr>
            </w:pPr>
            <w:r w:rsidRPr="00BE68AE">
              <w:rPr>
                <w:rFonts w:cs="Times New Roman"/>
                <w:sz w:val="22"/>
              </w:rPr>
              <w:t>22</w:t>
            </w:r>
          </w:p>
        </w:tc>
        <w:tc>
          <w:tcPr>
            <w:tcW w:w="211" w:type="pct"/>
            <w:vAlign w:val="bottom"/>
          </w:tcPr>
          <w:p w14:paraId="37748A22" w14:textId="77777777" w:rsidR="00F60B69" w:rsidRPr="00BE68AE" w:rsidRDefault="00F60B69" w:rsidP="007A4FE8">
            <w:pPr>
              <w:jc w:val="center"/>
              <w:rPr>
                <w:rFonts w:cs="Times New Roman"/>
                <w:sz w:val="22"/>
              </w:rPr>
            </w:pPr>
            <w:r w:rsidRPr="00BE68AE">
              <w:rPr>
                <w:rFonts w:cs="Times New Roman"/>
                <w:sz w:val="22"/>
              </w:rPr>
              <w:t>3</w:t>
            </w:r>
          </w:p>
        </w:tc>
        <w:tc>
          <w:tcPr>
            <w:tcW w:w="176" w:type="pct"/>
            <w:vAlign w:val="bottom"/>
          </w:tcPr>
          <w:p w14:paraId="0CE41326" w14:textId="77777777" w:rsidR="00F60B69" w:rsidRPr="00BE68AE" w:rsidRDefault="00F60B69" w:rsidP="007A4FE8">
            <w:pPr>
              <w:jc w:val="center"/>
              <w:rPr>
                <w:rFonts w:cs="Times New Roman"/>
                <w:sz w:val="22"/>
              </w:rPr>
            </w:pPr>
            <w:r w:rsidRPr="00BE68AE">
              <w:rPr>
                <w:rFonts w:cs="Times New Roman"/>
                <w:sz w:val="22"/>
              </w:rPr>
              <w:t>16</w:t>
            </w:r>
          </w:p>
        </w:tc>
        <w:tc>
          <w:tcPr>
            <w:tcW w:w="155" w:type="pct"/>
            <w:vAlign w:val="bottom"/>
          </w:tcPr>
          <w:p w14:paraId="24BF464A" w14:textId="77777777" w:rsidR="00F60B69" w:rsidRPr="00BE68AE" w:rsidRDefault="00F60B69" w:rsidP="007A4FE8">
            <w:pPr>
              <w:jc w:val="center"/>
              <w:rPr>
                <w:rFonts w:cs="Times New Roman"/>
                <w:sz w:val="22"/>
              </w:rPr>
            </w:pPr>
            <w:r w:rsidRPr="00BE68AE">
              <w:rPr>
                <w:rFonts w:cs="Times New Roman"/>
                <w:sz w:val="22"/>
              </w:rPr>
              <w:t>1</w:t>
            </w:r>
          </w:p>
        </w:tc>
        <w:tc>
          <w:tcPr>
            <w:tcW w:w="155" w:type="pct"/>
            <w:vAlign w:val="bottom"/>
          </w:tcPr>
          <w:p w14:paraId="58F8422C" w14:textId="77777777" w:rsidR="00F60B69" w:rsidRPr="00BE68AE" w:rsidRDefault="00F60B69" w:rsidP="007A4FE8">
            <w:pPr>
              <w:jc w:val="center"/>
              <w:rPr>
                <w:rFonts w:cs="Times New Roman"/>
                <w:sz w:val="22"/>
              </w:rPr>
            </w:pPr>
          </w:p>
        </w:tc>
        <w:tc>
          <w:tcPr>
            <w:tcW w:w="176" w:type="pct"/>
            <w:vAlign w:val="bottom"/>
          </w:tcPr>
          <w:p w14:paraId="470F8227" w14:textId="77777777" w:rsidR="00F60B69" w:rsidRPr="00BE68AE" w:rsidRDefault="00F60B69" w:rsidP="007A4FE8">
            <w:pPr>
              <w:jc w:val="center"/>
              <w:rPr>
                <w:rFonts w:cs="Times New Roman"/>
                <w:sz w:val="22"/>
              </w:rPr>
            </w:pPr>
            <w:r w:rsidRPr="00BE68AE">
              <w:rPr>
                <w:rFonts w:cs="Times New Roman"/>
                <w:sz w:val="22"/>
              </w:rPr>
              <w:t>2</w:t>
            </w:r>
          </w:p>
        </w:tc>
        <w:tc>
          <w:tcPr>
            <w:tcW w:w="176" w:type="pct"/>
            <w:vAlign w:val="bottom"/>
          </w:tcPr>
          <w:p w14:paraId="3900E8C9" w14:textId="77777777" w:rsidR="00F60B69" w:rsidRPr="00BE68AE" w:rsidRDefault="00F60B69" w:rsidP="007A4FE8">
            <w:pPr>
              <w:jc w:val="center"/>
              <w:rPr>
                <w:rFonts w:cs="Times New Roman"/>
                <w:sz w:val="22"/>
              </w:rPr>
            </w:pPr>
            <w:r w:rsidRPr="00BE68AE">
              <w:rPr>
                <w:rFonts w:cs="Times New Roman"/>
                <w:sz w:val="22"/>
              </w:rPr>
              <w:t>2</w:t>
            </w:r>
          </w:p>
        </w:tc>
        <w:tc>
          <w:tcPr>
            <w:tcW w:w="211" w:type="pct"/>
            <w:vAlign w:val="bottom"/>
          </w:tcPr>
          <w:p w14:paraId="72EF3FF5" w14:textId="77777777" w:rsidR="00F60B69" w:rsidRPr="00BE68AE" w:rsidRDefault="00F60B69" w:rsidP="007A4FE8">
            <w:pPr>
              <w:jc w:val="center"/>
              <w:rPr>
                <w:rFonts w:cs="Times New Roman"/>
                <w:sz w:val="22"/>
              </w:rPr>
            </w:pPr>
            <w:r w:rsidRPr="00BE68AE">
              <w:rPr>
                <w:rFonts w:cs="Times New Roman"/>
                <w:sz w:val="22"/>
              </w:rPr>
              <w:t>16</w:t>
            </w:r>
          </w:p>
        </w:tc>
        <w:tc>
          <w:tcPr>
            <w:tcW w:w="176" w:type="pct"/>
            <w:vAlign w:val="bottom"/>
          </w:tcPr>
          <w:p w14:paraId="5F758B25" w14:textId="77777777" w:rsidR="00F60B69" w:rsidRPr="00BE68AE" w:rsidRDefault="00F60B69" w:rsidP="007A4FE8">
            <w:pPr>
              <w:jc w:val="center"/>
              <w:rPr>
                <w:rFonts w:cs="Times New Roman"/>
                <w:sz w:val="22"/>
              </w:rPr>
            </w:pPr>
            <w:r w:rsidRPr="00BE68AE">
              <w:rPr>
                <w:rFonts w:cs="Times New Roman"/>
                <w:sz w:val="22"/>
              </w:rPr>
              <w:t>3</w:t>
            </w:r>
          </w:p>
        </w:tc>
        <w:tc>
          <w:tcPr>
            <w:tcW w:w="176" w:type="pct"/>
            <w:vAlign w:val="bottom"/>
          </w:tcPr>
          <w:p w14:paraId="3B67EF12"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1D4B5D35" w14:textId="77777777" w:rsidR="00F60B69" w:rsidRPr="00BE68AE" w:rsidRDefault="00F60B69" w:rsidP="007A4FE8">
            <w:pPr>
              <w:jc w:val="center"/>
              <w:rPr>
                <w:rFonts w:cs="Times New Roman"/>
                <w:sz w:val="22"/>
              </w:rPr>
            </w:pPr>
          </w:p>
        </w:tc>
        <w:tc>
          <w:tcPr>
            <w:tcW w:w="176" w:type="pct"/>
            <w:vAlign w:val="bottom"/>
          </w:tcPr>
          <w:p w14:paraId="6F4381A8" w14:textId="77777777" w:rsidR="00F60B69" w:rsidRPr="00BE68AE" w:rsidRDefault="00F60B69" w:rsidP="007A4FE8">
            <w:pPr>
              <w:jc w:val="center"/>
              <w:rPr>
                <w:rFonts w:cs="Times New Roman"/>
                <w:sz w:val="22"/>
              </w:rPr>
            </w:pPr>
            <w:r w:rsidRPr="00BE68AE">
              <w:rPr>
                <w:rFonts w:cs="Times New Roman"/>
                <w:sz w:val="22"/>
              </w:rPr>
              <w:t>3</w:t>
            </w:r>
          </w:p>
        </w:tc>
        <w:tc>
          <w:tcPr>
            <w:tcW w:w="176" w:type="pct"/>
            <w:vAlign w:val="bottom"/>
          </w:tcPr>
          <w:p w14:paraId="0BD20E35" w14:textId="77777777" w:rsidR="00F60B69" w:rsidRPr="00BE68AE" w:rsidRDefault="00F60B69" w:rsidP="007A4FE8">
            <w:pPr>
              <w:jc w:val="center"/>
              <w:rPr>
                <w:rFonts w:cs="Times New Roman"/>
                <w:sz w:val="22"/>
              </w:rPr>
            </w:pPr>
            <w:r w:rsidRPr="00BE68AE">
              <w:rPr>
                <w:rFonts w:cs="Times New Roman"/>
                <w:sz w:val="22"/>
              </w:rPr>
              <w:t>1</w:t>
            </w:r>
          </w:p>
        </w:tc>
        <w:tc>
          <w:tcPr>
            <w:tcW w:w="194" w:type="pct"/>
            <w:vAlign w:val="bottom"/>
          </w:tcPr>
          <w:p w14:paraId="1477CA9E" w14:textId="77777777" w:rsidR="00F60B69" w:rsidRPr="00BE68AE" w:rsidRDefault="00F60B69" w:rsidP="007A4FE8">
            <w:pPr>
              <w:jc w:val="center"/>
              <w:rPr>
                <w:rFonts w:cs="Times New Roman"/>
                <w:sz w:val="22"/>
              </w:rPr>
            </w:pPr>
            <w:r w:rsidRPr="00BE68AE">
              <w:rPr>
                <w:rFonts w:cs="Times New Roman"/>
                <w:sz w:val="22"/>
              </w:rPr>
              <w:t>5</w:t>
            </w:r>
          </w:p>
        </w:tc>
        <w:tc>
          <w:tcPr>
            <w:tcW w:w="155" w:type="pct"/>
            <w:vAlign w:val="bottom"/>
          </w:tcPr>
          <w:p w14:paraId="52A4CE30"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1786E985" w14:textId="77777777" w:rsidR="00F60B69" w:rsidRPr="00BE68AE" w:rsidRDefault="00F60B69" w:rsidP="007A4FE8">
            <w:pPr>
              <w:jc w:val="center"/>
              <w:rPr>
                <w:rFonts w:cs="Times New Roman"/>
                <w:sz w:val="22"/>
              </w:rPr>
            </w:pPr>
            <w:r w:rsidRPr="00BE68AE">
              <w:rPr>
                <w:rFonts w:cs="Times New Roman"/>
                <w:sz w:val="22"/>
              </w:rPr>
              <w:t>9</w:t>
            </w:r>
          </w:p>
        </w:tc>
        <w:tc>
          <w:tcPr>
            <w:tcW w:w="176" w:type="pct"/>
            <w:vAlign w:val="bottom"/>
          </w:tcPr>
          <w:p w14:paraId="2DB9643E" w14:textId="77777777" w:rsidR="00F60B69" w:rsidRPr="00BE68AE" w:rsidRDefault="00F60B69" w:rsidP="007A4FE8">
            <w:pPr>
              <w:jc w:val="center"/>
              <w:rPr>
                <w:rFonts w:cs="Times New Roman"/>
                <w:sz w:val="22"/>
              </w:rPr>
            </w:pPr>
          </w:p>
        </w:tc>
        <w:tc>
          <w:tcPr>
            <w:tcW w:w="176" w:type="pct"/>
            <w:vAlign w:val="bottom"/>
          </w:tcPr>
          <w:p w14:paraId="3C475898"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181E904B" w14:textId="77777777" w:rsidR="00F60B69" w:rsidRPr="00BE68AE" w:rsidRDefault="00F60B69" w:rsidP="007A4FE8">
            <w:pPr>
              <w:jc w:val="center"/>
              <w:rPr>
                <w:rFonts w:cs="Times New Roman"/>
                <w:sz w:val="22"/>
              </w:rPr>
            </w:pPr>
            <w:r w:rsidRPr="00BE68AE">
              <w:rPr>
                <w:rFonts w:cs="Times New Roman"/>
                <w:sz w:val="22"/>
              </w:rPr>
              <w:t>1</w:t>
            </w:r>
          </w:p>
        </w:tc>
        <w:tc>
          <w:tcPr>
            <w:tcW w:w="211" w:type="pct"/>
            <w:vAlign w:val="bottom"/>
          </w:tcPr>
          <w:p w14:paraId="67925540" w14:textId="77777777" w:rsidR="00F60B69" w:rsidRPr="00BE68AE" w:rsidRDefault="00F60B69" w:rsidP="007A4FE8">
            <w:pPr>
              <w:jc w:val="center"/>
              <w:rPr>
                <w:rFonts w:cs="Times New Roman"/>
                <w:sz w:val="22"/>
              </w:rPr>
            </w:pPr>
            <w:r w:rsidRPr="00BE68AE">
              <w:rPr>
                <w:rFonts w:cs="Times New Roman"/>
                <w:sz w:val="22"/>
              </w:rPr>
              <w:t>20</w:t>
            </w:r>
          </w:p>
        </w:tc>
        <w:tc>
          <w:tcPr>
            <w:tcW w:w="155" w:type="pct"/>
            <w:vAlign w:val="bottom"/>
          </w:tcPr>
          <w:p w14:paraId="73DD6771" w14:textId="77777777" w:rsidR="00F60B69" w:rsidRPr="00BE68AE" w:rsidRDefault="00F60B69" w:rsidP="007A4FE8">
            <w:pPr>
              <w:jc w:val="center"/>
              <w:rPr>
                <w:rFonts w:cs="Times New Roman"/>
                <w:sz w:val="22"/>
              </w:rPr>
            </w:pPr>
          </w:p>
        </w:tc>
        <w:tc>
          <w:tcPr>
            <w:tcW w:w="176" w:type="pct"/>
            <w:vAlign w:val="bottom"/>
          </w:tcPr>
          <w:p w14:paraId="0FD6492C" w14:textId="77777777" w:rsidR="00F60B69" w:rsidRPr="00BE68AE" w:rsidRDefault="00F60B69" w:rsidP="007A4FE8">
            <w:pPr>
              <w:jc w:val="center"/>
              <w:rPr>
                <w:rFonts w:cs="Times New Roman"/>
                <w:sz w:val="22"/>
              </w:rPr>
            </w:pPr>
            <w:r w:rsidRPr="00BE68AE">
              <w:rPr>
                <w:rFonts w:cs="Times New Roman"/>
                <w:sz w:val="22"/>
              </w:rPr>
              <w:t>4</w:t>
            </w:r>
          </w:p>
        </w:tc>
        <w:tc>
          <w:tcPr>
            <w:tcW w:w="155" w:type="pct"/>
            <w:vAlign w:val="bottom"/>
          </w:tcPr>
          <w:p w14:paraId="2AC1DED9" w14:textId="77777777" w:rsidR="00F60B69" w:rsidRPr="00BE68AE" w:rsidRDefault="00F60B69" w:rsidP="007A4FE8">
            <w:pPr>
              <w:jc w:val="center"/>
              <w:rPr>
                <w:rFonts w:cs="Times New Roman"/>
                <w:sz w:val="22"/>
              </w:rPr>
            </w:pPr>
          </w:p>
        </w:tc>
        <w:tc>
          <w:tcPr>
            <w:tcW w:w="176" w:type="pct"/>
            <w:vAlign w:val="bottom"/>
          </w:tcPr>
          <w:p w14:paraId="6A8EF7B5"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09C1C289" w14:textId="77777777" w:rsidR="00F60B69" w:rsidRPr="00BE68AE" w:rsidRDefault="00F60B69" w:rsidP="007A4FE8">
            <w:pPr>
              <w:jc w:val="center"/>
              <w:rPr>
                <w:rFonts w:cs="Times New Roman"/>
                <w:sz w:val="22"/>
              </w:rPr>
            </w:pPr>
            <w:r w:rsidRPr="00BE68AE">
              <w:rPr>
                <w:rFonts w:cs="Times New Roman"/>
                <w:sz w:val="22"/>
              </w:rPr>
              <w:t>2</w:t>
            </w:r>
          </w:p>
        </w:tc>
      </w:tr>
      <w:tr w:rsidR="00F60B69" w:rsidRPr="00BE68AE" w14:paraId="0A2C57C5" w14:textId="77777777" w:rsidTr="00B816DC">
        <w:tc>
          <w:tcPr>
            <w:tcW w:w="548" w:type="pct"/>
          </w:tcPr>
          <w:p w14:paraId="55D07FE1" w14:textId="77777777" w:rsidR="00F60B69" w:rsidRPr="00BE68AE" w:rsidRDefault="00F60B69" w:rsidP="007A4FE8">
            <w:pPr>
              <w:jc w:val="both"/>
              <w:rPr>
                <w:rFonts w:cs="Times New Roman"/>
                <w:sz w:val="22"/>
              </w:rPr>
            </w:pPr>
            <w:proofErr w:type="spellStart"/>
            <w:r w:rsidRPr="00BE68AE">
              <w:rPr>
                <w:rFonts w:eastAsia="Times New Roman" w:cs="Times New Roman"/>
                <w:sz w:val="22"/>
                <w:lang w:eastAsia="es-CR"/>
              </w:rPr>
              <w:t>Tayutic</w:t>
            </w:r>
            <w:proofErr w:type="spellEnd"/>
            <w:r w:rsidRPr="00BE68AE">
              <w:rPr>
                <w:rFonts w:eastAsia="Times New Roman" w:cs="Times New Roman"/>
                <w:sz w:val="22"/>
                <w:lang w:eastAsia="es-CR"/>
              </w:rPr>
              <w:t xml:space="preserve"> (T)</w:t>
            </w:r>
          </w:p>
        </w:tc>
        <w:tc>
          <w:tcPr>
            <w:tcW w:w="211" w:type="pct"/>
            <w:vAlign w:val="bottom"/>
          </w:tcPr>
          <w:p w14:paraId="3AC6C849" w14:textId="77777777" w:rsidR="00F60B69" w:rsidRPr="00BE68AE" w:rsidRDefault="00F60B69" w:rsidP="007A4FE8">
            <w:pPr>
              <w:jc w:val="center"/>
              <w:rPr>
                <w:rFonts w:cs="Times New Roman"/>
                <w:sz w:val="22"/>
              </w:rPr>
            </w:pPr>
            <w:r w:rsidRPr="00BE68AE">
              <w:rPr>
                <w:rFonts w:cs="Times New Roman"/>
                <w:sz w:val="22"/>
              </w:rPr>
              <w:t>40</w:t>
            </w:r>
          </w:p>
        </w:tc>
        <w:tc>
          <w:tcPr>
            <w:tcW w:w="211" w:type="pct"/>
            <w:vAlign w:val="bottom"/>
          </w:tcPr>
          <w:p w14:paraId="76FE616C" w14:textId="77777777" w:rsidR="00F60B69" w:rsidRPr="00BE68AE" w:rsidRDefault="00F60B69" w:rsidP="007A4FE8">
            <w:pPr>
              <w:jc w:val="center"/>
              <w:rPr>
                <w:rFonts w:cs="Times New Roman"/>
                <w:sz w:val="22"/>
              </w:rPr>
            </w:pPr>
          </w:p>
        </w:tc>
        <w:tc>
          <w:tcPr>
            <w:tcW w:w="176" w:type="pct"/>
            <w:vAlign w:val="bottom"/>
          </w:tcPr>
          <w:p w14:paraId="17EC6253" w14:textId="77777777" w:rsidR="00F60B69" w:rsidRPr="00BE68AE" w:rsidRDefault="00F60B69" w:rsidP="007A4FE8">
            <w:pPr>
              <w:jc w:val="center"/>
              <w:rPr>
                <w:rFonts w:cs="Times New Roman"/>
                <w:sz w:val="22"/>
              </w:rPr>
            </w:pPr>
            <w:r w:rsidRPr="00BE68AE">
              <w:rPr>
                <w:rFonts w:cs="Times New Roman"/>
                <w:sz w:val="22"/>
              </w:rPr>
              <w:t>39</w:t>
            </w:r>
          </w:p>
        </w:tc>
        <w:tc>
          <w:tcPr>
            <w:tcW w:w="155" w:type="pct"/>
            <w:vAlign w:val="bottom"/>
          </w:tcPr>
          <w:p w14:paraId="6284C7D1" w14:textId="77777777" w:rsidR="00F60B69" w:rsidRPr="00BE68AE" w:rsidRDefault="00F60B69" w:rsidP="007A4FE8">
            <w:pPr>
              <w:jc w:val="center"/>
              <w:rPr>
                <w:rFonts w:cs="Times New Roman"/>
                <w:sz w:val="22"/>
              </w:rPr>
            </w:pPr>
          </w:p>
        </w:tc>
        <w:tc>
          <w:tcPr>
            <w:tcW w:w="155" w:type="pct"/>
            <w:vAlign w:val="bottom"/>
          </w:tcPr>
          <w:p w14:paraId="1AF28993" w14:textId="77777777" w:rsidR="00F60B69" w:rsidRPr="00BE68AE" w:rsidRDefault="00F60B69" w:rsidP="007A4FE8">
            <w:pPr>
              <w:jc w:val="center"/>
              <w:rPr>
                <w:rFonts w:cs="Times New Roman"/>
                <w:sz w:val="22"/>
              </w:rPr>
            </w:pPr>
          </w:p>
        </w:tc>
        <w:tc>
          <w:tcPr>
            <w:tcW w:w="176" w:type="pct"/>
            <w:vAlign w:val="bottom"/>
          </w:tcPr>
          <w:p w14:paraId="65948E6A"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0F285353" w14:textId="77777777" w:rsidR="00F60B69" w:rsidRPr="00BE68AE" w:rsidRDefault="00F60B69" w:rsidP="007A4FE8">
            <w:pPr>
              <w:jc w:val="center"/>
              <w:rPr>
                <w:rFonts w:cs="Times New Roman"/>
                <w:sz w:val="22"/>
              </w:rPr>
            </w:pPr>
            <w:r w:rsidRPr="00BE68AE">
              <w:rPr>
                <w:rFonts w:cs="Times New Roman"/>
                <w:sz w:val="22"/>
              </w:rPr>
              <w:t>32</w:t>
            </w:r>
          </w:p>
        </w:tc>
        <w:tc>
          <w:tcPr>
            <w:tcW w:w="211" w:type="pct"/>
            <w:vAlign w:val="bottom"/>
          </w:tcPr>
          <w:p w14:paraId="19115053" w14:textId="77777777" w:rsidR="00F60B69" w:rsidRPr="00BE68AE" w:rsidRDefault="00F60B69" w:rsidP="007A4FE8">
            <w:pPr>
              <w:jc w:val="center"/>
              <w:rPr>
                <w:rFonts w:cs="Times New Roman"/>
                <w:sz w:val="22"/>
              </w:rPr>
            </w:pPr>
            <w:r w:rsidRPr="00BE68AE">
              <w:rPr>
                <w:rFonts w:cs="Times New Roman"/>
                <w:sz w:val="22"/>
              </w:rPr>
              <w:t>7</w:t>
            </w:r>
          </w:p>
        </w:tc>
        <w:tc>
          <w:tcPr>
            <w:tcW w:w="176" w:type="pct"/>
            <w:vAlign w:val="bottom"/>
          </w:tcPr>
          <w:p w14:paraId="48434A55"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588771F9" w14:textId="77777777" w:rsidR="00F60B69" w:rsidRPr="00BE68AE" w:rsidRDefault="00F60B69" w:rsidP="007A4FE8">
            <w:pPr>
              <w:jc w:val="center"/>
              <w:rPr>
                <w:rFonts w:cs="Times New Roman"/>
                <w:sz w:val="22"/>
              </w:rPr>
            </w:pPr>
          </w:p>
        </w:tc>
        <w:tc>
          <w:tcPr>
            <w:tcW w:w="176" w:type="pct"/>
            <w:vAlign w:val="bottom"/>
          </w:tcPr>
          <w:p w14:paraId="5F2C4827" w14:textId="77777777" w:rsidR="00F60B69" w:rsidRPr="00BE68AE" w:rsidRDefault="00F60B69" w:rsidP="007A4FE8">
            <w:pPr>
              <w:jc w:val="center"/>
              <w:rPr>
                <w:rFonts w:cs="Times New Roman"/>
                <w:sz w:val="22"/>
              </w:rPr>
            </w:pPr>
          </w:p>
        </w:tc>
        <w:tc>
          <w:tcPr>
            <w:tcW w:w="176" w:type="pct"/>
            <w:vAlign w:val="bottom"/>
          </w:tcPr>
          <w:p w14:paraId="40D8F32F" w14:textId="77777777" w:rsidR="00F60B69" w:rsidRPr="00BE68AE" w:rsidRDefault="00F60B69" w:rsidP="007A4FE8">
            <w:pPr>
              <w:jc w:val="center"/>
              <w:rPr>
                <w:rFonts w:cs="Times New Roman"/>
                <w:sz w:val="22"/>
              </w:rPr>
            </w:pPr>
            <w:r w:rsidRPr="00BE68AE">
              <w:rPr>
                <w:rFonts w:cs="Times New Roman"/>
                <w:sz w:val="22"/>
              </w:rPr>
              <w:t>8</w:t>
            </w:r>
          </w:p>
        </w:tc>
        <w:tc>
          <w:tcPr>
            <w:tcW w:w="176" w:type="pct"/>
            <w:vAlign w:val="bottom"/>
          </w:tcPr>
          <w:p w14:paraId="5DF624F2" w14:textId="77777777" w:rsidR="00F60B69" w:rsidRPr="00BE68AE" w:rsidRDefault="00F60B69" w:rsidP="007A4FE8">
            <w:pPr>
              <w:jc w:val="center"/>
              <w:rPr>
                <w:rFonts w:cs="Times New Roman"/>
                <w:sz w:val="22"/>
              </w:rPr>
            </w:pPr>
            <w:r w:rsidRPr="00BE68AE">
              <w:rPr>
                <w:rFonts w:cs="Times New Roman"/>
                <w:sz w:val="22"/>
              </w:rPr>
              <w:t>11</w:t>
            </w:r>
          </w:p>
        </w:tc>
        <w:tc>
          <w:tcPr>
            <w:tcW w:w="194" w:type="pct"/>
            <w:vAlign w:val="bottom"/>
          </w:tcPr>
          <w:p w14:paraId="46F42DB5" w14:textId="77777777" w:rsidR="00F60B69" w:rsidRPr="00BE68AE" w:rsidRDefault="00F60B69" w:rsidP="007A4FE8">
            <w:pPr>
              <w:jc w:val="center"/>
              <w:rPr>
                <w:rFonts w:cs="Times New Roman"/>
                <w:sz w:val="22"/>
              </w:rPr>
            </w:pPr>
            <w:r w:rsidRPr="00BE68AE">
              <w:rPr>
                <w:rFonts w:cs="Times New Roman"/>
                <w:sz w:val="22"/>
              </w:rPr>
              <w:t>2</w:t>
            </w:r>
          </w:p>
        </w:tc>
        <w:tc>
          <w:tcPr>
            <w:tcW w:w="155" w:type="pct"/>
            <w:vAlign w:val="bottom"/>
          </w:tcPr>
          <w:p w14:paraId="208A51C5" w14:textId="77777777" w:rsidR="00F60B69" w:rsidRPr="00BE68AE" w:rsidRDefault="00F60B69" w:rsidP="007A4FE8">
            <w:pPr>
              <w:jc w:val="center"/>
              <w:rPr>
                <w:rFonts w:cs="Times New Roman"/>
                <w:sz w:val="22"/>
              </w:rPr>
            </w:pPr>
          </w:p>
        </w:tc>
        <w:tc>
          <w:tcPr>
            <w:tcW w:w="176" w:type="pct"/>
            <w:vAlign w:val="bottom"/>
          </w:tcPr>
          <w:p w14:paraId="756FC44F" w14:textId="77777777" w:rsidR="00F60B69" w:rsidRPr="00BE68AE" w:rsidRDefault="00F60B69" w:rsidP="007A4FE8">
            <w:pPr>
              <w:jc w:val="center"/>
              <w:rPr>
                <w:rFonts w:cs="Times New Roman"/>
                <w:sz w:val="22"/>
              </w:rPr>
            </w:pPr>
          </w:p>
        </w:tc>
        <w:tc>
          <w:tcPr>
            <w:tcW w:w="176" w:type="pct"/>
            <w:vAlign w:val="bottom"/>
          </w:tcPr>
          <w:p w14:paraId="5BCB116B" w14:textId="77777777" w:rsidR="00F60B69" w:rsidRPr="00BE68AE" w:rsidRDefault="00F60B69" w:rsidP="007A4FE8">
            <w:pPr>
              <w:jc w:val="center"/>
              <w:rPr>
                <w:rFonts w:cs="Times New Roman"/>
                <w:sz w:val="22"/>
              </w:rPr>
            </w:pPr>
          </w:p>
        </w:tc>
        <w:tc>
          <w:tcPr>
            <w:tcW w:w="176" w:type="pct"/>
            <w:vAlign w:val="bottom"/>
          </w:tcPr>
          <w:p w14:paraId="1868267E" w14:textId="77777777" w:rsidR="00F60B69" w:rsidRPr="00BE68AE" w:rsidRDefault="00F60B69" w:rsidP="007A4FE8">
            <w:pPr>
              <w:jc w:val="center"/>
              <w:rPr>
                <w:rFonts w:cs="Times New Roman"/>
                <w:sz w:val="22"/>
              </w:rPr>
            </w:pPr>
          </w:p>
        </w:tc>
        <w:tc>
          <w:tcPr>
            <w:tcW w:w="176" w:type="pct"/>
            <w:vAlign w:val="bottom"/>
          </w:tcPr>
          <w:p w14:paraId="6E996379" w14:textId="77777777" w:rsidR="00F60B69" w:rsidRPr="00BE68AE" w:rsidRDefault="00F60B69" w:rsidP="007A4FE8">
            <w:pPr>
              <w:jc w:val="center"/>
              <w:rPr>
                <w:rFonts w:cs="Times New Roman"/>
                <w:sz w:val="22"/>
              </w:rPr>
            </w:pPr>
          </w:p>
        </w:tc>
        <w:tc>
          <w:tcPr>
            <w:tcW w:w="211" w:type="pct"/>
            <w:vAlign w:val="bottom"/>
          </w:tcPr>
          <w:p w14:paraId="0D89FF8A" w14:textId="77777777" w:rsidR="00F60B69" w:rsidRPr="00BE68AE" w:rsidRDefault="00F60B69" w:rsidP="007A4FE8">
            <w:pPr>
              <w:jc w:val="center"/>
              <w:rPr>
                <w:rFonts w:cs="Times New Roman"/>
                <w:sz w:val="22"/>
              </w:rPr>
            </w:pPr>
            <w:r w:rsidRPr="00BE68AE">
              <w:rPr>
                <w:rFonts w:cs="Times New Roman"/>
                <w:sz w:val="22"/>
              </w:rPr>
              <w:t>40</w:t>
            </w:r>
          </w:p>
        </w:tc>
        <w:tc>
          <w:tcPr>
            <w:tcW w:w="155" w:type="pct"/>
            <w:vAlign w:val="bottom"/>
          </w:tcPr>
          <w:p w14:paraId="021CF7E0" w14:textId="77777777" w:rsidR="00F60B69" w:rsidRPr="00BE68AE" w:rsidRDefault="00F60B69" w:rsidP="007A4FE8">
            <w:pPr>
              <w:jc w:val="center"/>
              <w:rPr>
                <w:rFonts w:cs="Times New Roman"/>
                <w:sz w:val="22"/>
              </w:rPr>
            </w:pPr>
          </w:p>
        </w:tc>
        <w:tc>
          <w:tcPr>
            <w:tcW w:w="176" w:type="pct"/>
            <w:vAlign w:val="bottom"/>
          </w:tcPr>
          <w:p w14:paraId="2C5DFC55" w14:textId="77777777" w:rsidR="00F60B69" w:rsidRPr="00BE68AE" w:rsidRDefault="00F60B69" w:rsidP="007A4FE8">
            <w:pPr>
              <w:jc w:val="center"/>
              <w:rPr>
                <w:rFonts w:cs="Times New Roman"/>
                <w:sz w:val="22"/>
              </w:rPr>
            </w:pPr>
            <w:r w:rsidRPr="00BE68AE">
              <w:rPr>
                <w:rFonts w:cs="Times New Roman"/>
                <w:sz w:val="22"/>
              </w:rPr>
              <w:t>1</w:t>
            </w:r>
          </w:p>
        </w:tc>
        <w:tc>
          <w:tcPr>
            <w:tcW w:w="155" w:type="pct"/>
            <w:vAlign w:val="bottom"/>
          </w:tcPr>
          <w:p w14:paraId="2CA605F3"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783F072D"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250349A0" w14:textId="77777777" w:rsidR="00F60B69" w:rsidRPr="00BE68AE" w:rsidRDefault="00F60B69" w:rsidP="007A4FE8">
            <w:pPr>
              <w:jc w:val="center"/>
              <w:rPr>
                <w:rFonts w:cs="Times New Roman"/>
                <w:sz w:val="22"/>
              </w:rPr>
            </w:pPr>
            <w:r w:rsidRPr="00BE68AE">
              <w:rPr>
                <w:rFonts w:cs="Times New Roman"/>
                <w:sz w:val="22"/>
              </w:rPr>
              <w:t>3</w:t>
            </w:r>
          </w:p>
        </w:tc>
      </w:tr>
      <w:tr w:rsidR="00F60B69" w:rsidRPr="00BE68AE" w14:paraId="1FCC72CD" w14:textId="77777777" w:rsidTr="00B816DC">
        <w:tc>
          <w:tcPr>
            <w:tcW w:w="548" w:type="pct"/>
          </w:tcPr>
          <w:p w14:paraId="622FCF78" w14:textId="77777777" w:rsidR="00F60B69" w:rsidRPr="00BE68AE" w:rsidRDefault="00F60B69" w:rsidP="007A4FE8">
            <w:pPr>
              <w:jc w:val="both"/>
              <w:rPr>
                <w:rFonts w:cs="Times New Roman"/>
                <w:sz w:val="22"/>
              </w:rPr>
            </w:pPr>
            <w:r w:rsidRPr="00BE68AE">
              <w:rPr>
                <w:rFonts w:eastAsia="Times New Roman" w:cs="Times New Roman"/>
                <w:sz w:val="22"/>
                <w:lang w:eastAsia="es-CR"/>
              </w:rPr>
              <w:t>Tres Equis (T)</w:t>
            </w:r>
          </w:p>
        </w:tc>
        <w:tc>
          <w:tcPr>
            <w:tcW w:w="211" w:type="pct"/>
            <w:vAlign w:val="bottom"/>
          </w:tcPr>
          <w:p w14:paraId="5F37238E" w14:textId="77777777" w:rsidR="00F60B69" w:rsidRPr="00BE68AE" w:rsidRDefault="00F60B69" w:rsidP="007A4FE8">
            <w:pPr>
              <w:jc w:val="center"/>
              <w:rPr>
                <w:rFonts w:cs="Times New Roman"/>
                <w:sz w:val="22"/>
              </w:rPr>
            </w:pPr>
            <w:r w:rsidRPr="00BE68AE">
              <w:rPr>
                <w:rFonts w:cs="Times New Roman"/>
                <w:sz w:val="22"/>
              </w:rPr>
              <w:t>20</w:t>
            </w:r>
          </w:p>
        </w:tc>
        <w:tc>
          <w:tcPr>
            <w:tcW w:w="211" w:type="pct"/>
            <w:vAlign w:val="bottom"/>
          </w:tcPr>
          <w:p w14:paraId="615BED2E" w14:textId="77777777" w:rsidR="00F60B69" w:rsidRPr="00BE68AE" w:rsidRDefault="00F60B69" w:rsidP="007A4FE8">
            <w:pPr>
              <w:jc w:val="center"/>
              <w:rPr>
                <w:rFonts w:cs="Times New Roman"/>
                <w:sz w:val="22"/>
              </w:rPr>
            </w:pPr>
          </w:p>
        </w:tc>
        <w:tc>
          <w:tcPr>
            <w:tcW w:w="176" w:type="pct"/>
            <w:vAlign w:val="bottom"/>
          </w:tcPr>
          <w:p w14:paraId="1EA6DB73" w14:textId="77777777" w:rsidR="00F60B69" w:rsidRPr="00BE68AE" w:rsidRDefault="00F60B69" w:rsidP="007A4FE8">
            <w:pPr>
              <w:jc w:val="center"/>
              <w:rPr>
                <w:rFonts w:cs="Times New Roman"/>
                <w:sz w:val="22"/>
              </w:rPr>
            </w:pPr>
            <w:r w:rsidRPr="00BE68AE">
              <w:rPr>
                <w:rFonts w:cs="Times New Roman"/>
                <w:sz w:val="22"/>
              </w:rPr>
              <w:t>19</w:t>
            </w:r>
          </w:p>
        </w:tc>
        <w:tc>
          <w:tcPr>
            <w:tcW w:w="155" w:type="pct"/>
            <w:vAlign w:val="bottom"/>
          </w:tcPr>
          <w:p w14:paraId="023D872C" w14:textId="77777777" w:rsidR="00F60B69" w:rsidRPr="00BE68AE" w:rsidRDefault="00F60B69" w:rsidP="007A4FE8">
            <w:pPr>
              <w:jc w:val="center"/>
              <w:rPr>
                <w:rFonts w:cs="Times New Roman"/>
                <w:sz w:val="22"/>
              </w:rPr>
            </w:pPr>
          </w:p>
        </w:tc>
        <w:tc>
          <w:tcPr>
            <w:tcW w:w="155" w:type="pct"/>
            <w:vAlign w:val="bottom"/>
          </w:tcPr>
          <w:p w14:paraId="0D7765E6" w14:textId="77777777" w:rsidR="00F60B69" w:rsidRPr="00BE68AE" w:rsidRDefault="00F60B69" w:rsidP="007A4FE8">
            <w:pPr>
              <w:jc w:val="center"/>
              <w:rPr>
                <w:rFonts w:cs="Times New Roman"/>
                <w:sz w:val="22"/>
              </w:rPr>
            </w:pPr>
          </w:p>
        </w:tc>
        <w:tc>
          <w:tcPr>
            <w:tcW w:w="176" w:type="pct"/>
            <w:vAlign w:val="bottom"/>
          </w:tcPr>
          <w:p w14:paraId="388CE3E7"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100FDA01" w14:textId="77777777" w:rsidR="00F60B69" w:rsidRPr="00BE68AE" w:rsidRDefault="00F60B69" w:rsidP="007A4FE8">
            <w:pPr>
              <w:jc w:val="center"/>
              <w:rPr>
                <w:rFonts w:cs="Times New Roman"/>
                <w:sz w:val="22"/>
              </w:rPr>
            </w:pPr>
            <w:r w:rsidRPr="00BE68AE">
              <w:rPr>
                <w:rFonts w:cs="Times New Roman"/>
                <w:sz w:val="22"/>
              </w:rPr>
              <w:t>8</w:t>
            </w:r>
          </w:p>
        </w:tc>
        <w:tc>
          <w:tcPr>
            <w:tcW w:w="211" w:type="pct"/>
            <w:vAlign w:val="bottom"/>
          </w:tcPr>
          <w:p w14:paraId="4B2B1DF9" w14:textId="77777777" w:rsidR="00F60B69" w:rsidRPr="00BE68AE" w:rsidRDefault="00F60B69" w:rsidP="007A4FE8">
            <w:pPr>
              <w:jc w:val="center"/>
              <w:rPr>
                <w:rFonts w:cs="Times New Roman"/>
                <w:sz w:val="22"/>
              </w:rPr>
            </w:pPr>
            <w:r w:rsidRPr="00BE68AE">
              <w:rPr>
                <w:rFonts w:cs="Times New Roman"/>
                <w:sz w:val="22"/>
              </w:rPr>
              <w:t>11</w:t>
            </w:r>
          </w:p>
        </w:tc>
        <w:tc>
          <w:tcPr>
            <w:tcW w:w="176" w:type="pct"/>
            <w:vAlign w:val="bottom"/>
          </w:tcPr>
          <w:p w14:paraId="5029A97B"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6957AD39" w14:textId="77777777" w:rsidR="00F60B69" w:rsidRPr="00BE68AE" w:rsidRDefault="00F60B69" w:rsidP="007A4FE8">
            <w:pPr>
              <w:jc w:val="center"/>
              <w:rPr>
                <w:rFonts w:cs="Times New Roman"/>
                <w:sz w:val="22"/>
              </w:rPr>
            </w:pPr>
          </w:p>
        </w:tc>
        <w:tc>
          <w:tcPr>
            <w:tcW w:w="176" w:type="pct"/>
            <w:vAlign w:val="bottom"/>
          </w:tcPr>
          <w:p w14:paraId="639D3FDE" w14:textId="77777777" w:rsidR="00F60B69" w:rsidRPr="00BE68AE" w:rsidRDefault="00F60B69" w:rsidP="007A4FE8">
            <w:pPr>
              <w:jc w:val="center"/>
              <w:rPr>
                <w:rFonts w:cs="Times New Roman"/>
                <w:sz w:val="22"/>
              </w:rPr>
            </w:pPr>
          </w:p>
        </w:tc>
        <w:tc>
          <w:tcPr>
            <w:tcW w:w="176" w:type="pct"/>
            <w:vAlign w:val="bottom"/>
          </w:tcPr>
          <w:p w14:paraId="22A81186" w14:textId="77777777" w:rsidR="00F60B69" w:rsidRPr="00BE68AE" w:rsidRDefault="00F60B69" w:rsidP="007A4FE8">
            <w:pPr>
              <w:jc w:val="center"/>
              <w:rPr>
                <w:rFonts w:cs="Times New Roman"/>
                <w:sz w:val="22"/>
              </w:rPr>
            </w:pPr>
            <w:r w:rsidRPr="00BE68AE">
              <w:rPr>
                <w:rFonts w:cs="Times New Roman"/>
                <w:sz w:val="22"/>
              </w:rPr>
              <w:t>3</w:t>
            </w:r>
          </w:p>
        </w:tc>
        <w:tc>
          <w:tcPr>
            <w:tcW w:w="176" w:type="pct"/>
            <w:vAlign w:val="bottom"/>
          </w:tcPr>
          <w:p w14:paraId="24B50E69" w14:textId="77777777" w:rsidR="00F60B69" w:rsidRPr="00BE68AE" w:rsidRDefault="00F60B69" w:rsidP="007A4FE8">
            <w:pPr>
              <w:jc w:val="center"/>
              <w:rPr>
                <w:rFonts w:cs="Times New Roman"/>
                <w:sz w:val="22"/>
              </w:rPr>
            </w:pPr>
          </w:p>
        </w:tc>
        <w:tc>
          <w:tcPr>
            <w:tcW w:w="194" w:type="pct"/>
            <w:vAlign w:val="bottom"/>
          </w:tcPr>
          <w:p w14:paraId="50F6859F" w14:textId="77777777" w:rsidR="00F60B69" w:rsidRPr="00BE68AE" w:rsidRDefault="00F60B69" w:rsidP="007A4FE8">
            <w:pPr>
              <w:jc w:val="center"/>
              <w:rPr>
                <w:rFonts w:cs="Times New Roman"/>
                <w:sz w:val="22"/>
              </w:rPr>
            </w:pPr>
            <w:r w:rsidRPr="00BE68AE">
              <w:rPr>
                <w:rFonts w:cs="Times New Roman"/>
                <w:sz w:val="22"/>
              </w:rPr>
              <w:t>1</w:t>
            </w:r>
          </w:p>
        </w:tc>
        <w:tc>
          <w:tcPr>
            <w:tcW w:w="155" w:type="pct"/>
            <w:vAlign w:val="bottom"/>
          </w:tcPr>
          <w:p w14:paraId="1C70F670" w14:textId="77777777" w:rsidR="00F60B69" w:rsidRPr="00BE68AE" w:rsidRDefault="00F60B69" w:rsidP="007A4FE8">
            <w:pPr>
              <w:jc w:val="center"/>
              <w:rPr>
                <w:rFonts w:cs="Times New Roman"/>
                <w:sz w:val="22"/>
              </w:rPr>
            </w:pPr>
          </w:p>
        </w:tc>
        <w:tc>
          <w:tcPr>
            <w:tcW w:w="176" w:type="pct"/>
            <w:vAlign w:val="bottom"/>
          </w:tcPr>
          <w:p w14:paraId="34AAD9B7" w14:textId="77777777" w:rsidR="00F60B69" w:rsidRPr="00BE68AE" w:rsidRDefault="00F60B69" w:rsidP="007A4FE8">
            <w:pPr>
              <w:jc w:val="center"/>
              <w:rPr>
                <w:rFonts w:cs="Times New Roman"/>
                <w:sz w:val="22"/>
              </w:rPr>
            </w:pPr>
            <w:r w:rsidRPr="00BE68AE">
              <w:rPr>
                <w:rFonts w:cs="Times New Roman"/>
                <w:sz w:val="22"/>
              </w:rPr>
              <w:t>2</w:t>
            </w:r>
          </w:p>
        </w:tc>
        <w:tc>
          <w:tcPr>
            <w:tcW w:w="176" w:type="pct"/>
            <w:vAlign w:val="bottom"/>
          </w:tcPr>
          <w:p w14:paraId="196F0FB5" w14:textId="77777777" w:rsidR="00F60B69" w:rsidRPr="00BE68AE" w:rsidRDefault="00F60B69" w:rsidP="007A4FE8">
            <w:pPr>
              <w:jc w:val="center"/>
              <w:rPr>
                <w:rFonts w:cs="Times New Roman"/>
                <w:sz w:val="22"/>
              </w:rPr>
            </w:pPr>
          </w:p>
        </w:tc>
        <w:tc>
          <w:tcPr>
            <w:tcW w:w="176" w:type="pct"/>
            <w:vAlign w:val="bottom"/>
          </w:tcPr>
          <w:p w14:paraId="54BA5E81"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0CC86D35" w14:textId="77777777" w:rsidR="00F60B69" w:rsidRPr="00BE68AE" w:rsidRDefault="00F60B69" w:rsidP="007A4FE8">
            <w:pPr>
              <w:jc w:val="center"/>
              <w:rPr>
                <w:rFonts w:cs="Times New Roman"/>
                <w:sz w:val="22"/>
              </w:rPr>
            </w:pPr>
            <w:r w:rsidRPr="00BE68AE">
              <w:rPr>
                <w:rFonts w:cs="Times New Roman"/>
                <w:sz w:val="22"/>
              </w:rPr>
              <w:t>1</w:t>
            </w:r>
          </w:p>
        </w:tc>
        <w:tc>
          <w:tcPr>
            <w:tcW w:w="211" w:type="pct"/>
            <w:vAlign w:val="bottom"/>
          </w:tcPr>
          <w:p w14:paraId="001244C7" w14:textId="77777777" w:rsidR="00F60B69" w:rsidRPr="00BE68AE" w:rsidRDefault="00F60B69" w:rsidP="007A4FE8">
            <w:pPr>
              <w:jc w:val="center"/>
              <w:rPr>
                <w:rFonts w:cs="Times New Roman"/>
                <w:sz w:val="22"/>
              </w:rPr>
            </w:pPr>
            <w:r w:rsidRPr="00BE68AE">
              <w:rPr>
                <w:rFonts w:cs="Times New Roman"/>
                <w:sz w:val="22"/>
              </w:rPr>
              <w:t>18</w:t>
            </w:r>
          </w:p>
        </w:tc>
        <w:tc>
          <w:tcPr>
            <w:tcW w:w="155" w:type="pct"/>
            <w:vAlign w:val="bottom"/>
          </w:tcPr>
          <w:p w14:paraId="57E53473" w14:textId="77777777" w:rsidR="00F60B69" w:rsidRPr="00BE68AE" w:rsidRDefault="00F60B69" w:rsidP="007A4FE8">
            <w:pPr>
              <w:jc w:val="center"/>
              <w:rPr>
                <w:rFonts w:cs="Times New Roman"/>
                <w:sz w:val="22"/>
              </w:rPr>
            </w:pPr>
          </w:p>
        </w:tc>
        <w:tc>
          <w:tcPr>
            <w:tcW w:w="176" w:type="pct"/>
            <w:vAlign w:val="bottom"/>
          </w:tcPr>
          <w:p w14:paraId="0F19F56D" w14:textId="77777777" w:rsidR="00F60B69" w:rsidRPr="00BE68AE" w:rsidRDefault="00F60B69" w:rsidP="007A4FE8">
            <w:pPr>
              <w:jc w:val="center"/>
              <w:rPr>
                <w:rFonts w:cs="Times New Roman"/>
                <w:sz w:val="22"/>
              </w:rPr>
            </w:pPr>
            <w:r w:rsidRPr="00BE68AE">
              <w:rPr>
                <w:rFonts w:cs="Times New Roman"/>
                <w:sz w:val="22"/>
              </w:rPr>
              <w:t>3</w:t>
            </w:r>
          </w:p>
        </w:tc>
        <w:tc>
          <w:tcPr>
            <w:tcW w:w="155" w:type="pct"/>
            <w:vAlign w:val="bottom"/>
          </w:tcPr>
          <w:p w14:paraId="71E908F2" w14:textId="77777777" w:rsidR="00F60B69" w:rsidRPr="00BE68AE" w:rsidRDefault="00F60B69" w:rsidP="007A4FE8">
            <w:pPr>
              <w:jc w:val="center"/>
              <w:rPr>
                <w:rFonts w:cs="Times New Roman"/>
                <w:sz w:val="22"/>
              </w:rPr>
            </w:pPr>
          </w:p>
        </w:tc>
        <w:tc>
          <w:tcPr>
            <w:tcW w:w="176" w:type="pct"/>
            <w:vAlign w:val="bottom"/>
          </w:tcPr>
          <w:p w14:paraId="14092E84" w14:textId="77777777" w:rsidR="00F60B69" w:rsidRPr="00BE68AE" w:rsidRDefault="00F60B69" w:rsidP="007A4FE8">
            <w:pPr>
              <w:jc w:val="center"/>
              <w:rPr>
                <w:rFonts w:cs="Times New Roman"/>
                <w:sz w:val="22"/>
              </w:rPr>
            </w:pPr>
          </w:p>
        </w:tc>
        <w:tc>
          <w:tcPr>
            <w:tcW w:w="176" w:type="pct"/>
            <w:vAlign w:val="bottom"/>
          </w:tcPr>
          <w:p w14:paraId="3F4A4882" w14:textId="77777777" w:rsidR="00F60B69" w:rsidRPr="00BE68AE" w:rsidRDefault="00F60B69" w:rsidP="007A4FE8">
            <w:pPr>
              <w:jc w:val="center"/>
              <w:rPr>
                <w:rFonts w:cs="Times New Roman"/>
                <w:sz w:val="22"/>
              </w:rPr>
            </w:pPr>
          </w:p>
        </w:tc>
      </w:tr>
      <w:tr w:rsidR="00F60B69" w:rsidRPr="00BE68AE" w14:paraId="42AACAC9" w14:textId="77777777" w:rsidTr="00B816DC">
        <w:tc>
          <w:tcPr>
            <w:tcW w:w="548" w:type="pct"/>
          </w:tcPr>
          <w:p w14:paraId="015CF892" w14:textId="77777777" w:rsidR="00F60B69" w:rsidRPr="00BE68AE" w:rsidRDefault="00F60B69" w:rsidP="007A4FE8">
            <w:pPr>
              <w:jc w:val="both"/>
              <w:rPr>
                <w:rFonts w:cs="Times New Roman"/>
                <w:sz w:val="22"/>
              </w:rPr>
            </w:pPr>
            <w:proofErr w:type="spellStart"/>
            <w:r w:rsidRPr="00BE68AE">
              <w:rPr>
                <w:rFonts w:eastAsia="Times New Roman" w:cs="Times New Roman"/>
                <w:sz w:val="22"/>
                <w:lang w:eastAsia="es-CR"/>
              </w:rPr>
              <w:t>Tucurrique</w:t>
            </w:r>
            <w:proofErr w:type="spellEnd"/>
            <w:r w:rsidRPr="00BE68AE">
              <w:rPr>
                <w:rFonts w:eastAsia="Times New Roman" w:cs="Times New Roman"/>
                <w:sz w:val="22"/>
                <w:lang w:eastAsia="es-CR"/>
              </w:rPr>
              <w:t xml:space="preserve"> (J)</w:t>
            </w:r>
          </w:p>
        </w:tc>
        <w:tc>
          <w:tcPr>
            <w:tcW w:w="211" w:type="pct"/>
            <w:vAlign w:val="bottom"/>
          </w:tcPr>
          <w:p w14:paraId="66B8A133" w14:textId="77777777" w:rsidR="00F60B69" w:rsidRPr="00BE68AE" w:rsidRDefault="00F60B69" w:rsidP="007A4FE8">
            <w:pPr>
              <w:jc w:val="center"/>
              <w:rPr>
                <w:rFonts w:cs="Times New Roman"/>
                <w:sz w:val="22"/>
              </w:rPr>
            </w:pPr>
            <w:r w:rsidRPr="00BE68AE">
              <w:rPr>
                <w:rFonts w:cs="Times New Roman"/>
                <w:sz w:val="22"/>
              </w:rPr>
              <w:t>169</w:t>
            </w:r>
          </w:p>
        </w:tc>
        <w:tc>
          <w:tcPr>
            <w:tcW w:w="211" w:type="pct"/>
            <w:vAlign w:val="bottom"/>
          </w:tcPr>
          <w:p w14:paraId="540D0927" w14:textId="77777777" w:rsidR="00F60B69" w:rsidRPr="00BE68AE" w:rsidRDefault="00F60B69" w:rsidP="007A4FE8">
            <w:pPr>
              <w:jc w:val="center"/>
              <w:rPr>
                <w:rFonts w:cs="Times New Roman"/>
                <w:sz w:val="22"/>
              </w:rPr>
            </w:pPr>
            <w:r w:rsidRPr="00BE68AE">
              <w:rPr>
                <w:rFonts w:cs="Times New Roman"/>
                <w:sz w:val="22"/>
              </w:rPr>
              <w:t>9</w:t>
            </w:r>
          </w:p>
        </w:tc>
        <w:tc>
          <w:tcPr>
            <w:tcW w:w="176" w:type="pct"/>
            <w:vAlign w:val="bottom"/>
          </w:tcPr>
          <w:p w14:paraId="13250A7E" w14:textId="77777777" w:rsidR="00F60B69" w:rsidRPr="00BE68AE" w:rsidRDefault="00F60B69" w:rsidP="007A4FE8">
            <w:pPr>
              <w:jc w:val="center"/>
              <w:rPr>
                <w:rFonts w:cs="Times New Roman"/>
                <w:sz w:val="22"/>
              </w:rPr>
            </w:pPr>
            <w:r w:rsidRPr="00BE68AE">
              <w:rPr>
                <w:rFonts w:cs="Times New Roman"/>
                <w:sz w:val="22"/>
              </w:rPr>
              <w:t>151</w:t>
            </w:r>
          </w:p>
        </w:tc>
        <w:tc>
          <w:tcPr>
            <w:tcW w:w="155" w:type="pct"/>
            <w:vAlign w:val="bottom"/>
          </w:tcPr>
          <w:p w14:paraId="0F1037C7" w14:textId="77777777" w:rsidR="00F60B69" w:rsidRPr="00BE68AE" w:rsidRDefault="00F60B69" w:rsidP="007A4FE8">
            <w:pPr>
              <w:jc w:val="center"/>
              <w:rPr>
                <w:rFonts w:cs="Times New Roman"/>
                <w:sz w:val="22"/>
              </w:rPr>
            </w:pPr>
          </w:p>
        </w:tc>
        <w:tc>
          <w:tcPr>
            <w:tcW w:w="155" w:type="pct"/>
            <w:vAlign w:val="bottom"/>
          </w:tcPr>
          <w:p w14:paraId="7C388303"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1F07135C" w14:textId="77777777" w:rsidR="00F60B69" w:rsidRPr="00BE68AE" w:rsidRDefault="00F60B69" w:rsidP="007A4FE8">
            <w:pPr>
              <w:jc w:val="center"/>
              <w:rPr>
                <w:rFonts w:cs="Times New Roman"/>
                <w:sz w:val="22"/>
              </w:rPr>
            </w:pPr>
            <w:r w:rsidRPr="00BE68AE">
              <w:rPr>
                <w:rFonts w:cs="Times New Roman"/>
                <w:sz w:val="22"/>
              </w:rPr>
              <w:t>8</w:t>
            </w:r>
          </w:p>
        </w:tc>
        <w:tc>
          <w:tcPr>
            <w:tcW w:w="176" w:type="pct"/>
            <w:vAlign w:val="bottom"/>
          </w:tcPr>
          <w:p w14:paraId="6D7E8144" w14:textId="77777777" w:rsidR="00F60B69" w:rsidRPr="00BE68AE" w:rsidRDefault="00F60B69" w:rsidP="007A4FE8">
            <w:pPr>
              <w:jc w:val="center"/>
              <w:rPr>
                <w:rFonts w:cs="Times New Roman"/>
                <w:sz w:val="22"/>
              </w:rPr>
            </w:pPr>
            <w:r w:rsidRPr="00BE68AE">
              <w:rPr>
                <w:rFonts w:cs="Times New Roman"/>
                <w:sz w:val="22"/>
              </w:rPr>
              <w:t>59</w:t>
            </w:r>
          </w:p>
        </w:tc>
        <w:tc>
          <w:tcPr>
            <w:tcW w:w="211" w:type="pct"/>
            <w:vAlign w:val="bottom"/>
          </w:tcPr>
          <w:p w14:paraId="29320D88" w14:textId="77777777" w:rsidR="00F60B69" w:rsidRPr="00BE68AE" w:rsidRDefault="00F60B69" w:rsidP="007A4FE8">
            <w:pPr>
              <w:jc w:val="center"/>
              <w:rPr>
                <w:rFonts w:cs="Times New Roman"/>
                <w:sz w:val="22"/>
              </w:rPr>
            </w:pPr>
            <w:r w:rsidRPr="00BE68AE">
              <w:rPr>
                <w:rFonts w:cs="Times New Roman"/>
                <w:sz w:val="22"/>
              </w:rPr>
              <w:t>99</w:t>
            </w:r>
          </w:p>
        </w:tc>
        <w:tc>
          <w:tcPr>
            <w:tcW w:w="176" w:type="pct"/>
            <w:vAlign w:val="bottom"/>
          </w:tcPr>
          <w:p w14:paraId="003DEFC1" w14:textId="77777777" w:rsidR="00F60B69" w:rsidRPr="00BE68AE" w:rsidRDefault="00F60B69" w:rsidP="007A4FE8">
            <w:pPr>
              <w:jc w:val="center"/>
              <w:rPr>
                <w:rFonts w:cs="Times New Roman"/>
                <w:sz w:val="22"/>
              </w:rPr>
            </w:pPr>
            <w:r w:rsidRPr="00BE68AE">
              <w:rPr>
                <w:rFonts w:cs="Times New Roman"/>
                <w:sz w:val="22"/>
              </w:rPr>
              <w:t>11</w:t>
            </w:r>
          </w:p>
        </w:tc>
        <w:tc>
          <w:tcPr>
            <w:tcW w:w="176" w:type="pct"/>
            <w:vAlign w:val="bottom"/>
          </w:tcPr>
          <w:p w14:paraId="63236E51" w14:textId="77777777" w:rsidR="00F60B69" w:rsidRPr="00BE68AE" w:rsidRDefault="00F60B69" w:rsidP="007A4FE8">
            <w:pPr>
              <w:jc w:val="center"/>
              <w:rPr>
                <w:rFonts w:cs="Times New Roman"/>
                <w:sz w:val="22"/>
              </w:rPr>
            </w:pPr>
          </w:p>
        </w:tc>
        <w:tc>
          <w:tcPr>
            <w:tcW w:w="176" w:type="pct"/>
            <w:vAlign w:val="bottom"/>
          </w:tcPr>
          <w:p w14:paraId="614C03E6" w14:textId="77777777" w:rsidR="00F60B69" w:rsidRPr="00BE68AE" w:rsidRDefault="00F60B69" w:rsidP="007A4FE8">
            <w:pPr>
              <w:jc w:val="center"/>
              <w:rPr>
                <w:rFonts w:cs="Times New Roman"/>
                <w:sz w:val="22"/>
              </w:rPr>
            </w:pPr>
          </w:p>
        </w:tc>
        <w:tc>
          <w:tcPr>
            <w:tcW w:w="176" w:type="pct"/>
            <w:vAlign w:val="bottom"/>
          </w:tcPr>
          <w:p w14:paraId="3C3E7B0D" w14:textId="77777777" w:rsidR="00F60B69" w:rsidRPr="00BE68AE" w:rsidRDefault="00F60B69" w:rsidP="007A4FE8">
            <w:pPr>
              <w:jc w:val="center"/>
              <w:rPr>
                <w:rFonts w:cs="Times New Roman"/>
                <w:sz w:val="22"/>
              </w:rPr>
            </w:pPr>
            <w:r w:rsidRPr="00BE68AE">
              <w:rPr>
                <w:rFonts w:cs="Times New Roman"/>
                <w:sz w:val="22"/>
              </w:rPr>
              <w:t>25</w:t>
            </w:r>
          </w:p>
        </w:tc>
        <w:tc>
          <w:tcPr>
            <w:tcW w:w="176" w:type="pct"/>
            <w:vAlign w:val="bottom"/>
          </w:tcPr>
          <w:p w14:paraId="44037C29" w14:textId="77777777" w:rsidR="00F60B69" w:rsidRPr="00BE68AE" w:rsidRDefault="00F60B69" w:rsidP="007A4FE8">
            <w:pPr>
              <w:jc w:val="center"/>
              <w:rPr>
                <w:rFonts w:cs="Times New Roman"/>
                <w:sz w:val="22"/>
              </w:rPr>
            </w:pPr>
            <w:r w:rsidRPr="00BE68AE">
              <w:rPr>
                <w:rFonts w:cs="Times New Roman"/>
                <w:sz w:val="22"/>
              </w:rPr>
              <w:t>49</w:t>
            </w:r>
          </w:p>
        </w:tc>
        <w:tc>
          <w:tcPr>
            <w:tcW w:w="194" w:type="pct"/>
            <w:vAlign w:val="bottom"/>
          </w:tcPr>
          <w:p w14:paraId="54BF13F3" w14:textId="77777777" w:rsidR="00F60B69" w:rsidRPr="00BE68AE" w:rsidRDefault="00F60B69" w:rsidP="007A4FE8">
            <w:pPr>
              <w:jc w:val="center"/>
              <w:rPr>
                <w:rFonts w:cs="Times New Roman"/>
                <w:sz w:val="22"/>
              </w:rPr>
            </w:pPr>
            <w:r w:rsidRPr="00BE68AE">
              <w:rPr>
                <w:rFonts w:cs="Times New Roman"/>
                <w:sz w:val="22"/>
              </w:rPr>
              <w:t>23</w:t>
            </w:r>
          </w:p>
        </w:tc>
        <w:tc>
          <w:tcPr>
            <w:tcW w:w="155" w:type="pct"/>
            <w:vAlign w:val="bottom"/>
          </w:tcPr>
          <w:p w14:paraId="416D3010"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14D9A70A" w14:textId="77777777" w:rsidR="00F60B69" w:rsidRPr="00BE68AE" w:rsidRDefault="00F60B69" w:rsidP="007A4FE8">
            <w:pPr>
              <w:jc w:val="center"/>
              <w:rPr>
                <w:rFonts w:cs="Times New Roman"/>
                <w:sz w:val="22"/>
              </w:rPr>
            </w:pPr>
            <w:r w:rsidRPr="00BE68AE">
              <w:rPr>
                <w:rFonts w:cs="Times New Roman"/>
                <w:sz w:val="22"/>
              </w:rPr>
              <w:t>3</w:t>
            </w:r>
          </w:p>
        </w:tc>
        <w:tc>
          <w:tcPr>
            <w:tcW w:w="176" w:type="pct"/>
            <w:vAlign w:val="bottom"/>
          </w:tcPr>
          <w:p w14:paraId="7CE9DA35" w14:textId="77777777" w:rsidR="00F60B69" w:rsidRPr="00BE68AE" w:rsidRDefault="00F60B69" w:rsidP="007A4FE8">
            <w:pPr>
              <w:jc w:val="center"/>
              <w:rPr>
                <w:rFonts w:cs="Times New Roman"/>
                <w:sz w:val="22"/>
              </w:rPr>
            </w:pPr>
          </w:p>
        </w:tc>
        <w:tc>
          <w:tcPr>
            <w:tcW w:w="176" w:type="pct"/>
            <w:vAlign w:val="bottom"/>
          </w:tcPr>
          <w:p w14:paraId="32653092" w14:textId="77777777" w:rsidR="00F60B69" w:rsidRPr="00BE68AE" w:rsidRDefault="00F60B69" w:rsidP="007A4FE8">
            <w:pPr>
              <w:jc w:val="center"/>
              <w:rPr>
                <w:rFonts w:cs="Times New Roman"/>
                <w:sz w:val="22"/>
              </w:rPr>
            </w:pPr>
          </w:p>
        </w:tc>
        <w:tc>
          <w:tcPr>
            <w:tcW w:w="176" w:type="pct"/>
            <w:vAlign w:val="bottom"/>
          </w:tcPr>
          <w:p w14:paraId="6F051AB1" w14:textId="77777777" w:rsidR="00F60B69" w:rsidRPr="00BE68AE" w:rsidRDefault="00F60B69" w:rsidP="007A4FE8">
            <w:pPr>
              <w:jc w:val="center"/>
              <w:rPr>
                <w:rFonts w:cs="Times New Roman"/>
                <w:sz w:val="22"/>
              </w:rPr>
            </w:pPr>
          </w:p>
        </w:tc>
        <w:tc>
          <w:tcPr>
            <w:tcW w:w="211" w:type="pct"/>
            <w:vAlign w:val="bottom"/>
          </w:tcPr>
          <w:p w14:paraId="31DDE759" w14:textId="77777777" w:rsidR="00F60B69" w:rsidRPr="00BE68AE" w:rsidRDefault="00F60B69" w:rsidP="007A4FE8">
            <w:pPr>
              <w:jc w:val="center"/>
              <w:rPr>
                <w:rFonts w:cs="Times New Roman"/>
                <w:sz w:val="22"/>
              </w:rPr>
            </w:pPr>
            <w:r w:rsidRPr="00BE68AE">
              <w:rPr>
                <w:rFonts w:cs="Times New Roman"/>
                <w:sz w:val="22"/>
              </w:rPr>
              <w:t>169</w:t>
            </w:r>
          </w:p>
        </w:tc>
        <w:tc>
          <w:tcPr>
            <w:tcW w:w="155" w:type="pct"/>
            <w:vAlign w:val="bottom"/>
          </w:tcPr>
          <w:p w14:paraId="2900FC4D" w14:textId="77777777" w:rsidR="00F60B69" w:rsidRPr="00BE68AE" w:rsidRDefault="00F60B69" w:rsidP="007A4FE8">
            <w:pPr>
              <w:jc w:val="center"/>
              <w:rPr>
                <w:rFonts w:cs="Times New Roman"/>
                <w:sz w:val="22"/>
              </w:rPr>
            </w:pPr>
          </w:p>
        </w:tc>
        <w:tc>
          <w:tcPr>
            <w:tcW w:w="176" w:type="pct"/>
            <w:vAlign w:val="bottom"/>
          </w:tcPr>
          <w:p w14:paraId="25DBEDF1" w14:textId="77777777" w:rsidR="00F60B69" w:rsidRPr="00BE68AE" w:rsidRDefault="00F60B69" w:rsidP="007A4FE8">
            <w:pPr>
              <w:jc w:val="center"/>
              <w:rPr>
                <w:rFonts w:cs="Times New Roman"/>
                <w:sz w:val="22"/>
              </w:rPr>
            </w:pPr>
            <w:r w:rsidRPr="00BE68AE">
              <w:rPr>
                <w:rFonts w:cs="Times New Roman"/>
                <w:sz w:val="22"/>
              </w:rPr>
              <w:t>9</w:t>
            </w:r>
          </w:p>
        </w:tc>
        <w:tc>
          <w:tcPr>
            <w:tcW w:w="155" w:type="pct"/>
            <w:vAlign w:val="bottom"/>
          </w:tcPr>
          <w:p w14:paraId="0143F379" w14:textId="77777777" w:rsidR="00F60B69" w:rsidRPr="00BE68AE" w:rsidRDefault="00F60B69" w:rsidP="007A4FE8">
            <w:pPr>
              <w:jc w:val="center"/>
              <w:rPr>
                <w:rFonts w:cs="Times New Roman"/>
                <w:sz w:val="22"/>
              </w:rPr>
            </w:pPr>
          </w:p>
        </w:tc>
        <w:tc>
          <w:tcPr>
            <w:tcW w:w="176" w:type="pct"/>
            <w:vAlign w:val="bottom"/>
          </w:tcPr>
          <w:p w14:paraId="26E00FEC" w14:textId="77777777" w:rsidR="00F60B69" w:rsidRPr="00BE68AE" w:rsidRDefault="00F60B69" w:rsidP="007A4FE8">
            <w:pPr>
              <w:jc w:val="center"/>
              <w:rPr>
                <w:rFonts w:cs="Times New Roman"/>
                <w:sz w:val="22"/>
              </w:rPr>
            </w:pPr>
            <w:r w:rsidRPr="00BE68AE">
              <w:rPr>
                <w:rFonts w:cs="Times New Roman"/>
                <w:sz w:val="22"/>
              </w:rPr>
              <w:t>5</w:t>
            </w:r>
          </w:p>
        </w:tc>
        <w:tc>
          <w:tcPr>
            <w:tcW w:w="176" w:type="pct"/>
            <w:vAlign w:val="bottom"/>
          </w:tcPr>
          <w:p w14:paraId="7CCF9597" w14:textId="77777777" w:rsidR="00F60B69" w:rsidRPr="00BE68AE" w:rsidRDefault="00F60B69" w:rsidP="007A4FE8">
            <w:pPr>
              <w:jc w:val="center"/>
              <w:rPr>
                <w:rFonts w:cs="Times New Roman"/>
                <w:sz w:val="22"/>
              </w:rPr>
            </w:pPr>
            <w:r w:rsidRPr="00BE68AE">
              <w:rPr>
                <w:rFonts w:cs="Times New Roman"/>
                <w:sz w:val="22"/>
              </w:rPr>
              <w:t>24</w:t>
            </w:r>
          </w:p>
        </w:tc>
      </w:tr>
      <w:tr w:rsidR="00F60B69" w:rsidRPr="00BE68AE" w14:paraId="62427342" w14:textId="77777777" w:rsidTr="00B816DC">
        <w:tc>
          <w:tcPr>
            <w:tcW w:w="548" w:type="pct"/>
          </w:tcPr>
          <w:p w14:paraId="2D326C18" w14:textId="77777777" w:rsidR="00F60B69" w:rsidRPr="00BE68AE" w:rsidRDefault="00F60B69" w:rsidP="007A4FE8">
            <w:pPr>
              <w:jc w:val="both"/>
              <w:rPr>
                <w:rFonts w:cs="Times New Roman"/>
                <w:sz w:val="22"/>
              </w:rPr>
            </w:pPr>
            <w:r w:rsidRPr="00BE68AE">
              <w:rPr>
                <w:rFonts w:eastAsia="Times New Roman" w:cs="Times New Roman"/>
                <w:sz w:val="22"/>
                <w:lang w:eastAsia="es-CR"/>
              </w:rPr>
              <w:t>Tuis (T)</w:t>
            </w:r>
          </w:p>
        </w:tc>
        <w:tc>
          <w:tcPr>
            <w:tcW w:w="211" w:type="pct"/>
            <w:vAlign w:val="bottom"/>
          </w:tcPr>
          <w:p w14:paraId="02699DDA" w14:textId="77777777" w:rsidR="00F60B69" w:rsidRPr="00BE68AE" w:rsidRDefault="00F60B69" w:rsidP="007A4FE8">
            <w:pPr>
              <w:jc w:val="center"/>
              <w:rPr>
                <w:rFonts w:cs="Times New Roman"/>
                <w:sz w:val="22"/>
              </w:rPr>
            </w:pPr>
            <w:r w:rsidRPr="00BE68AE">
              <w:rPr>
                <w:rFonts w:cs="Times New Roman"/>
                <w:sz w:val="22"/>
              </w:rPr>
              <w:t>56</w:t>
            </w:r>
          </w:p>
        </w:tc>
        <w:tc>
          <w:tcPr>
            <w:tcW w:w="211" w:type="pct"/>
            <w:vAlign w:val="bottom"/>
          </w:tcPr>
          <w:p w14:paraId="28D97276" w14:textId="77777777" w:rsidR="00F60B69" w:rsidRPr="00BE68AE" w:rsidRDefault="00F60B69" w:rsidP="007A4FE8">
            <w:pPr>
              <w:jc w:val="center"/>
              <w:rPr>
                <w:rFonts w:cs="Times New Roman"/>
                <w:sz w:val="22"/>
              </w:rPr>
            </w:pPr>
            <w:r w:rsidRPr="00BE68AE">
              <w:rPr>
                <w:rFonts w:cs="Times New Roman"/>
                <w:sz w:val="22"/>
              </w:rPr>
              <w:t>11</w:t>
            </w:r>
          </w:p>
        </w:tc>
        <w:tc>
          <w:tcPr>
            <w:tcW w:w="176" w:type="pct"/>
            <w:vAlign w:val="bottom"/>
          </w:tcPr>
          <w:p w14:paraId="3908F089" w14:textId="77777777" w:rsidR="00F60B69" w:rsidRPr="00BE68AE" w:rsidRDefault="00F60B69" w:rsidP="007A4FE8">
            <w:pPr>
              <w:jc w:val="center"/>
              <w:rPr>
                <w:rFonts w:cs="Times New Roman"/>
                <w:sz w:val="22"/>
              </w:rPr>
            </w:pPr>
            <w:r w:rsidRPr="00BE68AE">
              <w:rPr>
                <w:rFonts w:cs="Times New Roman"/>
                <w:sz w:val="22"/>
              </w:rPr>
              <w:t>34</w:t>
            </w:r>
          </w:p>
        </w:tc>
        <w:tc>
          <w:tcPr>
            <w:tcW w:w="155" w:type="pct"/>
            <w:vAlign w:val="bottom"/>
          </w:tcPr>
          <w:p w14:paraId="2700962E" w14:textId="77777777" w:rsidR="00F60B69" w:rsidRPr="00BE68AE" w:rsidRDefault="00F60B69" w:rsidP="007A4FE8">
            <w:pPr>
              <w:jc w:val="center"/>
              <w:rPr>
                <w:rFonts w:cs="Times New Roman"/>
                <w:sz w:val="22"/>
              </w:rPr>
            </w:pPr>
          </w:p>
        </w:tc>
        <w:tc>
          <w:tcPr>
            <w:tcW w:w="155" w:type="pct"/>
            <w:vAlign w:val="bottom"/>
          </w:tcPr>
          <w:p w14:paraId="5C8E3774" w14:textId="77777777" w:rsidR="00F60B69" w:rsidRPr="00BE68AE" w:rsidRDefault="00F60B69" w:rsidP="007A4FE8">
            <w:pPr>
              <w:jc w:val="center"/>
              <w:rPr>
                <w:rFonts w:cs="Times New Roman"/>
                <w:sz w:val="22"/>
              </w:rPr>
            </w:pPr>
            <w:r w:rsidRPr="00BE68AE">
              <w:rPr>
                <w:rFonts w:cs="Times New Roman"/>
                <w:sz w:val="22"/>
              </w:rPr>
              <w:t>1</w:t>
            </w:r>
          </w:p>
        </w:tc>
        <w:tc>
          <w:tcPr>
            <w:tcW w:w="176" w:type="pct"/>
            <w:vAlign w:val="bottom"/>
          </w:tcPr>
          <w:p w14:paraId="56F247B0" w14:textId="77777777" w:rsidR="00F60B69" w:rsidRPr="00BE68AE" w:rsidRDefault="00F60B69" w:rsidP="007A4FE8">
            <w:pPr>
              <w:jc w:val="center"/>
              <w:rPr>
                <w:rFonts w:cs="Times New Roman"/>
                <w:sz w:val="22"/>
              </w:rPr>
            </w:pPr>
            <w:r w:rsidRPr="00BE68AE">
              <w:rPr>
                <w:rFonts w:cs="Times New Roman"/>
                <w:sz w:val="22"/>
              </w:rPr>
              <w:t>10</w:t>
            </w:r>
          </w:p>
        </w:tc>
        <w:tc>
          <w:tcPr>
            <w:tcW w:w="176" w:type="pct"/>
            <w:vAlign w:val="bottom"/>
          </w:tcPr>
          <w:p w14:paraId="27B51004" w14:textId="77777777" w:rsidR="00F60B69" w:rsidRPr="00BE68AE" w:rsidRDefault="00F60B69" w:rsidP="007A4FE8">
            <w:pPr>
              <w:jc w:val="center"/>
              <w:rPr>
                <w:rFonts w:cs="Times New Roman"/>
                <w:sz w:val="22"/>
              </w:rPr>
            </w:pPr>
            <w:r w:rsidRPr="00BE68AE">
              <w:rPr>
                <w:rFonts w:cs="Times New Roman"/>
                <w:sz w:val="22"/>
              </w:rPr>
              <w:t>23</w:t>
            </w:r>
          </w:p>
        </w:tc>
        <w:tc>
          <w:tcPr>
            <w:tcW w:w="211" w:type="pct"/>
            <w:vAlign w:val="bottom"/>
          </w:tcPr>
          <w:p w14:paraId="68344490" w14:textId="77777777" w:rsidR="00F60B69" w:rsidRPr="00BE68AE" w:rsidRDefault="00F60B69" w:rsidP="007A4FE8">
            <w:pPr>
              <w:jc w:val="center"/>
              <w:rPr>
                <w:rFonts w:cs="Times New Roman"/>
                <w:sz w:val="22"/>
              </w:rPr>
            </w:pPr>
            <w:r w:rsidRPr="00BE68AE">
              <w:rPr>
                <w:rFonts w:cs="Times New Roman"/>
                <w:sz w:val="22"/>
              </w:rPr>
              <w:t>31</w:t>
            </w:r>
          </w:p>
        </w:tc>
        <w:tc>
          <w:tcPr>
            <w:tcW w:w="176" w:type="pct"/>
            <w:vAlign w:val="bottom"/>
          </w:tcPr>
          <w:p w14:paraId="383743B8" w14:textId="77777777" w:rsidR="00F60B69" w:rsidRPr="00BE68AE" w:rsidRDefault="00F60B69" w:rsidP="007A4FE8">
            <w:pPr>
              <w:jc w:val="center"/>
              <w:rPr>
                <w:rFonts w:cs="Times New Roman"/>
                <w:sz w:val="22"/>
              </w:rPr>
            </w:pPr>
            <w:r w:rsidRPr="00BE68AE">
              <w:rPr>
                <w:rFonts w:cs="Times New Roman"/>
                <w:sz w:val="22"/>
              </w:rPr>
              <w:t>2</w:t>
            </w:r>
          </w:p>
        </w:tc>
        <w:tc>
          <w:tcPr>
            <w:tcW w:w="176" w:type="pct"/>
            <w:vAlign w:val="bottom"/>
          </w:tcPr>
          <w:p w14:paraId="3B2DC9E7" w14:textId="77777777" w:rsidR="00F60B69" w:rsidRPr="00BE68AE" w:rsidRDefault="00F60B69" w:rsidP="007A4FE8">
            <w:pPr>
              <w:jc w:val="center"/>
              <w:rPr>
                <w:rFonts w:cs="Times New Roman"/>
                <w:sz w:val="22"/>
              </w:rPr>
            </w:pPr>
          </w:p>
        </w:tc>
        <w:tc>
          <w:tcPr>
            <w:tcW w:w="176" w:type="pct"/>
            <w:vAlign w:val="bottom"/>
          </w:tcPr>
          <w:p w14:paraId="66A77783" w14:textId="77777777" w:rsidR="00F60B69" w:rsidRPr="00BE68AE" w:rsidRDefault="00F60B69" w:rsidP="007A4FE8">
            <w:pPr>
              <w:jc w:val="center"/>
              <w:rPr>
                <w:rFonts w:cs="Times New Roman"/>
                <w:sz w:val="22"/>
              </w:rPr>
            </w:pPr>
          </w:p>
        </w:tc>
        <w:tc>
          <w:tcPr>
            <w:tcW w:w="176" w:type="pct"/>
            <w:vAlign w:val="bottom"/>
          </w:tcPr>
          <w:p w14:paraId="41A0B934" w14:textId="77777777" w:rsidR="00F60B69" w:rsidRPr="00BE68AE" w:rsidRDefault="00F60B69" w:rsidP="007A4FE8">
            <w:pPr>
              <w:jc w:val="center"/>
              <w:rPr>
                <w:rFonts w:cs="Times New Roman"/>
                <w:sz w:val="22"/>
              </w:rPr>
            </w:pPr>
            <w:r w:rsidRPr="00BE68AE">
              <w:rPr>
                <w:rFonts w:cs="Times New Roman"/>
                <w:sz w:val="22"/>
              </w:rPr>
              <w:t>3</w:t>
            </w:r>
          </w:p>
        </w:tc>
        <w:tc>
          <w:tcPr>
            <w:tcW w:w="176" w:type="pct"/>
            <w:vAlign w:val="bottom"/>
          </w:tcPr>
          <w:p w14:paraId="4DEDC6D9" w14:textId="77777777" w:rsidR="00F60B69" w:rsidRPr="00BE68AE" w:rsidRDefault="00F60B69" w:rsidP="007A4FE8">
            <w:pPr>
              <w:jc w:val="center"/>
              <w:rPr>
                <w:rFonts w:cs="Times New Roman"/>
                <w:sz w:val="22"/>
              </w:rPr>
            </w:pPr>
            <w:r w:rsidRPr="00BE68AE">
              <w:rPr>
                <w:rFonts w:cs="Times New Roman"/>
                <w:sz w:val="22"/>
              </w:rPr>
              <w:t>4</w:t>
            </w:r>
          </w:p>
        </w:tc>
        <w:tc>
          <w:tcPr>
            <w:tcW w:w="194" w:type="pct"/>
            <w:vAlign w:val="bottom"/>
          </w:tcPr>
          <w:p w14:paraId="35F24D32" w14:textId="77777777" w:rsidR="00F60B69" w:rsidRPr="00BE68AE" w:rsidRDefault="00F60B69" w:rsidP="007A4FE8">
            <w:pPr>
              <w:jc w:val="center"/>
              <w:rPr>
                <w:rFonts w:cs="Times New Roman"/>
                <w:sz w:val="22"/>
              </w:rPr>
            </w:pPr>
            <w:r w:rsidRPr="00BE68AE">
              <w:rPr>
                <w:rFonts w:cs="Times New Roman"/>
                <w:sz w:val="22"/>
              </w:rPr>
              <w:t>3</w:t>
            </w:r>
          </w:p>
        </w:tc>
        <w:tc>
          <w:tcPr>
            <w:tcW w:w="155" w:type="pct"/>
            <w:vAlign w:val="bottom"/>
          </w:tcPr>
          <w:p w14:paraId="2B885341" w14:textId="77777777" w:rsidR="00F60B69" w:rsidRPr="00BE68AE" w:rsidRDefault="00F60B69" w:rsidP="007A4FE8">
            <w:pPr>
              <w:jc w:val="center"/>
              <w:rPr>
                <w:rFonts w:cs="Times New Roman"/>
                <w:sz w:val="22"/>
              </w:rPr>
            </w:pPr>
            <w:r w:rsidRPr="00BE68AE">
              <w:rPr>
                <w:rFonts w:cs="Times New Roman"/>
                <w:sz w:val="22"/>
              </w:rPr>
              <w:t>2</w:t>
            </w:r>
          </w:p>
        </w:tc>
        <w:tc>
          <w:tcPr>
            <w:tcW w:w="176" w:type="pct"/>
            <w:vAlign w:val="bottom"/>
          </w:tcPr>
          <w:p w14:paraId="27EEA128" w14:textId="77777777" w:rsidR="00F60B69" w:rsidRPr="00BE68AE" w:rsidRDefault="00F60B69" w:rsidP="007A4FE8">
            <w:pPr>
              <w:jc w:val="center"/>
              <w:rPr>
                <w:rFonts w:cs="Times New Roman"/>
                <w:sz w:val="22"/>
              </w:rPr>
            </w:pPr>
            <w:r w:rsidRPr="00BE68AE">
              <w:rPr>
                <w:rFonts w:cs="Times New Roman"/>
                <w:sz w:val="22"/>
              </w:rPr>
              <w:t>2</w:t>
            </w:r>
          </w:p>
        </w:tc>
        <w:tc>
          <w:tcPr>
            <w:tcW w:w="176" w:type="pct"/>
            <w:vAlign w:val="bottom"/>
          </w:tcPr>
          <w:p w14:paraId="08A94C62" w14:textId="77777777" w:rsidR="00F60B69" w:rsidRPr="00BE68AE" w:rsidRDefault="00F60B69" w:rsidP="007A4FE8">
            <w:pPr>
              <w:jc w:val="center"/>
              <w:rPr>
                <w:rFonts w:cs="Times New Roman"/>
                <w:sz w:val="22"/>
              </w:rPr>
            </w:pPr>
          </w:p>
        </w:tc>
        <w:tc>
          <w:tcPr>
            <w:tcW w:w="176" w:type="pct"/>
            <w:vAlign w:val="bottom"/>
          </w:tcPr>
          <w:p w14:paraId="61E3FEB3" w14:textId="77777777" w:rsidR="00F60B69" w:rsidRPr="00BE68AE" w:rsidRDefault="00F60B69" w:rsidP="007A4FE8">
            <w:pPr>
              <w:jc w:val="center"/>
              <w:rPr>
                <w:rFonts w:cs="Times New Roman"/>
                <w:sz w:val="22"/>
              </w:rPr>
            </w:pPr>
          </w:p>
        </w:tc>
        <w:tc>
          <w:tcPr>
            <w:tcW w:w="176" w:type="pct"/>
            <w:vAlign w:val="bottom"/>
          </w:tcPr>
          <w:p w14:paraId="02AF1497" w14:textId="77777777" w:rsidR="00F60B69" w:rsidRPr="00BE68AE" w:rsidRDefault="00F60B69" w:rsidP="007A4FE8">
            <w:pPr>
              <w:jc w:val="center"/>
              <w:rPr>
                <w:rFonts w:cs="Times New Roman"/>
                <w:sz w:val="22"/>
              </w:rPr>
            </w:pPr>
            <w:r w:rsidRPr="00BE68AE">
              <w:rPr>
                <w:rFonts w:cs="Times New Roman"/>
                <w:sz w:val="22"/>
              </w:rPr>
              <w:t>3</w:t>
            </w:r>
          </w:p>
        </w:tc>
        <w:tc>
          <w:tcPr>
            <w:tcW w:w="211" w:type="pct"/>
            <w:vAlign w:val="bottom"/>
          </w:tcPr>
          <w:p w14:paraId="11B58620" w14:textId="77777777" w:rsidR="00F60B69" w:rsidRPr="00BE68AE" w:rsidRDefault="00F60B69" w:rsidP="007A4FE8">
            <w:pPr>
              <w:jc w:val="center"/>
              <w:rPr>
                <w:rFonts w:cs="Times New Roman"/>
                <w:sz w:val="22"/>
              </w:rPr>
            </w:pPr>
            <w:r w:rsidRPr="00BE68AE">
              <w:rPr>
                <w:rFonts w:cs="Times New Roman"/>
                <w:sz w:val="22"/>
              </w:rPr>
              <w:t>53</w:t>
            </w:r>
          </w:p>
        </w:tc>
        <w:tc>
          <w:tcPr>
            <w:tcW w:w="155" w:type="pct"/>
            <w:vAlign w:val="bottom"/>
          </w:tcPr>
          <w:p w14:paraId="7BE745FA" w14:textId="77777777" w:rsidR="00F60B69" w:rsidRPr="00BE68AE" w:rsidRDefault="00F60B69" w:rsidP="007A4FE8">
            <w:pPr>
              <w:jc w:val="center"/>
              <w:rPr>
                <w:rFonts w:cs="Times New Roman"/>
                <w:sz w:val="22"/>
              </w:rPr>
            </w:pPr>
          </w:p>
        </w:tc>
        <w:tc>
          <w:tcPr>
            <w:tcW w:w="176" w:type="pct"/>
            <w:vAlign w:val="bottom"/>
          </w:tcPr>
          <w:p w14:paraId="72747C2E" w14:textId="77777777" w:rsidR="00F60B69" w:rsidRPr="00BE68AE" w:rsidRDefault="00F60B69" w:rsidP="007A4FE8">
            <w:pPr>
              <w:jc w:val="center"/>
              <w:rPr>
                <w:rFonts w:cs="Times New Roman"/>
                <w:sz w:val="22"/>
              </w:rPr>
            </w:pPr>
          </w:p>
        </w:tc>
        <w:tc>
          <w:tcPr>
            <w:tcW w:w="155" w:type="pct"/>
            <w:vAlign w:val="bottom"/>
          </w:tcPr>
          <w:p w14:paraId="79CCF45B" w14:textId="77777777" w:rsidR="00F60B69" w:rsidRPr="00BE68AE" w:rsidRDefault="00F60B69" w:rsidP="007A4FE8">
            <w:pPr>
              <w:jc w:val="center"/>
              <w:rPr>
                <w:rFonts w:cs="Times New Roman"/>
                <w:sz w:val="22"/>
              </w:rPr>
            </w:pPr>
          </w:p>
        </w:tc>
        <w:tc>
          <w:tcPr>
            <w:tcW w:w="176" w:type="pct"/>
            <w:vAlign w:val="bottom"/>
          </w:tcPr>
          <w:p w14:paraId="46C74CCE" w14:textId="77777777" w:rsidR="00F60B69" w:rsidRPr="00BE68AE" w:rsidRDefault="00F60B69" w:rsidP="007A4FE8">
            <w:pPr>
              <w:jc w:val="center"/>
              <w:rPr>
                <w:rFonts w:cs="Times New Roman"/>
                <w:sz w:val="22"/>
              </w:rPr>
            </w:pPr>
            <w:r w:rsidRPr="00BE68AE">
              <w:rPr>
                <w:rFonts w:cs="Times New Roman"/>
                <w:sz w:val="22"/>
              </w:rPr>
              <w:t>3</w:t>
            </w:r>
          </w:p>
        </w:tc>
        <w:tc>
          <w:tcPr>
            <w:tcW w:w="176" w:type="pct"/>
            <w:vAlign w:val="bottom"/>
          </w:tcPr>
          <w:p w14:paraId="66DA5D84" w14:textId="77777777" w:rsidR="00F60B69" w:rsidRPr="00BE68AE" w:rsidRDefault="00F60B69" w:rsidP="007A4FE8">
            <w:pPr>
              <w:jc w:val="center"/>
              <w:rPr>
                <w:rFonts w:cs="Times New Roman"/>
                <w:sz w:val="22"/>
              </w:rPr>
            </w:pPr>
            <w:r w:rsidRPr="00BE68AE">
              <w:rPr>
                <w:rFonts w:cs="Times New Roman"/>
                <w:sz w:val="22"/>
              </w:rPr>
              <w:t>7</w:t>
            </w:r>
          </w:p>
        </w:tc>
      </w:tr>
      <w:tr w:rsidR="00F60B69" w:rsidRPr="00BE68AE" w14:paraId="28D72157" w14:textId="77777777" w:rsidTr="00B816DC">
        <w:tc>
          <w:tcPr>
            <w:tcW w:w="548" w:type="pct"/>
            <w:tcBorders>
              <w:bottom w:val="single" w:sz="4" w:space="0" w:color="auto"/>
            </w:tcBorders>
          </w:tcPr>
          <w:p w14:paraId="2A4C90CE" w14:textId="77777777" w:rsidR="00F60B69" w:rsidRPr="00BE68AE" w:rsidRDefault="00F60B69" w:rsidP="007A4FE8">
            <w:pPr>
              <w:jc w:val="both"/>
              <w:rPr>
                <w:rFonts w:cs="Times New Roman"/>
                <w:sz w:val="22"/>
              </w:rPr>
            </w:pPr>
            <w:r w:rsidRPr="00BE68AE">
              <w:rPr>
                <w:rFonts w:eastAsia="Times New Roman" w:cs="Times New Roman"/>
                <w:sz w:val="22"/>
                <w:lang w:eastAsia="es-CR"/>
              </w:rPr>
              <w:t>Turrialba (T)</w:t>
            </w:r>
          </w:p>
        </w:tc>
        <w:tc>
          <w:tcPr>
            <w:tcW w:w="211" w:type="pct"/>
            <w:tcBorders>
              <w:bottom w:val="single" w:sz="4" w:space="0" w:color="auto"/>
            </w:tcBorders>
            <w:vAlign w:val="bottom"/>
          </w:tcPr>
          <w:p w14:paraId="565C02E8" w14:textId="77777777" w:rsidR="00F60B69" w:rsidRPr="00BE68AE" w:rsidRDefault="00F60B69" w:rsidP="007A4FE8">
            <w:pPr>
              <w:jc w:val="center"/>
              <w:rPr>
                <w:rFonts w:cs="Times New Roman"/>
                <w:sz w:val="22"/>
              </w:rPr>
            </w:pPr>
            <w:r w:rsidRPr="00BE68AE">
              <w:rPr>
                <w:rFonts w:cs="Times New Roman"/>
                <w:sz w:val="22"/>
              </w:rPr>
              <w:t>172</w:t>
            </w:r>
          </w:p>
        </w:tc>
        <w:tc>
          <w:tcPr>
            <w:tcW w:w="211" w:type="pct"/>
            <w:tcBorders>
              <w:bottom w:val="single" w:sz="4" w:space="0" w:color="auto"/>
            </w:tcBorders>
            <w:vAlign w:val="bottom"/>
          </w:tcPr>
          <w:p w14:paraId="22E8507B" w14:textId="77777777" w:rsidR="00F60B69" w:rsidRPr="00BE68AE" w:rsidRDefault="00F60B69" w:rsidP="007A4FE8">
            <w:pPr>
              <w:jc w:val="center"/>
              <w:rPr>
                <w:rFonts w:cs="Times New Roman"/>
                <w:sz w:val="22"/>
              </w:rPr>
            </w:pPr>
            <w:r w:rsidRPr="00BE68AE">
              <w:rPr>
                <w:rFonts w:cs="Times New Roman"/>
                <w:sz w:val="22"/>
              </w:rPr>
              <w:t>78</w:t>
            </w:r>
          </w:p>
        </w:tc>
        <w:tc>
          <w:tcPr>
            <w:tcW w:w="176" w:type="pct"/>
            <w:tcBorders>
              <w:bottom w:val="single" w:sz="4" w:space="0" w:color="auto"/>
            </w:tcBorders>
            <w:vAlign w:val="bottom"/>
          </w:tcPr>
          <w:p w14:paraId="45643C20" w14:textId="77777777" w:rsidR="00F60B69" w:rsidRPr="00BE68AE" w:rsidRDefault="00F60B69" w:rsidP="007A4FE8">
            <w:pPr>
              <w:jc w:val="center"/>
              <w:rPr>
                <w:rFonts w:cs="Times New Roman"/>
                <w:sz w:val="22"/>
              </w:rPr>
            </w:pPr>
            <w:r w:rsidRPr="00BE68AE">
              <w:rPr>
                <w:rFonts w:cs="Times New Roman"/>
                <w:sz w:val="22"/>
              </w:rPr>
              <w:t>88</w:t>
            </w:r>
          </w:p>
        </w:tc>
        <w:tc>
          <w:tcPr>
            <w:tcW w:w="155" w:type="pct"/>
            <w:tcBorders>
              <w:bottom w:val="single" w:sz="4" w:space="0" w:color="auto"/>
            </w:tcBorders>
            <w:vAlign w:val="bottom"/>
          </w:tcPr>
          <w:p w14:paraId="31636F5E" w14:textId="77777777" w:rsidR="00F60B69" w:rsidRPr="00BE68AE" w:rsidRDefault="00F60B69" w:rsidP="007A4FE8">
            <w:pPr>
              <w:jc w:val="center"/>
              <w:rPr>
                <w:rFonts w:cs="Times New Roman"/>
                <w:sz w:val="22"/>
              </w:rPr>
            </w:pPr>
          </w:p>
        </w:tc>
        <w:tc>
          <w:tcPr>
            <w:tcW w:w="155" w:type="pct"/>
            <w:tcBorders>
              <w:bottom w:val="single" w:sz="4" w:space="0" w:color="auto"/>
            </w:tcBorders>
            <w:vAlign w:val="bottom"/>
          </w:tcPr>
          <w:p w14:paraId="4EB43786" w14:textId="77777777" w:rsidR="00F60B69" w:rsidRPr="00BE68AE" w:rsidRDefault="00F60B69" w:rsidP="007A4FE8">
            <w:pPr>
              <w:jc w:val="center"/>
              <w:rPr>
                <w:rFonts w:cs="Times New Roman"/>
                <w:sz w:val="22"/>
              </w:rPr>
            </w:pPr>
          </w:p>
        </w:tc>
        <w:tc>
          <w:tcPr>
            <w:tcW w:w="176" w:type="pct"/>
            <w:tcBorders>
              <w:bottom w:val="single" w:sz="4" w:space="0" w:color="auto"/>
            </w:tcBorders>
            <w:vAlign w:val="bottom"/>
          </w:tcPr>
          <w:p w14:paraId="72C2E95E" w14:textId="77777777" w:rsidR="00F60B69" w:rsidRPr="00BE68AE" w:rsidRDefault="00F60B69" w:rsidP="007A4FE8">
            <w:pPr>
              <w:jc w:val="center"/>
              <w:rPr>
                <w:rFonts w:cs="Times New Roman"/>
                <w:sz w:val="22"/>
              </w:rPr>
            </w:pPr>
            <w:r w:rsidRPr="00BE68AE">
              <w:rPr>
                <w:rFonts w:cs="Times New Roman"/>
                <w:sz w:val="22"/>
              </w:rPr>
              <w:t>6</w:t>
            </w:r>
          </w:p>
        </w:tc>
        <w:tc>
          <w:tcPr>
            <w:tcW w:w="176" w:type="pct"/>
            <w:tcBorders>
              <w:bottom w:val="single" w:sz="4" w:space="0" w:color="auto"/>
            </w:tcBorders>
            <w:vAlign w:val="bottom"/>
          </w:tcPr>
          <w:p w14:paraId="3A7FA53F" w14:textId="77777777" w:rsidR="00F60B69" w:rsidRPr="00BE68AE" w:rsidRDefault="00F60B69" w:rsidP="007A4FE8">
            <w:pPr>
              <w:jc w:val="center"/>
              <w:rPr>
                <w:rFonts w:cs="Times New Roman"/>
                <w:sz w:val="22"/>
              </w:rPr>
            </w:pPr>
            <w:r w:rsidRPr="00BE68AE">
              <w:rPr>
                <w:rFonts w:cs="Times New Roman"/>
                <w:sz w:val="22"/>
              </w:rPr>
              <w:t>37</w:t>
            </w:r>
          </w:p>
        </w:tc>
        <w:tc>
          <w:tcPr>
            <w:tcW w:w="211" w:type="pct"/>
            <w:tcBorders>
              <w:bottom w:val="single" w:sz="4" w:space="0" w:color="auto"/>
            </w:tcBorders>
            <w:vAlign w:val="bottom"/>
          </w:tcPr>
          <w:p w14:paraId="4DF34385" w14:textId="77777777" w:rsidR="00F60B69" w:rsidRPr="00BE68AE" w:rsidRDefault="00F60B69" w:rsidP="007A4FE8">
            <w:pPr>
              <w:jc w:val="center"/>
              <w:rPr>
                <w:rFonts w:cs="Times New Roman"/>
                <w:sz w:val="22"/>
              </w:rPr>
            </w:pPr>
            <w:r w:rsidRPr="00BE68AE">
              <w:rPr>
                <w:rFonts w:cs="Times New Roman"/>
                <w:sz w:val="22"/>
              </w:rPr>
              <w:t>97</w:t>
            </w:r>
          </w:p>
        </w:tc>
        <w:tc>
          <w:tcPr>
            <w:tcW w:w="176" w:type="pct"/>
            <w:tcBorders>
              <w:bottom w:val="single" w:sz="4" w:space="0" w:color="auto"/>
            </w:tcBorders>
            <w:vAlign w:val="bottom"/>
          </w:tcPr>
          <w:p w14:paraId="087212CC" w14:textId="77777777" w:rsidR="00F60B69" w:rsidRPr="00BE68AE" w:rsidRDefault="00F60B69" w:rsidP="007A4FE8">
            <w:pPr>
              <w:jc w:val="center"/>
              <w:rPr>
                <w:rFonts w:cs="Times New Roman"/>
                <w:sz w:val="22"/>
              </w:rPr>
            </w:pPr>
            <w:r w:rsidRPr="00BE68AE">
              <w:rPr>
                <w:rFonts w:cs="Times New Roman"/>
                <w:sz w:val="22"/>
              </w:rPr>
              <w:t>27</w:t>
            </w:r>
          </w:p>
        </w:tc>
        <w:tc>
          <w:tcPr>
            <w:tcW w:w="176" w:type="pct"/>
            <w:tcBorders>
              <w:bottom w:val="single" w:sz="4" w:space="0" w:color="auto"/>
            </w:tcBorders>
            <w:vAlign w:val="bottom"/>
          </w:tcPr>
          <w:p w14:paraId="1B47C88B" w14:textId="77777777" w:rsidR="00F60B69" w:rsidRPr="00BE68AE" w:rsidRDefault="00F60B69" w:rsidP="007A4FE8">
            <w:pPr>
              <w:jc w:val="center"/>
              <w:rPr>
                <w:rFonts w:cs="Times New Roman"/>
                <w:sz w:val="22"/>
              </w:rPr>
            </w:pPr>
            <w:r w:rsidRPr="00BE68AE">
              <w:rPr>
                <w:rFonts w:cs="Times New Roman"/>
                <w:sz w:val="22"/>
              </w:rPr>
              <w:t>10</w:t>
            </w:r>
          </w:p>
        </w:tc>
        <w:tc>
          <w:tcPr>
            <w:tcW w:w="176" w:type="pct"/>
            <w:tcBorders>
              <w:bottom w:val="single" w:sz="4" w:space="0" w:color="auto"/>
            </w:tcBorders>
            <w:vAlign w:val="bottom"/>
          </w:tcPr>
          <w:p w14:paraId="2BE54B52" w14:textId="77777777" w:rsidR="00F60B69" w:rsidRPr="00BE68AE" w:rsidRDefault="00F60B69" w:rsidP="007A4FE8">
            <w:pPr>
              <w:jc w:val="center"/>
              <w:rPr>
                <w:rFonts w:cs="Times New Roman"/>
                <w:sz w:val="22"/>
              </w:rPr>
            </w:pPr>
            <w:r w:rsidRPr="00BE68AE">
              <w:rPr>
                <w:rFonts w:cs="Times New Roman"/>
                <w:sz w:val="22"/>
              </w:rPr>
              <w:t>1</w:t>
            </w:r>
          </w:p>
        </w:tc>
        <w:tc>
          <w:tcPr>
            <w:tcW w:w="176" w:type="pct"/>
            <w:tcBorders>
              <w:bottom w:val="single" w:sz="4" w:space="0" w:color="auto"/>
            </w:tcBorders>
            <w:vAlign w:val="bottom"/>
          </w:tcPr>
          <w:p w14:paraId="168765EE" w14:textId="77777777" w:rsidR="00F60B69" w:rsidRPr="00BE68AE" w:rsidRDefault="00F60B69" w:rsidP="007A4FE8">
            <w:pPr>
              <w:jc w:val="center"/>
              <w:rPr>
                <w:rFonts w:cs="Times New Roman"/>
                <w:sz w:val="22"/>
              </w:rPr>
            </w:pPr>
            <w:r w:rsidRPr="00BE68AE">
              <w:rPr>
                <w:rFonts w:cs="Times New Roman"/>
                <w:sz w:val="22"/>
              </w:rPr>
              <w:t>70</w:t>
            </w:r>
          </w:p>
        </w:tc>
        <w:tc>
          <w:tcPr>
            <w:tcW w:w="176" w:type="pct"/>
            <w:tcBorders>
              <w:bottom w:val="single" w:sz="4" w:space="0" w:color="auto"/>
            </w:tcBorders>
            <w:vAlign w:val="bottom"/>
          </w:tcPr>
          <w:p w14:paraId="635E0678" w14:textId="77777777" w:rsidR="00F60B69" w:rsidRPr="00BE68AE" w:rsidRDefault="00F60B69" w:rsidP="007A4FE8">
            <w:pPr>
              <w:jc w:val="center"/>
              <w:rPr>
                <w:rFonts w:cs="Times New Roman"/>
                <w:sz w:val="22"/>
              </w:rPr>
            </w:pPr>
            <w:r w:rsidRPr="00BE68AE">
              <w:rPr>
                <w:rFonts w:cs="Times New Roman"/>
                <w:sz w:val="22"/>
              </w:rPr>
              <w:t>77</w:t>
            </w:r>
          </w:p>
        </w:tc>
        <w:tc>
          <w:tcPr>
            <w:tcW w:w="194" w:type="pct"/>
            <w:tcBorders>
              <w:bottom w:val="single" w:sz="4" w:space="0" w:color="auto"/>
            </w:tcBorders>
            <w:vAlign w:val="bottom"/>
          </w:tcPr>
          <w:p w14:paraId="292B0D7A" w14:textId="77777777" w:rsidR="00F60B69" w:rsidRPr="00BE68AE" w:rsidRDefault="00F60B69" w:rsidP="007A4FE8">
            <w:pPr>
              <w:jc w:val="center"/>
              <w:rPr>
                <w:rFonts w:cs="Times New Roman"/>
                <w:sz w:val="22"/>
              </w:rPr>
            </w:pPr>
            <w:r w:rsidRPr="00BE68AE">
              <w:rPr>
                <w:rFonts w:cs="Times New Roman"/>
                <w:sz w:val="22"/>
              </w:rPr>
              <w:t>10</w:t>
            </w:r>
          </w:p>
        </w:tc>
        <w:tc>
          <w:tcPr>
            <w:tcW w:w="155" w:type="pct"/>
            <w:tcBorders>
              <w:bottom w:val="single" w:sz="4" w:space="0" w:color="auto"/>
            </w:tcBorders>
            <w:vAlign w:val="bottom"/>
          </w:tcPr>
          <w:p w14:paraId="73B0B9AA" w14:textId="77777777" w:rsidR="00F60B69" w:rsidRPr="00BE68AE" w:rsidRDefault="00F60B69" w:rsidP="007A4FE8">
            <w:pPr>
              <w:jc w:val="center"/>
              <w:rPr>
                <w:rFonts w:cs="Times New Roman"/>
                <w:sz w:val="22"/>
              </w:rPr>
            </w:pPr>
            <w:r w:rsidRPr="00BE68AE">
              <w:rPr>
                <w:rFonts w:cs="Times New Roman"/>
                <w:sz w:val="22"/>
              </w:rPr>
              <w:t>4</w:t>
            </w:r>
          </w:p>
        </w:tc>
        <w:tc>
          <w:tcPr>
            <w:tcW w:w="176" w:type="pct"/>
            <w:tcBorders>
              <w:bottom w:val="single" w:sz="4" w:space="0" w:color="auto"/>
            </w:tcBorders>
            <w:vAlign w:val="bottom"/>
          </w:tcPr>
          <w:p w14:paraId="5DCF9F60" w14:textId="77777777" w:rsidR="00F60B69" w:rsidRPr="00BE68AE" w:rsidRDefault="00F60B69" w:rsidP="007A4FE8">
            <w:pPr>
              <w:jc w:val="center"/>
              <w:rPr>
                <w:rFonts w:cs="Times New Roman"/>
                <w:sz w:val="22"/>
              </w:rPr>
            </w:pPr>
            <w:r w:rsidRPr="00BE68AE">
              <w:rPr>
                <w:rFonts w:cs="Times New Roman"/>
                <w:sz w:val="22"/>
              </w:rPr>
              <w:t>16</w:t>
            </w:r>
          </w:p>
        </w:tc>
        <w:tc>
          <w:tcPr>
            <w:tcW w:w="176" w:type="pct"/>
            <w:tcBorders>
              <w:bottom w:val="single" w:sz="4" w:space="0" w:color="auto"/>
            </w:tcBorders>
            <w:vAlign w:val="bottom"/>
          </w:tcPr>
          <w:p w14:paraId="01220005" w14:textId="77777777" w:rsidR="00F60B69" w:rsidRPr="00BE68AE" w:rsidRDefault="00F60B69" w:rsidP="007A4FE8">
            <w:pPr>
              <w:jc w:val="center"/>
              <w:rPr>
                <w:rFonts w:cs="Times New Roman"/>
                <w:sz w:val="22"/>
              </w:rPr>
            </w:pPr>
          </w:p>
        </w:tc>
        <w:tc>
          <w:tcPr>
            <w:tcW w:w="176" w:type="pct"/>
            <w:tcBorders>
              <w:bottom w:val="single" w:sz="4" w:space="0" w:color="auto"/>
            </w:tcBorders>
            <w:vAlign w:val="bottom"/>
          </w:tcPr>
          <w:p w14:paraId="106760A3" w14:textId="77777777" w:rsidR="00F60B69" w:rsidRPr="00BE68AE" w:rsidRDefault="00F60B69" w:rsidP="007A4FE8">
            <w:pPr>
              <w:jc w:val="center"/>
              <w:rPr>
                <w:rFonts w:cs="Times New Roman"/>
                <w:sz w:val="22"/>
              </w:rPr>
            </w:pPr>
            <w:r w:rsidRPr="00BE68AE">
              <w:rPr>
                <w:rFonts w:cs="Times New Roman"/>
                <w:sz w:val="22"/>
              </w:rPr>
              <w:t>4</w:t>
            </w:r>
          </w:p>
        </w:tc>
        <w:tc>
          <w:tcPr>
            <w:tcW w:w="176" w:type="pct"/>
            <w:tcBorders>
              <w:bottom w:val="single" w:sz="4" w:space="0" w:color="auto"/>
            </w:tcBorders>
            <w:vAlign w:val="bottom"/>
          </w:tcPr>
          <w:p w14:paraId="68F3161E" w14:textId="77777777" w:rsidR="00F60B69" w:rsidRPr="00BE68AE" w:rsidRDefault="00F60B69" w:rsidP="007A4FE8">
            <w:pPr>
              <w:jc w:val="center"/>
              <w:rPr>
                <w:rFonts w:cs="Times New Roman"/>
                <w:sz w:val="22"/>
              </w:rPr>
            </w:pPr>
          </w:p>
        </w:tc>
        <w:tc>
          <w:tcPr>
            <w:tcW w:w="211" w:type="pct"/>
            <w:tcBorders>
              <w:bottom w:val="single" w:sz="4" w:space="0" w:color="auto"/>
            </w:tcBorders>
            <w:vAlign w:val="bottom"/>
          </w:tcPr>
          <w:p w14:paraId="50A47E7C" w14:textId="77777777" w:rsidR="00F60B69" w:rsidRPr="00BE68AE" w:rsidRDefault="00F60B69" w:rsidP="007A4FE8">
            <w:pPr>
              <w:jc w:val="center"/>
              <w:rPr>
                <w:rFonts w:cs="Times New Roman"/>
                <w:sz w:val="22"/>
              </w:rPr>
            </w:pPr>
            <w:r w:rsidRPr="00BE68AE">
              <w:rPr>
                <w:rFonts w:cs="Times New Roman"/>
                <w:sz w:val="22"/>
              </w:rPr>
              <w:t>167</w:t>
            </w:r>
          </w:p>
        </w:tc>
        <w:tc>
          <w:tcPr>
            <w:tcW w:w="155" w:type="pct"/>
            <w:tcBorders>
              <w:bottom w:val="single" w:sz="4" w:space="0" w:color="auto"/>
            </w:tcBorders>
            <w:vAlign w:val="bottom"/>
          </w:tcPr>
          <w:p w14:paraId="51954DB0" w14:textId="77777777" w:rsidR="00F60B69" w:rsidRPr="00BE68AE" w:rsidRDefault="00F60B69" w:rsidP="007A4FE8">
            <w:pPr>
              <w:jc w:val="center"/>
              <w:rPr>
                <w:rFonts w:cs="Times New Roman"/>
                <w:sz w:val="22"/>
              </w:rPr>
            </w:pPr>
            <w:r w:rsidRPr="00BE68AE">
              <w:rPr>
                <w:rFonts w:cs="Times New Roman"/>
                <w:sz w:val="22"/>
              </w:rPr>
              <w:t>1</w:t>
            </w:r>
          </w:p>
        </w:tc>
        <w:tc>
          <w:tcPr>
            <w:tcW w:w="176" w:type="pct"/>
            <w:tcBorders>
              <w:bottom w:val="single" w:sz="4" w:space="0" w:color="auto"/>
            </w:tcBorders>
            <w:vAlign w:val="bottom"/>
          </w:tcPr>
          <w:p w14:paraId="67D22F54" w14:textId="77777777" w:rsidR="00F60B69" w:rsidRPr="00BE68AE" w:rsidRDefault="00F60B69" w:rsidP="007A4FE8">
            <w:pPr>
              <w:jc w:val="center"/>
              <w:rPr>
                <w:rFonts w:cs="Times New Roman"/>
                <w:sz w:val="22"/>
              </w:rPr>
            </w:pPr>
            <w:r w:rsidRPr="00BE68AE">
              <w:rPr>
                <w:rFonts w:cs="Times New Roman"/>
                <w:sz w:val="22"/>
              </w:rPr>
              <w:t>16</w:t>
            </w:r>
          </w:p>
        </w:tc>
        <w:tc>
          <w:tcPr>
            <w:tcW w:w="155" w:type="pct"/>
            <w:tcBorders>
              <w:bottom w:val="single" w:sz="4" w:space="0" w:color="auto"/>
            </w:tcBorders>
            <w:vAlign w:val="bottom"/>
          </w:tcPr>
          <w:p w14:paraId="056E93EB" w14:textId="77777777" w:rsidR="00F60B69" w:rsidRPr="00BE68AE" w:rsidRDefault="00F60B69" w:rsidP="007A4FE8">
            <w:pPr>
              <w:jc w:val="center"/>
              <w:rPr>
                <w:rFonts w:cs="Times New Roman"/>
                <w:sz w:val="22"/>
              </w:rPr>
            </w:pPr>
            <w:r w:rsidRPr="00BE68AE">
              <w:rPr>
                <w:rFonts w:cs="Times New Roman"/>
                <w:sz w:val="22"/>
              </w:rPr>
              <w:t>9</w:t>
            </w:r>
          </w:p>
        </w:tc>
        <w:tc>
          <w:tcPr>
            <w:tcW w:w="176" w:type="pct"/>
            <w:tcBorders>
              <w:bottom w:val="single" w:sz="4" w:space="0" w:color="auto"/>
            </w:tcBorders>
            <w:vAlign w:val="bottom"/>
          </w:tcPr>
          <w:p w14:paraId="7E2D4F25" w14:textId="77777777" w:rsidR="00F60B69" w:rsidRPr="00BE68AE" w:rsidRDefault="00F60B69" w:rsidP="007A4FE8">
            <w:pPr>
              <w:jc w:val="center"/>
              <w:rPr>
                <w:rFonts w:cs="Times New Roman"/>
                <w:sz w:val="22"/>
              </w:rPr>
            </w:pPr>
            <w:r w:rsidRPr="00BE68AE">
              <w:rPr>
                <w:rFonts w:cs="Times New Roman"/>
                <w:sz w:val="22"/>
              </w:rPr>
              <w:t>12</w:t>
            </w:r>
          </w:p>
        </w:tc>
        <w:tc>
          <w:tcPr>
            <w:tcW w:w="176" w:type="pct"/>
            <w:tcBorders>
              <w:bottom w:val="single" w:sz="4" w:space="0" w:color="auto"/>
            </w:tcBorders>
            <w:vAlign w:val="bottom"/>
          </w:tcPr>
          <w:p w14:paraId="2B424829" w14:textId="77777777" w:rsidR="00F60B69" w:rsidRPr="00BE68AE" w:rsidRDefault="00F60B69" w:rsidP="007A4FE8">
            <w:pPr>
              <w:jc w:val="center"/>
              <w:rPr>
                <w:rFonts w:cs="Times New Roman"/>
                <w:sz w:val="22"/>
              </w:rPr>
            </w:pPr>
            <w:r w:rsidRPr="00BE68AE">
              <w:rPr>
                <w:rFonts w:cs="Times New Roman"/>
                <w:sz w:val="22"/>
              </w:rPr>
              <w:t>15</w:t>
            </w:r>
          </w:p>
        </w:tc>
      </w:tr>
      <w:tr w:rsidR="00F60B69" w:rsidRPr="00BE68AE" w14:paraId="5B4ED55C" w14:textId="77777777" w:rsidTr="00B816DC">
        <w:tc>
          <w:tcPr>
            <w:tcW w:w="548" w:type="pct"/>
            <w:tcBorders>
              <w:top w:val="single" w:sz="4" w:space="0" w:color="auto"/>
              <w:bottom w:val="single" w:sz="4" w:space="0" w:color="auto"/>
            </w:tcBorders>
          </w:tcPr>
          <w:p w14:paraId="6026D547" w14:textId="77777777" w:rsidR="00F60B69" w:rsidRPr="00BE68AE" w:rsidRDefault="00F60B69" w:rsidP="007A4FE8">
            <w:pPr>
              <w:jc w:val="both"/>
              <w:rPr>
                <w:rFonts w:eastAsia="Times New Roman" w:cs="Times New Roman"/>
                <w:b/>
                <w:sz w:val="22"/>
                <w:lang w:eastAsia="es-CR"/>
              </w:rPr>
            </w:pPr>
            <w:r w:rsidRPr="00BE68AE">
              <w:rPr>
                <w:rFonts w:eastAsia="Times New Roman" w:cs="Times New Roman"/>
                <w:b/>
                <w:sz w:val="22"/>
                <w:lang w:eastAsia="es-CR"/>
              </w:rPr>
              <w:lastRenderedPageBreak/>
              <w:t>TOTAL</w:t>
            </w:r>
          </w:p>
        </w:tc>
        <w:tc>
          <w:tcPr>
            <w:tcW w:w="211" w:type="pct"/>
            <w:tcBorders>
              <w:top w:val="single" w:sz="4" w:space="0" w:color="auto"/>
              <w:bottom w:val="single" w:sz="4" w:space="0" w:color="auto"/>
            </w:tcBorders>
            <w:vAlign w:val="bottom"/>
          </w:tcPr>
          <w:p w14:paraId="4CD0FA5B" w14:textId="77777777" w:rsidR="00F60B69" w:rsidRPr="00BE68AE" w:rsidRDefault="00F60B69" w:rsidP="007A4FE8">
            <w:pPr>
              <w:jc w:val="center"/>
              <w:rPr>
                <w:rFonts w:cs="Times New Roman"/>
                <w:b/>
                <w:sz w:val="22"/>
              </w:rPr>
            </w:pPr>
            <w:r w:rsidRPr="00BE68AE">
              <w:rPr>
                <w:rFonts w:cs="Times New Roman"/>
                <w:b/>
                <w:sz w:val="22"/>
              </w:rPr>
              <w:t>2194</w:t>
            </w:r>
          </w:p>
        </w:tc>
        <w:tc>
          <w:tcPr>
            <w:tcW w:w="211" w:type="pct"/>
            <w:tcBorders>
              <w:top w:val="single" w:sz="4" w:space="0" w:color="auto"/>
              <w:bottom w:val="single" w:sz="4" w:space="0" w:color="auto"/>
            </w:tcBorders>
            <w:vAlign w:val="bottom"/>
          </w:tcPr>
          <w:p w14:paraId="08214EAD" w14:textId="77777777" w:rsidR="00F60B69" w:rsidRPr="00BE68AE" w:rsidRDefault="00F60B69" w:rsidP="007A4FE8">
            <w:pPr>
              <w:jc w:val="center"/>
              <w:rPr>
                <w:rFonts w:cs="Times New Roman"/>
                <w:b/>
                <w:sz w:val="22"/>
              </w:rPr>
            </w:pPr>
            <w:r w:rsidRPr="00BE68AE">
              <w:rPr>
                <w:rFonts w:cs="Times New Roman"/>
                <w:b/>
                <w:bCs/>
                <w:color w:val="000000"/>
                <w:sz w:val="22"/>
              </w:rPr>
              <w:t>1107</w:t>
            </w:r>
          </w:p>
        </w:tc>
        <w:tc>
          <w:tcPr>
            <w:tcW w:w="176" w:type="pct"/>
            <w:tcBorders>
              <w:top w:val="single" w:sz="4" w:space="0" w:color="auto"/>
              <w:bottom w:val="single" w:sz="4" w:space="0" w:color="auto"/>
            </w:tcBorders>
            <w:vAlign w:val="bottom"/>
          </w:tcPr>
          <w:p w14:paraId="00D3FF9E" w14:textId="77777777" w:rsidR="00F60B69" w:rsidRPr="00BE68AE" w:rsidRDefault="00F60B69" w:rsidP="007A4FE8">
            <w:pPr>
              <w:jc w:val="center"/>
              <w:rPr>
                <w:rFonts w:cs="Times New Roman"/>
                <w:b/>
                <w:sz w:val="22"/>
              </w:rPr>
            </w:pPr>
            <w:r w:rsidRPr="00BE68AE">
              <w:rPr>
                <w:rFonts w:cs="Times New Roman"/>
                <w:b/>
                <w:bCs/>
                <w:color w:val="000000"/>
                <w:sz w:val="22"/>
              </w:rPr>
              <w:t>863</w:t>
            </w:r>
          </w:p>
        </w:tc>
        <w:tc>
          <w:tcPr>
            <w:tcW w:w="155" w:type="pct"/>
            <w:tcBorders>
              <w:top w:val="single" w:sz="4" w:space="0" w:color="auto"/>
              <w:bottom w:val="single" w:sz="4" w:space="0" w:color="auto"/>
            </w:tcBorders>
            <w:vAlign w:val="bottom"/>
          </w:tcPr>
          <w:p w14:paraId="60020FC9" w14:textId="77777777" w:rsidR="00F60B69" w:rsidRPr="00BE68AE" w:rsidRDefault="00F60B69" w:rsidP="007A4FE8">
            <w:pPr>
              <w:jc w:val="center"/>
              <w:rPr>
                <w:rFonts w:cs="Times New Roman"/>
                <w:b/>
                <w:sz w:val="22"/>
              </w:rPr>
            </w:pPr>
            <w:r w:rsidRPr="00BE68AE">
              <w:rPr>
                <w:rFonts w:cs="Times New Roman"/>
                <w:b/>
                <w:bCs/>
                <w:color w:val="000000"/>
                <w:sz w:val="22"/>
              </w:rPr>
              <w:t>18</w:t>
            </w:r>
          </w:p>
        </w:tc>
        <w:tc>
          <w:tcPr>
            <w:tcW w:w="155" w:type="pct"/>
            <w:tcBorders>
              <w:top w:val="single" w:sz="4" w:space="0" w:color="auto"/>
              <w:bottom w:val="single" w:sz="4" w:space="0" w:color="auto"/>
            </w:tcBorders>
            <w:vAlign w:val="bottom"/>
          </w:tcPr>
          <w:p w14:paraId="4A24857C" w14:textId="77777777" w:rsidR="00F60B69" w:rsidRPr="00BE68AE" w:rsidRDefault="00F60B69" w:rsidP="007A4FE8">
            <w:pPr>
              <w:jc w:val="center"/>
              <w:rPr>
                <w:rFonts w:cs="Times New Roman"/>
                <w:b/>
                <w:sz w:val="22"/>
              </w:rPr>
            </w:pPr>
            <w:r w:rsidRPr="00BE68AE">
              <w:rPr>
                <w:rFonts w:cs="Times New Roman"/>
                <w:b/>
                <w:sz w:val="22"/>
              </w:rPr>
              <w:t>16</w:t>
            </w:r>
          </w:p>
        </w:tc>
        <w:tc>
          <w:tcPr>
            <w:tcW w:w="176" w:type="pct"/>
            <w:tcBorders>
              <w:top w:val="single" w:sz="4" w:space="0" w:color="auto"/>
              <w:bottom w:val="single" w:sz="4" w:space="0" w:color="auto"/>
            </w:tcBorders>
            <w:vAlign w:val="bottom"/>
          </w:tcPr>
          <w:p w14:paraId="7621C7D3" w14:textId="77777777" w:rsidR="00F60B69" w:rsidRPr="00BE68AE" w:rsidRDefault="00F60B69" w:rsidP="007A4FE8">
            <w:pPr>
              <w:jc w:val="center"/>
              <w:rPr>
                <w:rFonts w:cs="Times New Roman"/>
                <w:b/>
                <w:sz w:val="22"/>
              </w:rPr>
            </w:pPr>
            <w:r w:rsidRPr="00BE68AE">
              <w:rPr>
                <w:rFonts w:cs="Times New Roman"/>
                <w:b/>
                <w:bCs/>
                <w:color w:val="000000"/>
                <w:sz w:val="22"/>
              </w:rPr>
              <w:t>190</w:t>
            </w:r>
          </w:p>
        </w:tc>
        <w:tc>
          <w:tcPr>
            <w:tcW w:w="176" w:type="pct"/>
            <w:tcBorders>
              <w:top w:val="single" w:sz="4" w:space="0" w:color="auto"/>
              <w:bottom w:val="single" w:sz="4" w:space="0" w:color="auto"/>
            </w:tcBorders>
            <w:vAlign w:val="bottom"/>
          </w:tcPr>
          <w:p w14:paraId="08FBEB6F" w14:textId="77777777" w:rsidR="00F60B69" w:rsidRPr="00BE68AE" w:rsidRDefault="00F60B69" w:rsidP="007A4FE8">
            <w:pPr>
              <w:jc w:val="center"/>
              <w:rPr>
                <w:rFonts w:cs="Times New Roman"/>
                <w:b/>
                <w:sz w:val="22"/>
              </w:rPr>
            </w:pPr>
            <w:r w:rsidRPr="00BE68AE">
              <w:rPr>
                <w:rFonts w:cs="Times New Roman"/>
                <w:b/>
                <w:bCs/>
                <w:color w:val="000000"/>
                <w:sz w:val="22"/>
              </w:rPr>
              <w:t>710</w:t>
            </w:r>
          </w:p>
        </w:tc>
        <w:tc>
          <w:tcPr>
            <w:tcW w:w="211" w:type="pct"/>
            <w:tcBorders>
              <w:top w:val="single" w:sz="4" w:space="0" w:color="auto"/>
              <w:bottom w:val="single" w:sz="4" w:space="0" w:color="auto"/>
            </w:tcBorders>
            <w:vAlign w:val="bottom"/>
          </w:tcPr>
          <w:p w14:paraId="4383A584" w14:textId="77777777" w:rsidR="00F60B69" w:rsidRPr="00BE68AE" w:rsidRDefault="00F60B69" w:rsidP="007A4FE8">
            <w:pPr>
              <w:jc w:val="center"/>
              <w:rPr>
                <w:rFonts w:cs="Times New Roman"/>
                <w:b/>
                <w:sz w:val="22"/>
              </w:rPr>
            </w:pPr>
            <w:r w:rsidRPr="00BE68AE">
              <w:rPr>
                <w:rFonts w:cs="Times New Roman"/>
                <w:b/>
                <w:bCs/>
                <w:color w:val="000000"/>
                <w:sz w:val="22"/>
              </w:rPr>
              <w:t>1004</w:t>
            </w:r>
          </w:p>
        </w:tc>
        <w:tc>
          <w:tcPr>
            <w:tcW w:w="176" w:type="pct"/>
            <w:tcBorders>
              <w:top w:val="single" w:sz="4" w:space="0" w:color="auto"/>
              <w:bottom w:val="single" w:sz="4" w:space="0" w:color="auto"/>
            </w:tcBorders>
            <w:vAlign w:val="bottom"/>
          </w:tcPr>
          <w:p w14:paraId="2C718887" w14:textId="77777777" w:rsidR="00F60B69" w:rsidRPr="00BE68AE" w:rsidRDefault="00F60B69" w:rsidP="007A4FE8">
            <w:pPr>
              <w:jc w:val="center"/>
              <w:rPr>
                <w:rFonts w:cs="Times New Roman"/>
                <w:b/>
                <w:sz w:val="22"/>
              </w:rPr>
            </w:pPr>
            <w:r w:rsidRPr="00BE68AE">
              <w:rPr>
                <w:rFonts w:cs="Times New Roman"/>
                <w:b/>
                <w:bCs/>
                <w:color w:val="000000"/>
                <w:sz w:val="22"/>
              </w:rPr>
              <w:t>229</w:t>
            </w:r>
          </w:p>
        </w:tc>
        <w:tc>
          <w:tcPr>
            <w:tcW w:w="176" w:type="pct"/>
            <w:tcBorders>
              <w:top w:val="single" w:sz="4" w:space="0" w:color="auto"/>
              <w:bottom w:val="single" w:sz="4" w:space="0" w:color="auto"/>
            </w:tcBorders>
            <w:vAlign w:val="bottom"/>
          </w:tcPr>
          <w:p w14:paraId="1A8F7923" w14:textId="77777777" w:rsidR="00F60B69" w:rsidRPr="00BE68AE" w:rsidRDefault="00F60B69" w:rsidP="007A4FE8">
            <w:pPr>
              <w:jc w:val="center"/>
              <w:rPr>
                <w:rFonts w:cs="Times New Roman"/>
                <w:b/>
                <w:sz w:val="22"/>
              </w:rPr>
            </w:pPr>
            <w:r w:rsidRPr="00BE68AE">
              <w:rPr>
                <w:rFonts w:cs="Times New Roman"/>
                <w:b/>
                <w:bCs/>
                <w:color w:val="000000"/>
                <w:sz w:val="22"/>
              </w:rPr>
              <w:t>140</w:t>
            </w:r>
          </w:p>
        </w:tc>
        <w:tc>
          <w:tcPr>
            <w:tcW w:w="176" w:type="pct"/>
            <w:tcBorders>
              <w:top w:val="single" w:sz="4" w:space="0" w:color="auto"/>
              <w:bottom w:val="single" w:sz="4" w:space="0" w:color="auto"/>
            </w:tcBorders>
            <w:vAlign w:val="bottom"/>
          </w:tcPr>
          <w:p w14:paraId="0D27023E" w14:textId="77777777" w:rsidR="00F60B69" w:rsidRPr="00BE68AE" w:rsidRDefault="00F60B69" w:rsidP="007A4FE8">
            <w:pPr>
              <w:jc w:val="center"/>
              <w:rPr>
                <w:rFonts w:cs="Times New Roman"/>
                <w:b/>
                <w:sz w:val="22"/>
              </w:rPr>
            </w:pPr>
            <w:r w:rsidRPr="00BE68AE">
              <w:rPr>
                <w:rFonts w:cs="Times New Roman"/>
                <w:b/>
                <w:bCs/>
                <w:color w:val="000000"/>
                <w:sz w:val="22"/>
              </w:rPr>
              <w:t>111</w:t>
            </w:r>
          </w:p>
        </w:tc>
        <w:tc>
          <w:tcPr>
            <w:tcW w:w="176" w:type="pct"/>
            <w:tcBorders>
              <w:top w:val="single" w:sz="4" w:space="0" w:color="auto"/>
              <w:bottom w:val="single" w:sz="4" w:space="0" w:color="auto"/>
            </w:tcBorders>
            <w:vAlign w:val="bottom"/>
          </w:tcPr>
          <w:p w14:paraId="2C8DC5CA" w14:textId="77777777" w:rsidR="00F60B69" w:rsidRPr="00BE68AE" w:rsidRDefault="00F60B69" w:rsidP="007A4FE8">
            <w:pPr>
              <w:jc w:val="center"/>
              <w:rPr>
                <w:rFonts w:cs="Times New Roman"/>
                <w:b/>
                <w:sz w:val="22"/>
              </w:rPr>
            </w:pPr>
            <w:r w:rsidRPr="00BE68AE">
              <w:rPr>
                <w:rFonts w:cs="Times New Roman"/>
                <w:b/>
                <w:sz w:val="22"/>
              </w:rPr>
              <w:t>436</w:t>
            </w:r>
          </w:p>
        </w:tc>
        <w:tc>
          <w:tcPr>
            <w:tcW w:w="176" w:type="pct"/>
            <w:tcBorders>
              <w:top w:val="single" w:sz="4" w:space="0" w:color="auto"/>
              <w:bottom w:val="single" w:sz="4" w:space="0" w:color="auto"/>
            </w:tcBorders>
            <w:vAlign w:val="bottom"/>
          </w:tcPr>
          <w:p w14:paraId="55E991E0" w14:textId="77777777" w:rsidR="00F60B69" w:rsidRPr="00BE68AE" w:rsidRDefault="00F60B69" w:rsidP="007A4FE8">
            <w:pPr>
              <w:jc w:val="center"/>
              <w:rPr>
                <w:rFonts w:cs="Times New Roman"/>
                <w:b/>
                <w:sz w:val="22"/>
              </w:rPr>
            </w:pPr>
            <w:r w:rsidRPr="00BE68AE">
              <w:rPr>
                <w:rFonts w:cs="Times New Roman"/>
                <w:b/>
                <w:bCs/>
                <w:color w:val="000000"/>
                <w:sz w:val="22"/>
              </w:rPr>
              <w:t>630</w:t>
            </w:r>
          </w:p>
        </w:tc>
        <w:tc>
          <w:tcPr>
            <w:tcW w:w="194" w:type="pct"/>
            <w:tcBorders>
              <w:top w:val="single" w:sz="4" w:space="0" w:color="auto"/>
              <w:bottom w:val="single" w:sz="4" w:space="0" w:color="auto"/>
            </w:tcBorders>
            <w:vAlign w:val="bottom"/>
          </w:tcPr>
          <w:p w14:paraId="7C8E20C1" w14:textId="77777777" w:rsidR="00F60B69" w:rsidRPr="00BE68AE" w:rsidRDefault="00F60B69" w:rsidP="007A4FE8">
            <w:pPr>
              <w:jc w:val="center"/>
              <w:rPr>
                <w:rFonts w:cs="Times New Roman"/>
                <w:b/>
                <w:sz w:val="22"/>
              </w:rPr>
            </w:pPr>
            <w:r w:rsidRPr="00BE68AE">
              <w:rPr>
                <w:rFonts w:cs="Times New Roman"/>
                <w:b/>
                <w:bCs/>
                <w:color w:val="000000"/>
                <w:sz w:val="22"/>
              </w:rPr>
              <w:t>307</w:t>
            </w:r>
          </w:p>
        </w:tc>
        <w:tc>
          <w:tcPr>
            <w:tcW w:w="155" w:type="pct"/>
            <w:tcBorders>
              <w:top w:val="single" w:sz="4" w:space="0" w:color="auto"/>
              <w:bottom w:val="single" w:sz="4" w:space="0" w:color="auto"/>
            </w:tcBorders>
            <w:vAlign w:val="bottom"/>
          </w:tcPr>
          <w:p w14:paraId="738B78E8" w14:textId="77777777" w:rsidR="00F60B69" w:rsidRPr="00BE68AE" w:rsidRDefault="00F60B69" w:rsidP="007A4FE8">
            <w:pPr>
              <w:jc w:val="center"/>
              <w:rPr>
                <w:rFonts w:cs="Times New Roman"/>
                <w:b/>
                <w:sz w:val="22"/>
              </w:rPr>
            </w:pPr>
            <w:r w:rsidRPr="00BE68AE">
              <w:rPr>
                <w:rFonts w:cs="Times New Roman"/>
                <w:b/>
                <w:bCs/>
                <w:color w:val="000000"/>
                <w:sz w:val="22"/>
              </w:rPr>
              <w:t>37</w:t>
            </w:r>
          </w:p>
        </w:tc>
        <w:tc>
          <w:tcPr>
            <w:tcW w:w="176" w:type="pct"/>
            <w:tcBorders>
              <w:top w:val="single" w:sz="4" w:space="0" w:color="auto"/>
              <w:bottom w:val="single" w:sz="4" w:space="0" w:color="auto"/>
            </w:tcBorders>
            <w:vAlign w:val="bottom"/>
          </w:tcPr>
          <w:p w14:paraId="48AA5298" w14:textId="77777777" w:rsidR="00F60B69" w:rsidRPr="00BE68AE" w:rsidRDefault="00F60B69" w:rsidP="007A4FE8">
            <w:pPr>
              <w:jc w:val="center"/>
              <w:rPr>
                <w:rFonts w:cs="Times New Roman"/>
                <w:b/>
                <w:sz w:val="22"/>
              </w:rPr>
            </w:pPr>
            <w:r w:rsidRPr="00BE68AE">
              <w:rPr>
                <w:rFonts w:cs="Times New Roman"/>
                <w:b/>
                <w:bCs/>
                <w:color w:val="000000"/>
                <w:sz w:val="22"/>
              </w:rPr>
              <w:t>318</w:t>
            </w:r>
          </w:p>
        </w:tc>
        <w:tc>
          <w:tcPr>
            <w:tcW w:w="176" w:type="pct"/>
            <w:tcBorders>
              <w:top w:val="single" w:sz="4" w:space="0" w:color="auto"/>
              <w:bottom w:val="single" w:sz="4" w:space="0" w:color="auto"/>
            </w:tcBorders>
            <w:vAlign w:val="bottom"/>
          </w:tcPr>
          <w:p w14:paraId="492F63DD" w14:textId="77777777" w:rsidR="00F60B69" w:rsidRPr="00BE68AE" w:rsidRDefault="00F60B69" w:rsidP="007A4FE8">
            <w:pPr>
              <w:jc w:val="center"/>
              <w:rPr>
                <w:rFonts w:cs="Times New Roman"/>
                <w:b/>
                <w:sz w:val="22"/>
              </w:rPr>
            </w:pPr>
            <w:r w:rsidRPr="00BE68AE">
              <w:rPr>
                <w:rFonts w:cs="Times New Roman"/>
                <w:b/>
                <w:bCs/>
                <w:color w:val="000000"/>
                <w:sz w:val="22"/>
              </w:rPr>
              <w:t>178</w:t>
            </w:r>
          </w:p>
        </w:tc>
        <w:tc>
          <w:tcPr>
            <w:tcW w:w="176" w:type="pct"/>
            <w:tcBorders>
              <w:top w:val="single" w:sz="4" w:space="0" w:color="auto"/>
              <w:bottom w:val="single" w:sz="4" w:space="0" w:color="auto"/>
            </w:tcBorders>
            <w:vAlign w:val="bottom"/>
          </w:tcPr>
          <w:p w14:paraId="3A16FC89" w14:textId="77777777" w:rsidR="00F60B69" w:rsidRPr="00BE68AE" w:rsidRDefault="00F60B69" w:rsidP="007A4FE8">
            <w:pPr>
              <w:jc w:val="center"/>
              <w:rPr>
                <w:rFonts w:cs="Times New Roman"/>
                <w:b/>
                <w:sz w:val="22"/>
              </w:rPr>
            </w:pPr>
            <w:r w:rsidRPr="00BE68AE">
              <w:rPr>
                <w:rFonts w:cs="Times New Roman"/>
                <w:b/>
                <w:bCs/>
                <w:color w:val="000000"/>
                <w:sz w:val="22"/>
              </w:rPr>
              <w:t>136</w:t>
            </w:r>
          </w:p>
        </w:tc>
        <w:tc>
          <w:tcPr>
            <w:tcW w:w="176" w:type="pct"/>
            <w:tcBorders>
              <w:top w:val="single" w:sz="4" w:space="0" w:color="auto"/>
              <w:bottom w:val="single" w:sz="4" w:space="0" w:color="auto"/>
            </w:tcBorders>
            <w:vAlign w:val="bottom"/>
          </w:tcPr>
          <w:p w14:paraId="1EE2F926" w14:textId="77777777" w:rsidR="00F60B69" w:rsidRPr="00BE68AE" w:rsidRDefault="00F60B69" w:rsidP="007A4FE8">
            <w:pPr>
              <w:jc w:val="center"/>
              <w:rPr>
                <w:rFonts w:cs="Times New Roman"/>
                <w:b/>
                <w:sz w:val="22"/>
              </w:rPr>
            </w:pPr>
            <w:r w:rsidRPr="00BE68AE">
              <w:rPr>
                <w:rFonts w:cs="Times New Roman"/>
                <w:b/>
                <w:bCs/>
                <w:color w:val="000000"/>
                <w:sz w:val="22"/>
              </w:rPr>
              <w:t>140</w:t>
            </w:r>
          </w:p>
        </w:tc>
        <w:tc>
          <w:tcPr>
            <w:tcW w:w="211" w:type="pct"/>
            <w:tcBorders>
              <w:top w:val="single" w:sz="4" w:space="0" w:color="auto"/>
              <w:bottom w:val="single" w:sz="4" w:space="0" w:color="auto"/>
            </w:tcBorders>
            <w:vAlign w:val="bottom"/>
          </w:tcPr>
          <w:p w14:paraId="047CF76E" w14:textId="77777777" w:rsidR="00F60B69" w:rsidRPr="00BE68AE" w:rsidRDefault="00F60B69" w:rsidP="007A4FE8">
            <w:pPr>
              <w:jc w:val="center"/>
              <w:rPr>
                <w:rFonts w:cs="Times New Roman"/>
                <w:b/>
                <w:sz w:val="22"/>
              </w:rPr>
            </w:pPr>
            <w:r w:rsidRPr="00BE68AE">
              <w:rPr>
                <w:rFonts w:cs="Times New Roman"/>
                <w:b/>
                <w:bCs/>
                <w:color w:val="000000"/>
                <w:sz w:val="22"/>
              </w:rPr>
              <w:t>1733</w:t>
            </w:r>
          </w:p>
        </w:tc>
        <w:tc>
          <w:tcPr>
            <w:tcW w:w="155" w:type="pct"/>
            <w:tcBorders>
              <w:top w:val="single" w:sz="4" w:space="0" w:color="auto"/>
              <w:bottom w:val="single" w:sz="4" w:space="0" w:color="auto"/>
            </w:tcBorders>
            <w:vAlign w:val="bottom"/>
          </w:tcPr>
          <w:p w14:paraId="492CFB85" w14:textId="77777777" w:rsidR="00F60B69" w:rsidRPr="00BE68AE" w:rsidRDefault="00F60B69" w:rsidP="007A4FE8">
            <w:pPr>
              <w:jc w:val="center"/>
              <w:rPr>
                <w:rFonts w:cs="Times New Roman"/>
                <w:b/>
                <w:sz w:val="22"/>
              </w:rPr>
            </w:pPr>
            <w:r w:rsidRPr="00BE68AE">
              <w:rPr>
                <w:rFonts w:cs="Times New Roman"/>
                <w:b/>
                <w:bCs/>
                <w:color w:val="000000"/>
                <w:sz w:val="22"/>
              </w:rPr>
              <w:t>7</w:t>
            </w:r>
          </w:p>
        </w:tc>
        <w:tc>
          <w:tcPr>
            <w:tcW w:w="176" w:type="pct"/>
            <w:tcBorders>
              <w:top w:val="single" w:sz="4" w:space="0" w:color="auto"/>
              <w:bottom w:val="single" w:sz="4" w:space="0" w:color="auto"/>
            </w:tcBorders>
            <w:vAlign w:val="bottom"/>
          </w:tcPr>
          <w:p w14:paraId="5DB9FEDF" w14:textId="77777777" w:rsidR="00F60B69" w:rsidRPr="00BE68AE" w:rsidRDefault="00F60B69" w:rsidP="007A4FE8">
            <w:pPr>
              <w:jc w:val="center"/>
              <w:rPr>
                <w:rFonts w:cs="Times New Roman"/>
                <w:b/>
                <w:sz w:val="22"/>
              </w:rPr>
            </w:pPr>
            <w:r w:rsidRPr="00BE68AE">
              <w:rPr>
                <w:rFonts w:cs="Times New Roman"/>
                <w:b/>
                <w:bCs/>
                <w:color w:val="000000"/>
                <w:sz w:val="22"/>
              </w:rPr>
              <w:t>272</w:t>
            </w:r>
          </w:p>
        </w:tc>
        <w:tc>
          <w:tcPr>
            <w:tcW w:w="155" w:type="pct"/>
            <w:tcBorders>
              <w:top w:val="single" w:sz="4" w:space="0" w:color="auto"/>
              <w:bottom w:val="single" w:sz="4" w:space="0" w:color="auto"/>
            </w:tcBorders>
            <w:vAlign w:val="bottom"/>
          </w:tcPr>
          <w:p w14:paraId="43739DE2" w14:textId="77777777" w:rsidR="00F60B69" w:rsidRPr="00BE68AE" w:rsidRDefault="00F60B69" w:rsidP="007A4FE8">
            <w:pPr>
              <w:jc w:val="center"/>
              <w:rPr>
                <w:rFonts w:cs="Times New Roman"/>
                <w:b/>
                <w:sz w:val="22"/>
              </w:rPr>
            </w:pPr>
            <w:r w:rsidRPr="00BE68AE">
              <w:rPr>
                <w:rFonts w:cs="Times New Roman"/>
                <w:b/>
                <w:bCs/>
                <w:color w:val="000000"/>
                <w:sz w:val="22"/>
              </w:rPr>
              <w:t>55</w:t>
            </w:r>
          </w:p>
        </w:tc>
        <w:tc>
          <w:tcPr>
            <w:tcW w:w="176" w:type="pct"/>
            <w:tcBorders>
              <w:top w:val="single" w:sz="4" w:space="0" w:color="auto"/>
              <w:bottom w:val="single" w:sz="4" w:space="0" w:color="auto"/>
            </w:tcBorders>
            <w:vAlign w:val="bottom"/>
          </w:tcPr>
          <w:p w14:paraId="457CBE05" w14:textId="77777777" w:rsidR="00F60B69" w:rsidRPr="00BE68AE" w:rsidRDefault="00F60B69" w:rsidP="007A4FE8">
            <w:pPr>
              <w:jc w:val="center"/>
              <w:rPr>
                <w:rFonts w:cs="Times New Roman"/>
                <w:b/>
                <w:sz w:val="22"/>
              </w:rPr>
            </w:pPr>
            <w:r w:rsidRPr="00BE68AE">
              <w:rPr>
                <w:rFonts w:cs="Times New Roman"/>
                <w:b/>
                <w:bCs/>
                <w:color w:val="000000"/>
                <w:sz w:val="22"/>
              </w:rPr>
              <w:t>151</w:t>
            </w:r>
          </w:p>
        </w:tc>
        <w:tc>
          <w:tcPr>
            <w:tcW w:w="176" w:type="pct"/>
            <w:tcBorders>
              <w:top w:val="single" w:sz="4" w:space="0" w:color="auto"/>
              <w:bottom w:val="single" w:sz="4" w:space="0" w:color="auto"/>
            </w:tcBorders>
            <w:vAlign w:val="bottom"/>
          </w:tcPr>
          <w:p w14:paraId="5D929444" w14:textId="77777777" w:rsidR="00F60B69" w:rsidRPr="00BE68AE" w:rsidRDefault="00F60B69" w:rsidP="007A4FE8">
            <w:pPr>
              <w:jc w:val="center"/>
              <w:rPr>
                <w:rFonts w:cs="Times New Roman"/>
                <w:b/>
                <w:sz w:val="22"/>
              </w:rPr>
            </w:pPr>
            <w:r w:rsidRPr="00BE68AE">
              <w:rPr>
                <w:rFonts w:cs="Times New Roman"/>
                <w:b/>
                <w:bCs/>
                <w:color w:val="000000"/>
                <w:sz w:val="22"/>
              </w:rPr>
              <w:t>403</w:t>
            </w:r>
          </w:p>
        </w:tc>
      </w:tr>
    </w:tbl>
    <w:p w14:paraId="7A5C1065" w14:textId="77777777" w:rsidR="00F60B69" w:rsidRPr="004A6073" w:rsidRDefault="00F60B69" w:rsidP="00B36B1D">
      <w:pPr>
        <w:spacing w:after="0"/>
        <w:rPr>
          <w:sz w:val="20"/>
        </w:rPr>
      </w:pPr>
      <w:r w:rsidRPr="001D509B">
        <w:rPr>
          <w:sz w:val="20"/>
          <w:lang w:val="pt-BR"/>
        </w:rPr>
        <w:t xml:space="preserve">A: Alvarado. J: Jiménez. O: </w:t>
      </w:r>
      <w:proofErr w:type="spellStart"/>
      <w:r w:rsidRPr="001D509B">
        <w:rPr>
          <w:sz w:val="20"/>
          <w:lang w:val="pt-BR"/>
        </w:rPr>
        <w:t>Oreamuno</w:t>
      </w:r>
      <w:proofErr w:type="spellEnd"/>
      <w:r w:rsidRPr="001D509B">
        <w:rPr>
          <w:sz w:val="20"/>
          <w:lang w:val="pt-BR"/>
        </w:rPr>
        <w:t xml:space="preserve">. </w:t>
      </w:r>
      <w:r w:rsidRPr="004A6073">
        <w:rPr>
          <w:sz w:val="20"/>
        </w:rPr>
        <w:t xml:space="preserve">T: Turrialba. </w:t>
      </w:r>
    </w:p>
    <w:p w14:paraId="38EDFB10" w14:textId="017C3384" w:rsidR="00F60B69" w:rsidRPr="001D509B" w:rsidRDefault="00F60B69" w:rsidP="007A4FE8">
      <w:pPr>
        <w:rPr>
          <w:sz w:val="20"/>
        </w:rPr>
        <w:sectPr w:rsidR="00F60B69" w:rsidRPr="001D509B" w:rsidSect="004525D3">
          <w:pgSz w:w="16838" w:h="11906" w:orient="landscape" w:code="9"/>
          <w:pgMar w:top="1418" w:right="1418" w:bottom="1418" w:left="1418" w:header="709" w:footer="709" w:gutter="0"/>
          <w:cols w:space="708"/>
          <w:docGrid w:linePitch="360"/>
        </w:sectPr>
      </w:pPr>
      <w:r w:rsidRPr="001D509B">
        <w:rPr>
          <w:sz w:val="20"/>
        </w:rPr>
        <w:t xml:space="preserve">T.A.P.: Tanque de almacenamiento propio. S.T.P.: Sistema de tratamiento propio (Filtro de carbón activado, </w:t>
      </w:r>
      <w:proofErr w:type="spellStart"/>
      <w:r w:rsidRPr="001D509B">
        <w:rPr>
          <w:sz w:val="20"/>
        </w:rPr>
        <w:t>ozonificador</w:t>
      </w:r>
      <w:proofErr w:type="spellEnd"/>
      <w:r w:rsidRPr="001D509B">
        <w:rPr>
          <w:sz w:val="20"/>
        </w:rPr>
        <w:t xml:space="preserve"> u otro).  </w:t>
      </w:r>
    </w:p>
    <w:p w14:paraId="5982F163" w14:textId="5799FB4D" w:rsidR="00F60B69" w:rsidRDefault="00B71F49" w:rsidP="007A4FE8">
      <w:pPr>
        <w:spacing w:after="0"/>
        <w:rPr>
          <w:rFonts w:cs="Times New Roman"/>
        </w:rPr>
      </w:pPr>
      <w:r>
        <w:rPr>
          <w:b/>
        </w:rPr>
        <w:lastRenderedPageBreak/>
        <w:t xml:space="preserve">Apéndice </w:t>
      </w:r>
      <w:r w:rsidR="00C859A4">
        <w:rPr>
          <w:b/>
          <w:noProof/>
        </w:rPr>
        <w:t>4</w:t>
      </w:r>
      <w:r w:rsidR="00F60B69" w:rsidRPr="00B338A8">
        <w:rPr>
          <w:b/>
        </w:rPr>
        <w:t>.</w:t>
      </w:r>
      <w:r w:rsidR="00F60B69">
        <w:t xml:space="preserve"> Resulta</w:t>
      </w:r>
      <w:bookmarkStart w:id="13" w:name="_GoBack"/>
      <w:bookmarkEnd w:id="13"/>
      <w:r w:rsidR="00F60B69">
        <w:t xml:space="preserve">dos para pruebas de hipótesis de </w:t>
      </w:r>
      <w:r w:rsidR="00F60B69" w:rsidRPr="47840DA5">
        <w:rPr>
          <w:rFonts w:cs="Times New Roman"/>
        </w:rPr>
        <w:t>χ</w:t>
      </w:r>
      <w:r w:rsidR="00F60B69" w:rsidRPr="47840DA5">
        <w:rPr>
          <w:vertAlign w:val="superscript"/>
        </w:rPr>
        <w:t>2</w:t>
      </w:r>
      <w:r w:rsidR="00F60B69">
        <w:t xml:space="preserve"> de contingencia (</w:t>
      </w:r>
      <w:r w:rsidR="00F60B69" w:rsidRPr="47840DA5">
        <w:rPr>
          <w:rFonts w:cs="Times New Roman"/>
        </w:rPr>
        <w:t>α</w:t>
      </w:r>
      <w:r w:rsidR="00F60B69">
        <w:rPr>
          <w:rFonts w:cs="Times New Roman"/>
        </w:rPr>
        <w:t xml:space="preserve"> = 5</w:t>
      </w:r>
      <w:r w:rsidR="002F0B93">
        <w:rPr>
          <w:rFonts w:cs="Times New Roman"/>
        </w:rPr>
        <w:t xml:space="preserve"> </w:t>
      </w:r>
      <w:r w:rsidR="00F60B69">
        <w:rPr>
          <w:rFonts w:cs="Times New Roman"/>
        </w:rPr>
        <w:t>%)</w:t>
      </w:r>
    </w:p>
    <w:p w14:paraId="2019756C" w14:textId="494AAC49" w:rsidR="00331300" w:rsidRPr="00522597" w:rsidRDefault="00331300" w:rsidP="007A4FE8">
      <w:pPr>
        <w:spacing w:after="120"/>
        <w:rPr>
          <w:b/>
          <w:i/>
          <w:iCs/>
          <w:lang w:val="en-US"/>
        </w:rPr>
      </w:pPr>
      <w:r w:rsidRPr="00522597">
        <w:rPr>
          <w:b/>
          <w:i/>
          <w:iCs/>
          <w:lang w:val="en-US"/>
        </w:rPr>
        <w:t xml:space="preserve">Appendix 4. </w:t>
      </w:r>
      <w:r w:rsidRPr="00522597">
        <w:rPr>
          <w:i/>
          <w:iCs/>
          <w:lang w:val="en-US"/>
        </w:rPr>
        <w:t>Results for the hypothesis tests on contingency tables χ2 (α = 5</w:t>
      </w:r>
      <w:r w:rsidR="002F0B93">
        <w:rPr>
          <w:i/>
          <w:iCs/>
          <w:lang w:val="en-US"/>
        </w:rPr>
        <w:t xml:space="preserve"> </w:t>
      </w:r>
      <w:r w:rsidRPr="00522597">
        <w:rPr>
          <w:i/>
          <w:iCs/>
          <w:lang w:val="en-US"/>
        </w:rPr>
        <w:t>%)</w:t>
      </w:r>
    </w:p>
    <w:tbl>
      <w:tblPr>
        <w:tblStyle w:val="Tablanormal41"/>
        <w:tblW w:w="5000" w:type="pct"/>
        <w:tblLook w:val="04A0" w:firstRow="1" w:lastRow="0" w:firstColumn="1" w:lastColumn="0" w:noHBand="0" w:noVBand="1"/>
      </w:tblPr>
      <w:tblGrid>
        <w:gridCol w:w="5762"/>
        <w:gridCol w:w="1109"/>
        <w:gridCol w:w="931"/>
        <w:gridCol w:w="1268"/>
      </w:tblGrid>
      <w:tr w:rsidR="00F60B69" w:rsidRPr="0020390C" w14:paraId="27476733" w14:textId="77777777" w:rsidTr="00267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9" w:type="pct"/>
            <w:tcBorders>
              <w:top w:val="single" w:sz="4" w:space="0" w:color="auto"/>
              <w:bottom w:val="single" w:sz="4" w:space="0" w:color="auto"/>
            </w:tcBorders>
            <w:shd w:val="clear" w:color="auto" w:fill="auto"/>
          </w:tcPr>
          <w:p w14:paraId="0F733D7B" w14:textId="77777777" w:rsidR="00F60B69" w:rsidRPr="0020390C" w:rsidRDefault="00F60B69" w:rsidP="00B36B1D">
            <w:pPr>
              <w:jc w:val="center"/>
              <w:rPr>
                <w:rFonts w:cs="Times New Roman"/>
                <w:sz w:val="22"/>
              </w:rPr>
            </w:pPr>
            <w:r w:rsidRPr="0020390C">
              <w:rPr>
                <w:rFonts w:cs="Times New Roman"/>
                <w:sz w:val="22"/>
              </w:rPr>
              <w:t>Variables evaluadas</w:t>
            </w:r>
          </w:p>
        </w:tc>
        <w:tc>
          <w:tcPr>
            <w:tcW w:w="639" w:type="pct"/>
            <w:tcBorders>
              <w:top w:val="single" w:sz="4" w:space="0" w:color="auto"/>
              <w:bottom w:val="single" w:sz="4" w:space="0" w:color="auto"/>
            </w:tcBorders>
            <w:shd w:val="clear" w:color="auto" w:fill="auto"/>
          </w:tcPr>
          <w:p w14:paraId="530A5B58" w14:textId="77777777" w:rsidR="00F60B69" w:rsidRPr="0020390C" w:rsidRDefault="00F60B69" w:rsidP="007A4FE8">
            <w:pPr>
              <w:jc w:val="center"/>
              <w:cnfStyle w:val="100000000000" w:firstRow="1" w:lastRow="0" w:firstColumn="0" w:lastColumn="0" w:oddVBand="0" w:evenVBand="0" w:oddHBand="0" w:evenHBand="0" w:firstRowFirstColumn="0" w:firstRowLastColumn="0" w:lastRowFirstColumn="0" w:lastRowLastColumn="0"/>
              <w:rPr>
                <w:rFonts w:cs="Times New Roman"/>
                <w:sz w:val="22"/>
              </w:rPr>
            </w:pPr>
            <w:r w:rsidRPr="0020390C">
              <w:rPr>
                <w:rFonts w:cs="Times New Roman"/>
                <w:sz w:val="22"/>
              </w:rPr>
              <w:t>Valor de χ</w:t>
            </w:r>
            <w:r w:rsidRPr="0020390C">
              <w:rPr>
                <w:rFonts w:cs="Times New Roman"/>
                <w:sz w:val="22"/>
                <w:vertAlign w:val="superscript"/>
              </w:rPr>
              <w:t>2</w:t>
            </w:r>
            <w:r w:rsidRPr="0020390C">
              <w:rPr>
                <w:rFonts w:cs="Times New Roman"/>
                <w:sz w:val="22"/>
              </w:rPr>
              <w:t xml:space="preserve"> calculado</w:t>
            </w:r>
          </w:p>
        </w:tc>
        <w:tc>
          <w:tcPr>
            <w:tcW w:w="457" w:type="pct"/>
            <w:tcBorders>
              <w:top w:val="single" w:sz="4" w:space="0" w:color="auto"/>
              <w:bottom w:val="single" w:sz="4" w:space="0" w:color="auto"/>
            </w:tcBorders>
            <w:shd w:val="clear" w:color="auto" w:fill="auto"/>
          </w:tcPr>
          <w:p w14:paraId="4F5F19A2" w14:textId="77777777" w:rsidR="00F60B69" w:rsidRPr="0020390C" w:rsidRDefault="00F60B69" w:rsidP="007A4FE8">
            <w:pPr>
              <w:jc w:val="center"/>
              <w:cnfStyle w:val="100000000000" w:firstRow="1" w:lastRow="0" w:firstColumn="0" w:lastColumn="0" w:oddVBand="0" w:evenVBand="0" w:oddHBand="0" w:evenHBand="0" w:firstRowFirstColumn="0" w:firstRowLastColumn="0" w:lastRowFirstColumn="0" w:lastRowLastColumn="0"/>
              <w:rPr>
                <w:rFonts w:cs="Times New Roman"/>
                <w:sz w:val="22"/>
              </w:rPr>
            </w:pPr>
            <w:r w:rsidRPr="0020390C">
              <w:rPr>
                <w:rFonts w:cs="Times New Roman"/>
                <w:sz w:val="22"/>
              </w:rPr>
              <w:t xml:space="preserve">Valor de p </w:t>
            </w:r>
          </w:p>
        </w:tc>
        <w:tc>
          <w:tcPr>
            <w:tcW w:w="685" w:type="pct"/>
            <w:tcBorders>
              <w:top w:val="single" w:sz="4" w:space="0" w:color="auto"/>
              <w:bottom w:val="single" w:sz="4" w:space="0" w:color="auto"/>
            </w:tcBorders>
            <w:shd w:val="clear" w:color="auto" w:fill="auto"/>
          </w:tcPr>
          <w:p w14:paraId="0E672D74" w14:textId="77777777" w:rsidR="00F60B69" w:rsidRPr="0020390C" w:rsidRDefault="00F60B69" w:rsidP="007A4FE8">
            <w:pPr>
              <w:jc w:val="center"/>
              <w:cnfStyle w:val="100000000000" w:firstRow="1" w:lastRow="0" w:firstColumn="0" w:lastColumn="0" w:oddVBand="0" w:evenVBand="0" w:oddHBand="0" w:evenHBand="0" w:firstRowFirstColumn="0" w:firstRowLastColumn="0" w:lastRowFirstColumn="0" w:lastRowLastColumn="0"/>
              <w:rPr>
                <w:rFonts w:cs="Times New Roman"/>
                <w:sz w:val="22"/>
              </w:rPr>
            </w:pPr>
            <w:r w:rsidRPr="0020390C">
              <w:rPr>
                <w:rFonts w:cs="Times New Roman"/>
                <w:sz w:val="22"/>
              </w:rPr>
              <w:t>Conclusión de la prueba</w:t>
            </w:r>
          </w:p>
        </w:tc>
      </w:tr>
      <w:tr w:rsidR="00F60B69" w:rsidRPr="0020390C" w14:paraId="5A1E5952" w14:textId="77777777" w:rsidTr="00267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9" w:type="pct"/>
            <w:tcBorders>
              <w:top w:val="single" w:sz="4" w:space="0" w:color="auto"/>
            </w:tcBorders>
            <w:shd w:val="clear" w:color="auto" w:fill="auto"/>
          </w:tcPr>
          <w:p w14:paraId="794EE1DF" w14:textId="77777777" w:rsidR="00F60B69" w:rsidRPr="0020390C" w:rsidRDefault="00F60B69" w:rsidP="00B36B1D">
            <w:pPr>
              <w:rPr>
                <w:rFonts w:cs="Times New Roman"/>
                <w:b w:val="0"/>
                <w:sz w:val="22"/>
              </w:rPr>
            </w:pPr>
            <w:r w:rsidRPr="0020390C">
              <w:rPr>
                <w:rFonts w:cs="Times New Roman"/>
                <w:b w:val="0"/>
                <w:sz w:val="22"/>
              </w:rPr>
              <w:t>Satisfacción de los usuarios vs. tipo de administrador del servicio</w:t>
            </w:r>
          </w:p>
        </w:tc>
        <w:tc>
          <w:tcPr>
            <w:tcW w:w="639" w:type="pct"/>
            <w:tcBorders>
              <w:top w:val="single" w:sz="4" w:space="0" w:color="auto"/>
            </w:tcBorders>
            <w:shd w:val="clear" w:color="auto" w:fill="auto"/>
          </w:tcPr>
          <w:p w14:paraId="623C19C0" w14:textId="79E4EC84" w:rsidR="00F60B69" w:rsidRPr="0020390C" w:rsidRDefault="00F60B69" w:rsidP="007A4FE8">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20390C">
              <w:rPr>
                <w:rFonts w:cs="Times New Roman"/>
                <w:sz w:val="22"/>
              </w:rPr>
              <w:t>187</w:t>
            </w:r>
            <w:r w:rsidR="00AE13DE">
              <w:rPr>
                <w:rFonts w:cs="Times New Roman"/>
                <w:sz w:val="22"/>
              </w:rPr>
              <w:t>.</w:t>
            </w:r>
            <w:r w:rsidRPr="0020390C">
              <w:rPr>
                <w:rFonts w:cs="Times New Roman"/>
                <w:sz w:val="22"/>
              </w:rPr>
              <w:t>9</w:t>
            </w:r>
          </w:p>
        </w:tc>
        <w:tc>
          <w:tcPr>
            <w:tcW w:w="457" w:type="pct"/>
            <w:tcBorders>
              <w:top w:val="single" w:sz="4" w:space="0" w:color="auto"/>
            </w:tcBorders>
            <w:shd w:val="clear" w:color="auto" w:fill="auto"/>
          </w:tcPr>
          <w:p w14:paraId="36B4D0C3" w14:textId="77777777" w:rsidR="00F60B69" w:rsidRPr="0020390C" w:rsidRDefault="00F60B69" w:rsidP="007A4FE8">
            <w:pPr>
              <w:jc w:val="center"/>
              <w:cnfStyle w:val="000000100000" w:firstRow="0" w:lastRow="0" w:firstColumn="0" w:lastColumn="0" w:oddVBand="0" w:evenVBand="0" w:oddHBand="1" w:evenHBand="0" w:firstRowFirstColumn="0" w:firstRowLastColumn="0" w:lastRowFirstColumn="0" w:lastRowLastColumn="0"/>
              <w:rPr>
                <w:rFonts w:cs="Times New Roman"/>
                <w:sz w:val="22"/>
                <w:lang w:val="pt-BR"/>
              </w:rPr>
            </w:pPr>
            <w:r w:rsidRPr="0020390C">
              <w:rPr>
                <w:rFonts w:cs="Times New Roman"/>
                <w:sz w:val="22"/>
                <w:lang w:val="pt-BR"/>
              </w:rPr>
              <w:t>&lt; 10</w:t>
            </w:r>
            <w:r w:rsidRPr="0020390C">
              <w:rPr>
                <w:rFonts w:cs="Times New Roman"/>
                <w:sz w:val="22"/>
                <w:vertAlign w:val="superscript"/>
                <w:lang w:val="pt-BR"/>
              </w:rPr>
              <w:t>-5</w:t>
            </w:r>
          </w:p>
        </w:tc>
        <w:tc>
          <w:tcPr>
            <w:tcW w:w="685" w:type="pct"/>
            <w:tcBorders>
              <w:top w:val="single" w:sz="4" w:space="0" w:color="auto"/>
            </w:tcBorders>
            <w:shd w:val="clear" w:color="auto" w:fill="auto"/>
          </w:tcPr>
          <w:p w14:paraId="51B9A5E6" w14:textId="77777777" w:rsidR="00F60B69" w:rsidRPr="0020390C" w:rsidRDefault="00F60B69" w:rsidP="007A4FE8">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20390C">
              <w:rPr>
                <w:rFonts w:cs="Times New Roman"/>
                <w:sz w:val="22"/>
              </w:rPr>
              <w:t>R.H.N.</w:t>
            </w:r>
          </w:p>
        </w:tc>
      </w:tr>
      <w:tr w:rsidR="00F60B69" w:rsidRPr="0020390C" w14:paraId="540391E1" w14:textId="77777777" w:rsidTr="00267E70">
        <w:tc>
          <w:tcPr>
            <w:cnfStyle w:val="001000000000" w:firstRow="0" w:lastRow="0" w:firstColumn="1" w:lastColumn="0" w:oddVBand="0" w:evenVBand="0" w:oddHBand="0" w:evenHBand="0" w:firstRowFirstColumn="0" w:firstRowLastColumn="0" w:lastRowFirstColumn="0" w:lastRowLastColumn="0"/>
            <w:tcW w:w="3219" w:type="pct"/>
            <w:shd w:val="clear" w:color="auto" w:fill="auto"/>
          </w:tcPr>
          <w:p w14:paraId="595586CA" w14:textId="77777777" w:rsidR="00F60B69" w:rsidRPr="0020390C" w:rsidRDefault="00F60B69" w:rsidP="00B36B1D">
            <w:pPr>
              <w:rPr>
                <w:rFonts w:cs="Times New Roman"/>
                <w:b w:val="0"/>
                <w:sz w:val="22"/>
              </w:rPr>
            </w:pPr>
            <w:r w:rsidRPr="0020390C">
              <w:rPr>
                <w:rFonts w:cs="Times New Roman"/>
                <w:b w:val="0"/>
                <w:sz w:val="22"/>
              </w:rPr>
              <w:t>Satisfacción de los usuarios vs. problema de presión insuficiente</w:t>
            </w:r>
          </w:p>
        </w:tc>
        <w:tc>
          <w:tcPr>
            <w:tcW w:w="639" w:type="pct"/>
            <w:shd w:val="clear" w:color="auto" w:fill="auto"/>
          </w:tcPr>
          <w:p w14:paraId="4120D1B8" w14:textId="1B186D26" w:rsidR="00F60B69" w:rsidRPr="0020390C" w:rsidRDefault="00F60B69" w:rsidP="007A4FE8">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20390C">
              <w:rPr>
                <w:rFonts w:cs="Times New Roman"/>
                <w:sz w:val="22"/>
              </w:rPr>
              <w:t>460</w:t>
            </w:r>
            <w:r w:rsidR="00AE13DE">
              <w:rPr>
                <w:rFonts w:cs="Times New Roman"/>
                <w:sz w:val="22"/>
              </w:rPr>
              <w:t>.</w:t>
            </w:r>
            <w:r w:rsidRPr="0020390C">
              <w:rPr>
                <w:rFonts w:cs="Times New Roman"/>
                <w:sz w:val="22"/>
              </w:rPr>
              <w:t>0</w:t>
            </w:r>
          </w:p>
        </w:tc>
        <w:tc>
          <w:tcPr>
            <w:tcW w:w="457" w:type="pct"/>
            <w:shd w:val="clear" w:color="auto" w:fill="auto"/>
          </w:tcPr>
          <w:p w14:paraId="231A4D9F" w14:textId="77777777" w:rsidR="00F60B69" w:rsidRPr="0020390C" w:rsidRDefault="00F60B69" w:rsidP="007A4FE8">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20390C">
              <w:rPr>
                <w:rFonts w:cs="Times New Roman"/>
                <w:sz w:val="22"/>
                <w:lang w:val="pt-BR"/>
              </w:rPr>
              <w:t>&lt; 10</w:t>
            </w:r>
            <w:r w:rsidRPr="0020390C">
              <w:rPr>
                <w:rFonts w:cs="Times New Roman"/>
                <w:sz w:val="22"/>
                <w:vertAlign w:val="superscript"/>
                <w:lang w:val="pt-BR"/>
              </w:rPr>
              <w:t>-5</w:t>
            </w:r>
          </w:p>
        </w:tc>
        <w:tc>
          <w:tcPr>
            <w:tcW w:w="685" w:type="pct"/>
            <w:shd w:val="clear" w:color="auto" w:fill="auto"/>
          </w:tcPr>
          <w:p w14:paraId="43209511" w14:textId="77777777" w:rsidR="00F60B69" w:rsidRPr="0020390C" w:rsidRDefault="00F60B69" w:rsidP="007A4FE8">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20390C">
              <w:rPr>
                <w:rFonts w:cs="Times New Roman"/>
                <w:sz w:val="22"/>
              </w:rPr>
              <w:t>R.H.N.</w:t>
            </w:r>
          </w:p>
        </w:tc>
      </w:tr>
      <w:tr w:rsidR="00F60B69" w:rsidRPr="0020390C" w14:paraId="066AC925" w14:textId="77777777" w:rsidTr="00267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9" w:type="pct"/>
            <w:shd w:val="clear" w:color="auto" w:fill="auto"/>
          </w:tcPr>
          <w:p w14:paraId="28004360" w14:textId="77777777" w:rsidR="00F60B69" w:rsidRPr="0020390C" w:rsidRDefault="00F60B69" w:rsidP="00B36B1D">
            <w:pPr>
              <w:rPr>
                <w:rFonts w:cs="Times New Roman"/>
                <w:b w:val="0"/>
                <w:sz w:val="22"/>
              </w:rPr>
            </w:pPr>
            <w:r w:rsidRPr="0020390C">
              <w:rPr>
                <w:rFonts w:cs="Times New Roman"/>
                <w:b w:val="0"/>
                <w:sz w:val="22"/>
              </w:rPr>
              <w:t>Satisfacción de los usuarios vs. problema de olor a cloro</w:t>
            </w:r>
          </w:p>
        </w:tc>
        <w:tc>
          <w:tcPr>
            <w:tcW w:w="639" w:type="pct"/>
            <w:shd w:val="clear" w:color="auto" w:fill="auto"/>
          </w:tcPr>
          <w:p w14:paraId="2D257D29" w14:textId="4E147A33" w:rsidR="00F60B69" w:rsidRPr="0020390C" w:rsidRDefault="00F60B69" w:rsidP="007A4FE8">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20390C">
              <w:rPr>
                <w:rFonts w:cs="Times New Roman"/>
                <w:sz w:val="22"/>
              </w:rPr>
              <w:t>111</w:t>
            </w:r>
            <w:r w:rsidR="00AE13DE">
              <w:rPr>
                <w:rFonts w:cs="Times New Roman"/>
                <w:sz w:val="22"/>
              </w:rPr>
              <w:t>.</w:t>
            </w:r>
            <w:r w:rsidRPr="0020390C">
              <w:rPr>
                <w:rFonts w:cs="Times New Roman"/>
                <w:sz w:val="22"/>
              </w:rPr>
              <w:t>0</w:t>
            </w:r>
          </w:p>
        </w:tc>
        <w:tc>
          <w:tcPr>
            <w:tcW w:w="457" w:type="pct"/>
            <w:shd w:val="clear" w:color="auto" w:fill="auto"/>
          </w:tcPr>
          <w:p w14:paraId="123F6C15" w14:textId="77777777" w:rsidR="00F60B69" w:rsidRPr="0020390C" w:rsidRDefault="00F60B69" w:rsidP="007A4FE8">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20390C">
              <w:rPr>
                <w:rFonts w:cs="Times New Roman"/>
                <w:sz w:val="22"/>
                <w:lang w:val="pt-BR"/>
              </w:rPr>
              <w:t>&lt; 10</w:t>
            </w:r>
            <w:r w:rsidRPr="0020390C">
              <w:rPr>
                <w:rFonts w:cs="Times New Roman"/>
                <w:sz w:val="22"/>
                <w:vertAlign w:val="superscript"/>
                <w:lang w:val="pt-BR"/>
              </w:rPr>
              <w:t>-5</w:t>
            </w:r>
          </w:p>
        </w:tc>
        <w:tc>
          <w:tcPr>
            <w:tcW w:w="685" w:type="pct"/>
            <w:shd w:val="clear" w:color="auto" w:fill="auto"/>
          </w:tcPr>
          <w:p w14:paraId="26222178" w14:textId="77777777" w:rsidR="00F60B69" w:rsidRPr="0020390C" w:rsidRDefault="00F60B69" w:rsidP="007A4FE8">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20390C">
              <w:rPr>
                <w:rFonts w:cs="Times New Roman"/>
                <w:sz w:val="22"/>
              </w:rPr>
              <w:t>R.H.N.</w:t>
            </w:r>
          </w:p>
        </w:tc>
      </w:tr>
      <w:tr w:rsidR="00F60B69" w:rsidRPr="0020390C" w14:paraId="65B3E171" w14:textId="77777777" w:rsidTr="00267E70">
        <w:tc>
          <w:tcPr>
            <w:cnfStyle w:val="001000000000" w:firstRow="0" w:lastRow="0" w:firstColumn="1" w:lastColumn="0" w:oddVBand="0" w:evenVBand="0" w:oddHBand="0" w:evenHBand="0" w:firstRowFirstColumn="0" w:firstRowLastColumn="0" w:lastRowFirstColumn="0" w:lastRowLastColumn="0"/>
            <w:tcW w:w="3219" w:type="pct"/>
            <w:shd w:val="clear" w:color="auto" w:fill="auto"/>
          </w:tcPr>
          <w:p w14:paraId="49B34E08" w14:textId="77777777" w:rsidR="00F60B69" w:rsidRPr="0020390C" w:rsidRDefault="00F60B69" w:rsidP="00B36B1D">
            <w:pPr>
              <w:rPr>
                <w:rFonts w:cs="Times New Roman"/>
                <w:b w:val="0"/>
                <w:sz w:val="22"/>
              </w:rPr>
            </w:pPr>
            <w:r w:rsidRPr="0020390C">
              <w:rPr>
                <w:rFonts w:cs="Times New Roman"/>
                <w:b w:val="0"/>
                <w:sz w:val="22"/>
              </w:rPr>
              <w:t xml:space="preserve">Satisfacción de los usuarios vs. problema de sabor a cloro </w:t>
            </w:r>
          </w:p>
        </w:tc>
        <w:tc>
          <w:tcPr>
            <w:tcW w:w="639" w:type="pct"/>
            <w:shd w:val="clear" w:color="auto" w:fill="auto"/>
          </w:tcPr>
          <w:p w14:paraId="7EC56E95" w14:textId="6C63EEF8" w:rsidR="00F60B69" w:rsidRPr="0020390C" w:rsidRDefault="00F60B69" w:rsidP="007A4FE8">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20390C">
              <w:rPr>
                <w:rFonts w:cs="Times New Roman"/>
                <w:sz w:val="22"/>
              </w:rPr>
              <w:t>73</w:t>
            </w:r>
            <w:r w:rsidR="00AE13DE">
              <w:rPr>
                <w:rFonts w:cs="Times New Roman"/>
                <w:sz w:val="22"/>
              </w:rPr>
              <w:t>.</w:t>
            </w:r>
            <w:r w:rsidRPr="0020390C">
              <w:rPr>
                <w:rFonts w:cs="Times New Roman"/>
                <w:sz w:val="22"/>
              </w:rPr>
              <w:t>6</w:t>
            </w:r>
          </w:p>
        </w:tc>
        <w:tc>
          <w:tcPr>
            <w:tcW w:w="457" w:type="pct"/>
            <w:shd w:val="clear" w:color="auto" w:fill="auto"/>
          </w:tcPr>
          <w:p w14:paraId="7730369F" w14:textId="77777777" w:rsidR="00F60B69" w:rsidRPr="0020390C" w:rsidRDefault="00F60B69" w:rsidP="007A4FE8">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20390C">
              <w:rPr>
                <w:rFonts w:cs="Times New Roman"/>
                <w:sz w:val="22"/>
                <w:lang w:val="pt-BR"/>
              </w:rPr>
              <w:t>&lt; 10</w:t>
            </w:r>
            <w:r w:rsidRPr="0020390C">
              <w:rPr>
                <w:rFonts w:cs="Times New Roman"/>
                <w:sz w:val="22"/>
                <w:vertAlign w:val="superscript"/>
                <w:lang w:val="pt-BR"/>
              </w:rPr>
              <w:t>-5</w:t>
            </w:r>
          </w:p>
        </w:tc>
        <w:tc>
          <w:tcPr>
            <w:tcW w:w="685" w:type="pct"/>
            <w:shd w:val="clear" w:color="auto" w:fill="auto"/>
          </w:tcPr>
          <w:p w14:paraId="0FAC7291" w14:textId="77777777" w:rsidR="00F60B69" w:rsidRPr="0020390C" w:rsidRDefault="00F60B69" w:rsidP="007A4FE8">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20390C">
              <w:rPr>
                <w:rFonts w:cs="Times New Roman"/>
                <w:sz w:val="22"/>
              </w:rPr>
              <w:t>R.H.N.</w:t>
            </w:r>
          </w:p>
        </w:tc>
      </w:tr>
      <w:tr w:rsidR="00F60B69" w:rsidRPr="0020390C" w14:paraId="7AA21D81" w14:textId="77777777" w:rsidTr="00267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9" w:type="pct"/>
            <w:shd w:val="clear" w:color="auto" w:fill="auto"/>
          </w:tcPr>
          <w:p w14:paraId="40DC91CE" w14:textId="77777777" w:rsidR="00F60B69" w:rsidRPr="0020390C" w:rsidRDefault="00F60B69" w:rsidP="00B36B1D">
            <w:pPr>
              <w:rPr>
                <w:rFonts w:cs="Times New Roman"/>
                <w:b w:val="0"/>
                <w:sz w:val="22"/>
              </w:rPr>
            </w:pPr>
            <w:r w:rsidRPr="0020390C">
              <w:rPr>
                <w:rFonts w:cs="Times New Roman"/>
                <w:b w:val="0"/>
                <w:sz w:val="22"/>
              </w:rPr>
              <w:t>Satisfacción de los usuarios vs. problema de elevada turbidez</w:t>
            </w:r>
          </w:p>
        </w:tc>
        <w:tc>
          <w:tcPr>
            <w:tcW w:w="639" w:type="pct"/>
            <w:shd w:val="clear" w:color="auto" w:fill="auto"/>
          </w:tcPr>
          <w:p w14:paraId="68D258EF" w14:textId="5D38C038" w:rsidR="00F60B69" w:rsidRPr="0020390C" w:rsidRDefault="00F60B69" w:rsidP="007A4FE8">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20390C">
              <w:rPr>
                <w:rFonts w:cs="Times New Roman"/>
                <w:sz w:val="22"/>
              </w:rPr>
              <w:t>217</w:t>
            </w:r>
            <w:r w:rsidR="00AE13DE">
              <w:rPr>
                <w:rFonts w:cs="Times New Roman"/>
                <w:sz w:val="22"/>
              </w:rPr>
              <w:t>.</w:t>
            </w:r>
            <w:r w:rsidRPr="0020390C">
              <w:rPr>
                <w:rFonts w:cs="Times New Roman"/>
                <w:sz w:val="22"/>
              </w:rPr>
              <w:t>8</w:t>
            </w:r>
          </w:p>
        </w:tc>
        <w:tc>
          <w:tcPr>
            <w:tcW w:w="457" w:type="pct"/>
            <w:shd w:val="clear" w:color="auto" w:fill="auto"/>
          </w:tcPr>
          <w:p w14:paraId="68AAC581" w14:textId="77777777" w:rsidR="00F60B69" w:rsidRPr="0020390C" w:rsidRDefault="00F60B69" w:rsidP="007A4FE8">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20390C">
              <w:rPr>
                <w:rFonts w:cs="Times New Roman"/>
                <w:sz w:val="22"/>
                <w:lang w:val="pt-BR"/>
              </w:rPr>
              <w:t>&lt; 10</w:t>
            </w:r>
            <w:r w:rsidRPr="0020390C">
              <w:rPr>
                <w:rFonts w:cs="Times New Roman"/>
                <w:sz w:val="22"/>
                <w:vertAlign w:val="superscript"/>
                <w:lang w:val="pt-BR"/>
              </w:rPr>
              <w:t>-5</w:t>
            </w:r>
          </w:p>
        </w:tc>
        <w:tc>
          <w:tcPr>
            <w:tcW w:w="685" w:type="pct"/>
            <w:shd w:val="clear" w:color="auto" w:fill="auto"/>
          </w:tcPr>
          <w:p w14:paraId="7A67C94A" w14:textId="77777777" w:rsidR="00F60B69" w:rsidRPr="0020390C" w:rsidRDefault="00F60B69" w:rsidP="007A4FE8">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20390C">
              <w:rPr>
                <w:rFonts w:cs="Times New Roman"/>
                <w:sz w:val="22"/>
              </w:rPr>
              <w:t>R.H.N.</w:t>
            </w:r>
          </w:p>
        </w:tc>
      </w:tr>
      <w:tr w:rsidR="00F60B69" w:rsidRPr="0020390C" w14:paraId="0F29138A" w14:textId="77777777" w:rsidTr="00267E70">
        <w:tc>
          <w:tcPr>
            <w:cnfStyle w:val="001000000000" w:firstRow="0" w:lastRow="0" w:firstColumn="1" w:lastColumn="0" w:oddVBand="0" w:evenVBand="0" w:oddHBand="0" w:evenHBand="0" w:firstRowFirstColumn="0" w:firstRowLastColumn="0" w:lastRowFirstColumn="0" w:lastRowLastColumn="0"/>
            <w:tcW w:w="3219" w:type="pct"/>
            <w:shd w:val="clear" w:color="auto" w:fill="auto"/>
          </w:tcPr>
          <w:p w14:paraId="3852E75C" w14:textId="77777777" w:rsidR="00F60B69" w:rsidRPr="0020390C" w:rsidRDefault="00F60B69" w:rsidP="00B36B1D">
            <w:pPr>
              <w:rPr>
                <w:rFonts w:cs="Times New Roman"/>
                <w:b w:val="0"/>
                <w:sz w:val="22"/>
              </w:rPr>
            </w:pPr>
            <w:r w:rsidRPr="0020390C">
              <w:rPr>
                <w:rFonts w:cs="Times New Roman"/>
                <w:b w:val="0"/>
                <w:sz w:val="22"/>
              </w:rPr>
              <w:t>Satisfacción de los usuarios vs. problema de larvas</w:t>
            </w:r>
          </w:p>
        </w:tc>
        <w:tc>
          <w:tcPr>
            <w:tcW w:w="639" w:type="pct"/>
            <w:shd w:val="clear" w:color="auto" w:fill="auto"/>
          </w:tcPr>
          <w:p w14:paraId="5F8273E2" w14:textId="705C8219" w:rsidR="00F60B69" w:rsidRPr="0020390C" w:rsidRDefault="00F60B69" w:rsidP="007A4FE8">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20390C">
              <w:rPr>
                <w:rFonts w:cs="Times New Roman"/>
                <w:sz w:val="22"/>
              </w:rPr>
              <w:t>14</w:t>
            </w:r>
            <w:r w:rsidR="00AE13DE">
              <w:rPr>
                <w:rFonts w:cs="Times New Roman"/>
                <w:sz w:val="22"/>
              </w:rPr>
              <w:t>.</w:t>
            </w:r>
            <w:r w:rsidRPr="0020390C">
              <w:rPr>
                <w:rFonts w:cs="Times New Roman"/>
                <w:sz w:val="22"/>
              </w:rPr>
              <w:t>2</w:t>
            </w:r>
          </w:p>
        </w:tc>
        <w:tc>
          <w:tcPr>
            <w:tcW w:w="457" w:type="pct"/>
            <w:shd w:val="clear" w:color="auto" w:fill="auto"/>
          </w:tcPr>
          <w:p w14:paraId="2AA49F89" w14:textId="53586C45" w:rsidR="00F60B69" w:rsidRPr="0020390C" w:rsidRDefault="00F60B69" w:rsidP="007A4FE8">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20390C">
              <w:rPr>
                <w:rFonts w:cs="Times New Roman"/>
                <w:sz w:val="22"/>
              </w:rPr>
              <w:t>0</w:t>
            </w:r>
            <w:r w:rsidR="007D7C95">
              <w:rPr>
                <w:rFonts w:cs="Times New Roman"/>
                <w:sz w:val="22"/>
              </w:rPr>
              <w:t>.</w:t>
            </w:r>
            <w:r w:rsidRPr="0020390C">
              <w:rPr>
                <w:rFonts w:cs="Times New Roman"/>
                <w:sz w:val="22"/>
              </w:rPr>
              <w:t>00655</w:t>
            </w:r>
          </w:p>
        </w:tc>
        <w:tc>
          <w:tcPr>
            <w:tcW w:w="685" w:type="pct"/>
            <w:shd w:val="clear" w:color="auto" w:fill="auto"/>
          </w:tcPr>
          <w:p w14:paraId="08891CF8" w14:textId="77777777" w:rsidR="00F60B69" w:rsidRPr="0020390C" w:rsidRDefault="00F60B69" w:rsidP="007A4FE8">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20390C">
              <w:rPr>
                <w:rFonts w:cs="Times New Roman"/>
                <w:sz w:val="22"/>
              </w:rPr>
              <w:t>R.H.N.</w:t>
            </w:r>
          </w:p>
        </w:tc>
      </w:tr>
      <w:tr w:rsidR="00F60B69" w:rsidRPr="0020390C" w14:paraId="39BDCBBA" w14:textId="77777777" w:rsidTr="00267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9" w:type="pct"/>
            <w:shd w:val="clear" w:color="auto" w:fill="auto"/>
          </w:tcPr>
          <w:p w14:paraId="35DF4683" w14:textId="77777777" w:rsidR="00F60B69" w:rsidRPr="0020390C" w:rsidRDefault="00F60B69" w:rsidP="00B36B1D">
            <w:pPr>
              <w:rPr>
                <w:rFonts w:cs="Times New Roman"/>
                <w:b w:val="0"/>
                <w:sz w:val="22"/>
              </w:rPr>
            </w:pPr>
            <w:r w:rsidRPr="0020390C">
              <w:rPr>
                <w:rFonts w:cs="Times New Roman"/>
                <w:b w:val="0"/>
                <w:sz w:val="22"/>
              </w:rPr>
              <w:t>Satisfacción de los usuarios vs. continuidad del servicio (24h)</w:t>
            </w:r>
          </w:p>
        </w:tc>
        <w:tc>
          <w:tcPr>
            <w:tcW w:w="639" w:type="pct"/>
            <w:shd w:val="clear" w:color="auto" w:fill="auto"/>
          </w:tcPr>
          <w:p w14:paraId="51A0DDF7" w14:textId="6BFB7BAE" w:rsidR="00F60B69" w:rsidRPr="0020390C" w:rsidRDefault="00F60B69" w:rsidP="007A4FE8">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20390C">
              <w:rPr>
                <w:rFonts w:cs="Times New Roman"/>
                <w:sz w:val="22"/>
              </w:rPr>
              <w:t>1147</w:t>
            </w:r>
            <w:r w:rsidR="00AE13DE">
              <w:rPr>
                <w:rFonts w:cs="Times New Roman"/>
                <w:sz w:val="22"/>
              </w:rPr>
              <w:t>.</w:t>
            </w:r>
            <w:r w:rsidRPr="0020390C">
              <w:rPr>
                <w:rFonts w:cs="Times New Roman"/>
                <w:sz w:val="22"/>
              </w:rPr>
              <w:t>2</w:t>
            </w:r>
          </w:p>
        </w:tc>
        <w:tc>
          <w:tcPr>
            <w:tcW w:w="457" w:type="pct"/>
            <w:shd w:val="clear" w:color="auto" w:fill="auto"/>
          </w:tcPr>
          <w:p w14:paraId="2370266C" w14:textId="77777777" w:rsidR="00F60B69" w:rsidRPr="0020390C" w:rsidRDefault="00F60B69" w:rsidP="007A4FE8">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20390C">
              <w:rPr>
                <w:rFonts w:cs="Times New Roman"/>
                <w:sz w:val="22"/>
                <w:lang w:val="pt-BR"/>
              </w:rPr>
              <w:t>&lt; 10</w:t>
            </w:r>
            <w:r w:rsidRPr="0020390C">
              <w:rPr>
                <w:rFonts w:cs="Times New Roman"/>
                <w:sz w:val="22"/>
                <w:vertAlign w:val="superscript"/>
                <w:lang w:val="pt-BR"/>
              </w:rPr>
              <w:t>-5</w:t>
            </w:r>
          </w:p>
        </w:tc>
        <w:tc>
          <w:tcPr>
            <w:tcW w:w="685" w:type="pct"/>
            <w:shd w:val="clear" w:color="auto" w:fill="auto"/>
          </w:tcPr>
          <w:p w14:paraId="207EC0F9" w14:textId="77777777" w:rsidR="00F60B69" w:rsidRPr="0020390C" w:rsidRDefault="00F60B69" w:rsidP="007A4FE8">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20390C">
              <w:rPr>
                <w:rFonts w:cs="Times New Roman"/>
                <w:sz w:val="22"/>
              </w:rPr>
              <w:t>R.H.N.</w:t>
            </w:r>
          </w:p>
        </w:tc>
      </w:tr>
      <w:tr w:rsidR="00F60B69" w:rsidRPr="0020390C" w14:paraId="72EB0B89" w14:textId="77777777" w:rsidTr="00267E70">
        <w:tc>
          <w:tcPr>
            <w:cnfStyle w:val="001000000000" w:firstRow="0" w:lastRow="0" w:firstColumn="1" w:lastColumn="0" w:oddVBand="0" w:evenVBand="0" w:oddHBand="0" w:evenHBand="0" w:firstRowFirstColumn="0" w:firstRowLastColumn="0" w:lastRowFirstColumn="0" w:lastRowLastColumn="0"/>
            <w:tcW w:w="3219" w:type="pct"/>
            <w:shd w:val="clear" w:color="auto" w:fill="auto"/>
          </w:tcPr>
          <w:p w14:paraId="413D6C0C" w14:textId="77777777" w:rsidR="00F60B69" w:rsidRPr="0020390C" w:rsidRDefault="00F60B69" w:rsidP="00B36B1D">
            <w:pPr>
              <w:rPr>
                <w:rFonts w:cs="Times New Roman"/>
                <w:b w:val="0"/>
                <w:sz w:val="22"/>
              </w:rPr>
            </w:pPr>
            <w:r w:rsidRPr="0020390C">
              <w:rPr>
                <w:rFonts w:cs="Times New Roman"/>
                <w:b w:val="0"/>
                <w:sz w:val="22"/>
              </w:rPr>
              <w:t xml:space="preserve">Satisfacción de los usuarios vs. tenencia de tanque de almacenamiento </w:t>
            </w:r>
          </w:p>
        </w:tc>
        <w:tc>
          <w:tcPr>
            <w:tcW w:w="639" w:type="pct"/>
            <w:shd w:val="clear" w:color="auto" w:fill="auto"/>
          </w:tcPr>
          <w:p w14:paraId="6C66DB27" w14:textId="79B9ECFA" w:rsidR="00F60B69" w:rsidRPr="0020390C" w:rsidRDefault="00F60B69" w:rsidP="007A4FE8">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20390C">
              <w:rPr>
                <w:rFonts w:cs="Times New Roman"/>
                <w:sz w:val="22"/>
              </w:rPr>
              <w:t>320</w:t>
            </w:r>
            <w:r w:rsidR="00AE13DE">
              <w:rPr>
                <w:rFonts w:cs="Times New Roman"/>
                <w:sz w:val="22"/>
              </w:rPr>
              <w:t>.</w:t>
            </w:r>
            <w:r w:rsidRPr="0020390C">
              <w:rPr>
                <w:rFonts w:cs="Times New Roman"/>
                <w:sz w:val="22"/>
              </w:rPr>
              <w:t>3</w:t>
            </w:r>
          </w:p>
        </w:tc>
        <w:tc>
          <w:tcPr>
            <w:tcW w:w="457" w:type="pct"/>
            <w:shd w:val="clear" w:color="auto" w:fill="auto"/>
          </w:tcPr>
          <w:p w14:paraId="40F25C5B" w14:textId="77777777" w:rsidR="00F60B69" w:rsidRPr="0020390C" w:rsidRDefault="00F60B69" w:rsidP="007A4FE8">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20390C">
              <w:rPr>
                <w:rFonts w:cs="Times New Roman"/>
                <w:sz w:val="22"/>
                <w:lang w:val="pt-BR"/>
              </w:rPr>
              <w:t>&lt; 10</w:t>
            </w:r>
            <w:r w:rsidRPr="0020390C">
              <w:rPr>
                <w:rFonts w:cs="Times New Roman"/>
                <w:sz w:val="22"/>
                <w:vertAlign w:val="superscript"/>
                <w:lang w:val="pt-BR"/>
              </w:rPr>
              <w:t>-5</w:t>
            </w:r>
          </w:p>
        </w:tc>
        <w:tc>
          <w:tcPr>
            <w:tcW w:w="685" w:type="pct"/>
            <w:shd w:val="clear" w:color="auto" w:fill="auto"/>
          </w:tcPr>
          <w:p w14:paraId="2CCDEC32" w14:textId="77777777" w:rsidR="00F60B69" w:rsidRPr="0020390C" w:rsidRDefault="00F60B69" w:rsidP="007A4FE8">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20390C">
              <w:rPr>
                <w:rFonts w:cs="Times New Roman"/>
                <w:sz w:val="22"/>
              </w:rPr>
              <w:t>R.H.N.</w:t>
            </w:r>
          </w:p>
        </w:tc>
      </w:tr>
      <w:tr w:rsidR="00F60B69" w:rsidRPr="0020390C" w14:paraId="4B84FDB4" w14:textId="77777777" w:rsidTr="00267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9" w:type="pct"/>
            <w:shd w:val="clear" w:color="auto" w:fill="auto"/>
          </w:tcPr>
          <w:p w14:paraId="3E266AA6" w14:textId="77777777" w:rsidR="00F60B69" w:rsidRPr="0020390C" w:rsidRDefault="00F60B69" w:rsidP="00B36B1D">
            <w:pPr>
              <w:rPr>
                <w:rFonts w:cs="Times New Roman"/>
                <w:b w:val="0"/>
                <w:sz w:val="22"/>
              </w:rPr>
            </w:pPr>
            <w:r w:rsidRPr="0020390C">
              <w:rPr>
                <w:rFonts w:cs="Times New Roman"/>
                <w:b w:val="0"/>
                <w:sz w:val="22"/>
              </w:rPr>
              <w:t xml:space="preserve">Satisfacción de los usuarios vs. tenencia de sistema de tratamiento </w:t>
            </w:r>
          </w:p>
        </w:tc>
        <w:tc>
          <w:tcPr>
            <w:tcW w:w="639" w:type="pct"/>
            <w:shd w:val="clear" w:color="auto" w:fill="auto"/>
          </w:tcPr>
          <w:p w14:paraId="62D64116" w14:textId="632C6B8B" w:rsidR="00F60B69" w:rsidRPr="0020390C" w:rsidRDefault="00F60B69" w:rsidP="007A4FE8">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20390C">
              <w:rPr>
                <w:rFonts w:cs="Times New Roman"/>
                <w:sz w:val="22"/>
              </w:rPr>
              <w:t>52</w:t>
            </w:r>
            <w:r w:rsidR="00AE13DE">
              <w:rPr>
                <w:rFonts w:cs="Times New Roman"/>
                <w:sz w:val="22"/>
              </w:rPr>
              <w:t>.</w:t>
            </w:r>
            <w:r w:rsidRPr="0020390C">
              <w:rPr>
                <w:rFonts w:cs="Times New Roman"/>
                <w:sz w:val="22"/>
              </w:rPr>
              <w:t>5</w:t>
            </w:r>
          </w:p>
        </w:tc>
        <w:tc>
          <w:tcPr>
            <w:tcW w:w="457" w:type="pct"/>
            <w:shd w:val="clear" w:color="auto" w:fill="auto"/>
          </w:tcPr>
          <w:p w14:paraId="508BE094" w14:textId="77777777" w:rsidR="00F60B69" w:rsidRPr="0020390C" w:rsidRDefault="00F60B69" w:rsidP="007A4FE8">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20390C">
              <w:rPr>
                <w:rFonts w:cs="Times New Roman"/>
                <w:sz w:val="22"/>
                <w:lang w:val="pt-BR"/>
              </w:rPr>
              <w:t>&lt; 10</w:t>
            </w:r>
            <w:r w:rsidRPr="0020390C">
              <w:rPr>
                <w:rFonts w:cs="Times New Roman"/>
                <w:sz w:val="22"/>
                <w:vertAlign w:val="superscript"/>
                <w:lang w:val="pt-BR"/>
              </w:rPr>
              <w:t>-5</w:t>
            </w:r>
          </w:p>
        </w:tc>
        <w:tc>
          <w:tcPr>
            <w:tcW w:w="685" w:type="pct"/>
            <w:shd w:val="clear" w:color="auto" w:fill="auto"/>
          </w:tcPr>
          <w:p w14:paraId="213363B6" w14:textId="77777777" w:rsidR="00F60B69" w:rsidRPr="0020390C" w:rsidRDefault="00F60B69" w:rsidP="007A4FE8">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20390C">
              <w:rPr>
                <w:rFonts w:cs="Times New Roman"/>
                <w:sz w:val="22"/>
              </w:rPr>
              <w:t>R.H.N.</w:t>
            </w:r>
          </w:p>
        </w:tc>
      </w:tr>
      <w:tr w:rsidR="00F60B69" w:rsidRPr="0020390C" w14:paraId="05560E5B" w14:textId="77777777" w:rsidTr="00267E70">
        <w:tc>
          <w:tcPr>
            <w:cnfStyle w:val="001000000000" w:firstRow="0" w:lastRow="0" w:firstColumn="1" w:lastColumn="0" w:oddVBand="0" w:evenVBand="0" w:oddHBand="0" w:evenHBand="0" w:firstRowFirstColumn="0" w:firstRowLastColumn="0" w:lastRowFirstColumn="0" w:lastRowLastColumn="0"/>
            <w:tcW w:w="3219" w:type="pct"/>
            <w:shd w:val="clear" w:color="auto" w:fill="auto"/>
          </w:tcPr>
          <w:p w14:paraId="4805D242" w14:textId="77777777" w:rsidR="00F60B69" w:rsidRPr="0020390C" w:rsidRDefault="00F60B69" w:rsidP="00B36B1D">
            <w:pPr>
              <w:rPr>
                <w:rFonts w:cs="Times New Roman"/>
                <w:b w:val="0"/>
                <w:sz w:val="22"/>
              </w:rPr>
            </w:pPr>
            <w:r w:rsidRPr="0020390C">
              <w:rPr>
                <w:rFonts w:cs="Times New Roman"/>
                <w:b w:val="0"/>
                <w:sz w:val="22"/>
              </w:rPr>
              <w:t>Satisfacción de los usuarios vs. práctica de hervir el agua</w:t>
            </w:r>
          </w:p>
        </w:tc>
        <w:tc>
          <w:tcPr>
            <w:tcW w:w="639" w:type="pct"/>
            <w:shd w:val="clear" w:color="auto" w:fill="auto"/>
          </w:tcPr>
          <w:p w14:paraId="22600F16" w14:textId="787B3AB3" w:rsidR="00F60B69" w:rsidRPr="0020390C" w:rsidRDefault="00F60B69" w:rsidP="007A4FE8">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20390C">
              <w:rPr>
                <w:rFonts w:cs="Times New Roman"/>
                <w:sz w:val="22"/>
              </w:rPr>
              <w:t>104</w:t>
            </w:r>
            <w:r w:rsidR="00AE13DE">
              <w:rPr>
                <w:rFonts w:cs="Times New Roman"/>
                <w:sz w:val="22"/>
              </w:rPr>
              <w:t>.</w:t>
            </w:r>
            <w:r w:rsidRPr="0020390C">
              <w:rPr>
                <w:rFonts w:cs="Times New Roman"/>
                <w:sz w:val="22"/>
              </w:rPr>
              <w:t>0</w:t>
            </w:r>
          </w:p>
        </w:tc>
        <w:tc>
          <w:tcPr>
            <w:tcW w:w="457" w:type="pct"/>
            <w:shd w:val="clear" w:color="auto" w:fill="auto"/>
          </w:tcPr>
          <w:p w14:paraId="5A2F820D" w14:textId="77777777" w:rsidR="00F60B69" w:rsidRPr="0020390C" w:rsidRDefault="00F60B69" w:rsidP="007A4FE8">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20390C">
              <w:rPr>
                <w:rFonts w:cs="Times New Roman"/>
                <w:sz w:val="22"/>
                <w:lang w:val="pt-BR"/>
              </w:rPr>
              <w:t>&lt; 10</w:t>
            </w:r>
            <w:r w:rsidRPr="0020390C">
              <w:rPr>
                <w:rFonts w:cs="Times New Roman"/>
                <w:sz w:val="22"/>
                <w:vertAlign w:val="superscript"/>
                <w:lang w:val="pt-BR"/>
              </w:rPr>
              <w:t>-5</w:t>
            </w:r>
          </w:p>
        </w:tc>
        <w:tc>
          <w:tcPr>
            <w:tcW w:w="685" w:type="pct"/>
            <w:shd w:val="clear" w:color="auto" w:fill="auto"/>
          </w:tcPr>
          <w:p w14:paraId="6B9D1C5D" w14:textId="77777777" w:rsidR="00F60B69" w:rsidRPr="0020390C" w:rsidRDefault="00F60B69" w:rsidP="007A4FE8">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20390C">
              <w:rPr>
                <w:rFonts w:cs="Times New Roman"/>
                <w:sz w:val="22"/>
              </w:rPr>
              <w:t>R.H.N.</w:t>
            </w:r>
          </w:p>
        </w:tc>
      </w:tr>
      <w:tr w:rsidR="002422FE" w:rsidRPr="0020390C" w14:paraId="7147EF26" w14:textId="77777777" w:rsidTr="00267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9" w:type="pct"/>
            <w:shd w:val="clear" w:color="auto" w:fill="auto"/>
          </w:tcPr>
          <w:p w14:paraId="74269CD1" w14:textId="498C3840" w:rsidR="002422FE" w:rsidRPr="0020390C" w:rsidRDefault="002422FE" w:rsidP="00B36B1D">
            <w:pPr>
              <w:rPr>
                <w:rFonts w:cs="Times New Roman"/>
                <w:b w:val="0"/>
                <w:sz w:val="22"/>
              </w:rPr>
            </w:pPr>
            <w:r>
              <w:rPr>
                <w:rFonts w:cs="Times New Roman"/>
                <w:b w:val="0"/>
                <w:sz w:val="22"/>
              </w:rPr>
              <w:t>Percepción de la calidad del agua vs. tipo de administrador del servicio</w:t>
            </w:r>
          </w:p>
        </w:tc>
        <w:tc>
          <w:tcPr>
            <w:tcW w:w="639" w:type="pct"/>
            <w:shd w:val="clear" w:color="auto" w:fill="auto"/>
          </w:tcPr>
          <w:p w14:paraId="085AE0FC" w14:textId="5E3B57C2" w:rsidR="002422FE" w:rsidRPr="0020390C" w:rsidRDefault="002422FE" w:rsidP="007A4FE8">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37.3</w:t>
            </w:r>
          </w:p>
        </w:tc>
        <w:tc>
          <w:tcPr>
            <w:tcW w:w="457" w:type="pct"/>
            <w:shd w:val="clear" w:color="auto" w:fill="auto"/>
          </w:tcPr>
          <w:p w14:paraId="2175DC1F" w14:textId="73A07558" w:rsidR="002422FE" w:rsidRPr="002422FE" w:rsidRDefault="002422FE" w:rsidP="007A4FE8">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20390C">
              <w:rPr>
                <w:rFonts w:cs="Times New Roman"/>
                <w:sz w:val="22"/>
                <w:lang w:val="pt-BR"/>
              </w:rPr>
              <w:t>&lt; 10</w:t>
            </w:r>
            <w:r w:rsidRPr="0020390C">
              <w:rPr>
                <w:rFonts w:cs="Times New Roman"/>
                <w:sz w:val="22"/>
                <w:vertAlign w:val="superscript"/>
                <w:lang w:val="pt-BR"/>
              </w:rPr>
              <w:t>-5</w:t>
            </w:r>
          </w:p>
        </w:tc>
        <w:tc>
          <w:tcPr>
            <w:tcW w:w="685" w:type="pct"/>
            <w:shd w:val="clear" w:color="auto" w:fill="auto"/>
          </w:tcPr>
          <w:p w14:paraId="418A4A0F" w14:textId="6DC2A6FA" w:rsidR="002422FE" w:rsidRPr="0020390C" w:rsidRDefault="002422FE" w:rsidP="007A4FE8">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20390C">
              <w:rPr>
                <w:rFonts w:cs="Times New Roman"/>
                <w:sz w:val="22"/>
              </w:rPr>
              <w:t>R.H.N.</w:t>
            </w:r>
          </w:p>
        </w:tc>
      </w:tr>
      <w:tr w:rsidR="002422FE" w:rsidRPr="0020390C" w14:paraId="5B84F09F" w14:textId="77777777" w:rsidTr="00267E70">
        <w:tc>
          <w:tcPr>
            <w:cnfStyle w:val="001000000000" w:firstRow="0" w:lastRow="0" w:firstColumn="1" w:lastColumn="0" w:oddVBand="0" w:evenVBand="0" w:oddHBand="0" w:evenHBand="0" w:firstRowFirstColumn="0" w:firstRowLastColumn="0" w:lastRowFirstColumn="0" w:lastRowLastColumn="0"/>
            <w:tcW w:w="3219" w:type="pct"/>
            <w:shd w:val="clear" w:color="auto" w:fill="auto"/>
          </w:tcPr>
          <w:p w14:paraId="51716232" w14:textId="77777777" w:rsidR="002422FE" w:rsidRPr="0020390C" w:rsidRDefault="002422FE" w:rsidP="00B36B1D">
            <w:pPr>
              <w:rPr>
                <w:rFonts w:cs="Times New Roman"/>
                <w:b w:val="0"/>
                <w:sz w:val="22"/>
              </w:rPr>
            </w:pPr>
            <w:r w:rsidRPr="0020390C">
              <w:rPr>
                <w:rFonts w:cs="Times New Roman"/>
                <w:b w:val="0"/>
                <w:sz w:val="22"/>
              </w:rPr>
              <w:t>Tenencia de tanque de almacenamiento vs. presencia de larvas</w:t>
            </w:r>
          </w:p>
        </w:tc>
        <w:tc>
          <w:tcPr>
            <w:tcW w:w="639" w:type="pct"/>
            <w:shd w:val="clear" w:color="auto" w:fill="auto"/>
          </w:tcPr>
          <w:p w14:paraId="05D0E74B" w14:textId="37473EA7" w:rsidR="002422FE" w:rsidRPr="0020390C" w:rsidRDefault="002422FE" w:rsidP="007A4FE8">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20390C">
              <w:rPr>
                <w:rFonts w:cs="Times New Roman"/>
                <w:sz w:val="22"/>
              </w:rPr>
              <w:t>0</w:t>
            </w:r>
            <w:r>
              <w:rPr>
                <w:rFonts w:cs="Times New Roman"/>
                <w:sz w:val="22"/>
              </w:rPr>
              <w:t>.</w:t>
            </w:r>
            <w:r w:rsidRPr="0020390C">
              <w:rPr>
                <w:rFonts w:cs="Times New Roman"/>
                <w:sz w:val="22"/>
              </w:rPr>
              <w:t>067</w:t>
            </w:r>
          </w:p>
        </w:tc>
        <w:tc>
          <w:tcPr>
            <w:tcW w:w="457" w:type="pct"/>
            <w:shd w:val="clear" w:color="auto" w:fill="auto"/>
          </w:tcPr>
          <w:p w14:paraId="3A45D488" w14:textId="7B7607DC" w:rsidR="002422FE" w:rsidRPr="0020390C" w:rsidRDefault="002422FE" w:rsidP="007A4FE8">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20390C">
              <w:rPr>
                <w:rFonts w:cs="Times New Roman"/>
                <w:sz w:val="22"/>
              </w:rPr>
              <w:t>0</w:t>
            </w:r>
            <w:r w:rsidR="00522597">
              <w:rPr>
                <w:rFonts w:cs="Times New Roman"/>
                <w:sz w:val="22"/>
              </w:rPr>
              <w:t>.</w:t>
            </w:r>
            <w:r w:rsidRPr="0020390C">
              <w:rPr>
                <w:rFonts w:cs="Times New Roman"/>
                <w:sz w:val="22"/>
              </w:rPr>
              <w:t>796</w:t>
            </w:r>
          </w:p>
        </w:tc>
        <w:tc>
          <w:tcPr>
            <w:tcW w:w="685" w:type="pct"/>
            <w:shd w:val="clear" w:color="auto" w:fill="auto"/>
          </w:tcPr>
          <w:p w14:paraId="23F7264C" w14:textId="2062B213" w:rsidR="002422FE" w:rsidRPr="0020390C" w:rsidRDefault="00522597" w:rsidP="007A4FE8">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N.R</w:t>
            </w:r>
            <w:r w:rsidR="002422FE" w:rsidRPr="0020390C">
              <w:rPr>
                <w:rFonts w:cs="Times New Roman"/>
                <w:sz w:val="22"/>
              </w:rPr>
              <w:t>.H.N.</w:t>
            </w:r>
          </w:p>
        </w:tc>
      </w:tr>
      <w:tr w:rsidR="002422FE" w:rsidRPr="0020390C" w14:paraId="081E31B5" w14:textId="77777777" w:rsidTr="00267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9" w:type="pct"/>
            <w:shd w:val="clear" w:color="auto" w:fill="auto"/>
          </w:tcPr>
          <w:p w14:paraId="160FFAC0" w14:textId="77777777" w:rsidR="002422FE" w:rsidRPr="0020390C" w:rsidRDefault="002422FE" w:rsidP="00B36B1D">
            <w:pPr>
              <w:rPr>
                <w:rFonts w:cs="Times New Roman"/>
                <w:b w:val="0"/>
                <w:sz w:val="22"/>
              </w:rPr>
            </w:pPr>
            <w:r w:rsidRPr="0020390C">
              <w:rPr>
                <w:rFonts w:cs="Times New Roman"/>
                <w:b w:val="0"/>
                <w:sz w:val="22"/>
              </w:rPr>
              <w:t>Tenencia de tanque de almacenamiento vs. presencia de turbidez elevada</w:t>
            </w:r>
          </w:p>
        </w:tc>
        <w:tc>
          <w:tcPr>
            <w:tcW w:w="639" w:type="pct"/>
            <w:shd w:val="clear" w:color="auto" w:fill="auto"/>
          </w:tcPr>
          <w:p w14:paraId="7E135C4E" w14:textId="55C1DE76" w:rsidR="002422FE" w:rsidRPr="0020390C" w:rsidRDefault="002422FE" w:rsidP="007A4FE8">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20390C">
              <w:rPr>
                <w:rFonts w:cs="Times New Roman"/>
                <w:sz w:val="22"/>
              </w:rPr>
              <w:t>57</w:t>
            </w:r>
            <w:r>
              <w:rPr>
                <w:rFonts w:cs="Times New Roman"/>
                <w:sz w:val="22"/>
              </w:rPr>
              <w:t>.</w:t>
            </w:r>
            <w:r w:rsidRPr="0020390C">
              <w:rPr>
                <w:rFonts w:cs="Times New Roman"/>
                <w:sz w:val="22"/>
              </w:rPr>
              <w:t>9</w:t>
            </w:r>
          </w:p>
        </w:tc>
        <w:tc>
          <w:tcPr>
            <w:tcW w:w="457" w:type="pct"/>
            <w:shd w:val="clear" w:color="auto" w:fill="auto"/>
          </w:tcPr>
          <w:p w14:paraId="47C92441" w14:textId="77777777" w:rsidR="002422FE" w:rsidRPr="0020390C" w:rsidRDefault="002422FE" w:rsidP="007A4FE8">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20390C">
              <w:rPr>
                <w:rFonts w:cs="Times New Roman"/>
                <w:sz w:val="22"/>
                <w:lang w:val="pt-BR"/>
              </w:rPr>
              <w:t>&lt; 10</w:t>
            </w:r>
            <w:r w:rsidRPr="0020390C">
              <w:rPr>
                <w:rFonts w:cs="Times New Roman"/>
                <w:sz w:val="22"/>
                <w:vertAlign w:val="superscript"/>
                <w:lang w:val="pt-BR"/>
              </w:rPr>
              <w:t>-5</w:t>
            </w:r>
          </w:p>
        </w:tc>
        <w:tc>
          <w:tcPr>
            <w:tcW w:w="685" w:type="pct"/>
            <w:shd w:val="clear" w:color="auto" w:fill="auto"/>
          </w:tcPr>
          <w:p w14:paraId="0A80BEA3" w14:textId="77777777" w:rsidR="002422FE" w:rsidRPr="0020390C" w:rsidRDefault="002422FE" w:rsidP="007A4FE8">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20390C">
              <w:rPr>
                <w:rFonts w:cs="Times New Roman"/>
                <w:sz w:val="22"/>
              </w:rPr>
              <w:t>R.H.N.</w:t>
            </w:r>
          </w:p>
        </w:tc>
      </w:tr>
      <w:tr w:rsidR="002422FE" w:rsidRPr="0020390C" w14:paraId="55B62E1D" w14:textId="77777777" w:rsidTr="00267E70">
        <w:tc>
          <w:tcPr>
            <w:cnfStyle w:val="001000000000" w:firstRow="0" w:lastRow="0" w:firstColumn="1" w:lastColumn="0" w:oddVBand="0" w:evenVBand="0" w:oddHBand="0" w:evenHBand="0" w:firstRowFirstColumn="0" w:firstRowLastColumn="0" w:lastRowFirstColumn="0" w:lastRowLastColumn="0"/>
            <w:tcW w:w="3219" w:type="pct"/>
            <w:shd w:val="clear" w:color="auto" w:fill="auto"/>
          </w:tcPr>
          <w:p w14:paraId="0965B2F7" w14:textId="77777777" w:rsidR="002422FE" w:rsidRPr="0020390C" w:rsidRDefault="002422FE" w:rsidP="00B36B1D">
            <w:pPr>
              <w:rPr>
                <w:rFonts w:cs="Times New Roman"/>
                <w:b w:val="0"/>
                <w:sz w:val="22"/>
              </w:rPr>
            </w:pPr>
            <w:r w:rsidRPr="0020390C">
              <w:rPr>
                <w:rFonts w:cs="Times New Roman"/>
                <w:b w:val="0"/>
                <w:sz w:val="22"/>
              </w:rPr>
              <w:t>Presencia de turbidez elevada vs. continuidad del servicio (24h)</w:t>
            </w:r>
          </w:p>
        </w:tc>
        <w:tc>
          <w:tcPr>
            <w:tcW w:w="639" w:type="pct"/>
            <w:shd w:val="clear" w:color="auto" w:fill="auto"/>
          </w:tcPr>
          <w:p w14:paraId="1D8F68C7" w14:textId="1897A462" w:rsidR="002422FE" w:rsidRPr="0020390C" w:rsidRDefault="002422FE" w:rsidP="007A4FE8">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20390C">
              <w:rPr>
                <w:rFonts w:cs="Times New Roman"/>
                <w:sz w:val="22"/>
              </w:rPr>
              <w:t>117</w:t>
            </w:r>
            <w:r>
              <w:rPr>
                <w:rFonts w:cs="Times New Roman"/>
                <w:sz w:val="22"/>
              </w:rPr>
              <w:t>.</w:t>
            </w:r>
            <w:r w:rsidRPr="0020390C">
              <w:rPr>
                <w:rFonts w:cs="Times New Roman"/>
                <w:sz w:val="22"/>
              </w:rPr>
              <w:t>8</w:t>
            </w:r>
          </w:p>
        </w:tc>
        <w:tc>
          <w:tcPr>
            <w:tcW w:w="457" w:type="pct"/>
            <w:shd w:val="clear" w:color="auto" w:fill="auto"/>
          </w:tcPr>
          <w:p w14:paraId="21B352DE" w14:textId="77777777" w:rsidR="002422FE" w:rsidRPr="0020390C" w:rsidRDefault="002422FE" w:rsidP="007A4FE8">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20390C">
              <w:rPr>
                <w:rFonts w:cs="Times New Roman"/>
                <w:sz w:val="22"/>
                <w:lang w:val="pt-BR"/>
              </w:rPr>
              <w:t>&lt; 10</w:t>
            </w:r>
            <w:r w:rsidRPr="0020390C">
              <w:rPr>
                <w:rFonts w:cs="Times New Roman"/>
                <w:sz w:val="22"/>
                <w:vertAlign w:val="superscript"/>
                <w:lang w:val="pt-BR"/>
              </w:rPr>
              <w:t>-5</w:t>
            </w:r>
          </w:p>
        </w:tc>
        <w:tc>
          <w:tcPr>
            <w:tcW w:w="685" w:type="pct"/>
            <w:shd w:val="clear" w:color="auto" w:fill="auto"/>
          </w:tcPr>
          <w:p w14:paraId="777EC771" w14:textId="77777777" w:rsidR="002422FE" w:rsidRPr="0020390C" w:rsidRDefault="002422FE" w:rsidP="007A4FE8">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20390C">
              <w:rPr>
                <w:rFonts w:cs="Times New Roman"/>
                <w:sz w:val="22"/>
              </w:rPr>
              <w:t>R.H.N.</w:t>
            </w:r>
          </w:p>
        </w:tc>
      </w:tr>
      <w:tr w:rsidR="002422FE" w:rsidRPr="0020390C" w14:paraId="58F01FB4" w14:textId="77777777" w:rsidTr="00267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9" w:type="pct"/>
            <w:tcBorders>
              <w:bottom w:val="single" w:sz="4" w:space="0" w:color="auto"/>
            </w:tcBorders>
            <w:shd w:val="clear" w:color="auto" w:fill="auto"/>
          </w:tcPr>
          <w:p w14:paraId="4913F650" w14:textId="77777777" w:rsidR="002422FE" w:rsidRPr="0020390C" w:rsidRDefault="002422FE" w:rsidP="00B36B1D">
            <w:pPr>
              <w:rPr>
                <w:rFonts w:cs="Times New Roman"/>
                <w:b w:val="0"/>
                <w:sz w:val="22"/>
              </w:rPr>
            </w:pPr>
            <w:r w:rsidRPr="0020390C">
              <w:rPr>
                <w:rFonts w:cs="Times New Roman"/>
                <w:b w:val="0"/>
                <w:sz w:val="22"/>
              </w:rPr>
              <w:t>Tenencia de tanque de almacenamiento vs. continuidad de servicio (24h)</w:t>
            </w:r>
          </w:p>
        </w:tc>
        <w:tc>
          <w:tcPr>
            <w:tcW w:w="639" w:type="pct"/>
            <w:tcBorders>
              <w:bottom w:val="single" w:sz="4" w:space="0" w:color="auto"/>
            </w:tcBorders>
            <w:shd w:val="clear" w:color="auto" w:fill="auto"/>
          </w:tcPr>
          <w:p w14:paraId="1DDD247F" w14:textId="23237416" w:rsidR="002422FE" w:rsidRPr="0020390C" w:rsidRDefault="002422FE" w:rsidP="007A4FE8">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20390C">
              <w:rPr>
                <w:rFonts w:cs="Times New Roman"/>
                <w:sz w:val="22"/>
              </w:rPr>
              <w:t>304</w:t>
            </w:r>
            <w:r>
              <w:rPr>
                <w:rFonts w:cs="Times New Roman"/>
                <w:sz w:val="22"/>
              </w:rPr>
              <w:t>.</w:t>
            </w:r>
            <w:r w:rsidRPr="0020390C">
              <w:rPr>
                <w:rFonts w:cs="Times New Roman"/>
                <w:sz w:val="22"/>
              </w:rPr>
              <w:t>9</w:t>
            </w:r>
          </w:p>
        </w:tc>
        <w:tc>
          <w:tcPr>
            <w:tcW w:w="457" w:type="pct"/>
            <w:tcBorders>
              <w:bottom w:val="single" w:sz="4" w:space="0" w:color="auto"/>
            </w:tcBorders>
            <w:shd w:val="clear" w:color="auto" w:fill="auto"/>
          </w:tcPr>
          <w:p w14:paraId="47CDCFE9" w14:textId="77777777" w:rsidR="002422FE" w:rsidRPr="0020390C" w:rsidRDefault="002422FE" w:rsidP="007A4FE8">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20390C">
              <w:rPr>
                <w:rFonts w:cs="Times New Roman"/>
                <w:sz w:val="22"/>
                <w:lang w:val="pt-BR"/>
              </w:rPr>
              <w:t>&lt; 10</w:t>
            </w:r>
            <w:r w:rsidRPr="0020390C">
              <w:rPr>
                <w:rFonts w:cs="Times New Roman"/>
                <w:sz w:val="22"/>
                <w:vertAlign w:val="superscript"/>
                <w:lang w:val="pt-BR"/>
              </w:rPr>
              <w:t>-5</w:t>
            </w:r>
          </w:p>
        </w:tc>
        <w:tc>
          <w:tcPr>
            <w:tcW w:w="685" w:type="pct"/>
            <w:tcBorders>
              <w:bottom w:val="single" w:sz="4" w:space="0" w:color="auto"/>
            </w:tcBorders>
            <w:shd w:val="clear" w:color="auto" w:fill="auto"/>
          </w:tcPr>
          <w:p w14:paraId="3DAE0B31" w14:textId="77777777" w:rsidR="002422FE" w:rsidRPr="0020390C" w:rsidRDefault="002422FE" w:rsidP="007A4FE8">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20390C">
              <w:rPr>
                <w:rFonts w:cs="Times New Roman"/>
                <w:sz w:val="22"/>
              </w:rPr>
              <w:t>R.H.N.</w:t>
            </w:r>
          </w:p>
        </w:tc>
      </w:tr>
    </w:tbl>
    <w:p w14:paraId="0EFD327B" w14:textId="0AF51C4C" w:rsidR="00F60B69" w:rsidRPr="00967B10" w:rsidRDefault="00F60B69" w:rsidP="00B36B1D">
      <w:pPr>
        <w:jc w:val="both"/>
        <w:rPr>
          <w:sz w:val="20"/>
        </w:rPr>
      </w:pPr>
      <w:r w:rsidRPr="00967B10">
        <w:rPr>
          <w:sz w:val="20"/>
        </w:rPr>
        <w:t xml:space="preserve">R.H.N.: rechazo de hipótesis nula de independencia; </w:t>
      </w:r>
      <w:r w:rsidR="00522597">
        <w:rPr>
          <w:sz w:val="20"/>
        </w:rPr>
        <w:t>N.R</w:t>
      </w:r>
      <w:r w:rsidRPr="00967B10">
        <w:rPr>
          <w:sz w:val="20"/>
        </w:rPr>
        <w:t xml:space="preserve">.H.N.: </w:t>
      </w:r>
      <w:r w:rsidR="00522597">
        <w:rPr>
          <w:sz w:val="20"/>
        </w:rPr>
        <w:t xml:space="preserve">No rechazo </w:t>
      </w:r>
      <w:r w:rsidRPr="00967B10">
        <w:rPr>
          <w:sz w:val="20"/>
        </w:rPr>
        <w:t>de hipótesis nula de independencia.</w:t>
      </w:r>
    </w:p>
    <w:p w14:paraId="670A0827" w14:textId="3950FCBD" w:rsidR="00F60B69" w:rsidRDefault="00F60B69" w:rsidP="007A4FE8">
      <w:pPr>
        <w:ind w:left="709" w:hanging="709"/>
        <w:jc w:val="both"/>
        <w:rPr>
          <w:b/>
        </w:rPr>
      </w:pPr>
    </w:p>
    <w:p w14:paraId="72FCAA7C" w14:textId="6225505B" w:rsidR="00C52247" w:rsidRDefault="00C52247" w:rsidP="007A4FE8">
      <w:pPr>
        <w:ind w:left="709" w:hanging="709"/>
        <w:jc w:val="both"/>
        <w:rPr>
          <w:b/>
        </w:rPr>
      </w:pPr>
    </w:p>
    <w:p w14:paraId="4C888FE5" w14:textId="77777777" w:rsidR="00C52247" w:rsidRDefault="00C52247" w:rsidP="007A4FE8">
      <w:pPr>
        <w:ind w:left="709" w:hanging="709"/>
        <w:jc w:val="both"/>
        <w:rPr>
          <w:b/>
        </w:rPr>
      </w:pPr>
    </w:p>
    <w:sectPr w:rsidR="00C52247" w:rsidSect="0033130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58DDA" w14:textId="77777777" w:rsidR="00AD6FF9" w:rsidRDefault="00AD6FF9" w:rsidP="00F46747">
      <w:pPr>
        <w:spacing w:after="0"/>
      </w:pPr>
      <w:r>
        <w:separator/>
      </w:r>
    </w:p>
  </w:endnote>
  <w:endnote w:type="continuationSeparator" w:id="0">
    <w:p w14:paraId="12267346" w14:textId="77777777" w:rsidR="00AD6FF9" w:rsidRDefault="00AD6FF9" w:rsidP="00F467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E4F62" w14:textId="77777777" w:rsidR="00E71527" w:rsidRDefault="00E715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1891802"/>
      <w:docPartObj>
        <w:docPartGallery w:val="Page Numbers (Bottom of Page)"/>
        <w:docPartUnique/>
      </w:docPartObj>
    </w:sdtPr>
    <w:sdtContent>
      <w:p w14:paraId="646DA806" w14:textId="724C4A44" w:rsidR="00E71527" w:rsidRDefault="00E71527">
        <w:pPr>
          <w:pStyle w:val="Piedepgina"/>
          <w:jc w:val="right"/>
        </w:pPr>
        <w:r>
          <w:fldChar w:fldCharType="begin"/>
        </w:r>
        <w:r>
          <w:instrText>PAGE   \* MERGEFORMAT</w:instrText>
        </w:r>
        <w:r>
          <w:fldChar w:fldCharType="separate"/>
        </w:r>
        <w:r w:rsidRPr="001176C5">
          <w:rPr>
            <w:noProof/>
            <w:lang w:val="es-ES"/>
          </w:rPr>
          <w:t>2</w:t>
        </w:r>
        <w:r>
          <w:fldChar w:fldCharType="end"/>
        </w:r>
      </w:p>
    </w:sdtContent>
  </w:sdt>
  <w:p w14:paraId="5DD3EB89" w14:textId="77777777" w:rsidR="00E71527" w:rsidRDefault="00E7152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C157A" w14:textId="77777777" w:rsidR="00E71527" w:rsidRDefault="00E715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4840C" w14:textId="77777777" w:rsidR="00AD6FF9" w:rsidRDefault="00AD6FF9" w:rsidP="00F46747">
      <w:pPr>
        <w:spacing w:after="0"/>
      </w:pPr>
      <w:r>
        <w:separator/>
      </w:r>
    </w:p>
  </w:footnote>
  <w:footnote w:type="continuationSeparator" w:id="0">
    <w:p w14:paraId="3B4AA270" w14:textId="77777777" w:rsidR="00AD6FF9" w:rsidRDefault="00AD6FF9" w:rsidP="00F46747">
      <w:pPr>
        <w:spacing w:after="0"/>
      </w:pPr>
      <w:r>
        <w:continuationSeparator/>
      </w:r>
    </w:p>
  </w:footnote>
  <w:footnote w:id="1">
    <w:p w14:paraId="40708702" w14:textId="44D7A547" w:rsidR="00E71527" w:rsidRPr="00B15A75" w:rsidRDefault="00E71527" w:rsidP="00B15A75">
      <w:pPr>
        <w:spacing w:after="0"/>
        <w:rPr>
          <w:sz w:val="20"/>
          <w:szCs w:val="20"/>
        </w:rPr>
      </w:pPr>
      <w:r w:rsidRPr="00B15A75">
        <w:rPr>
          <w:rStyle w:val="Refdenotaalpie"/>
          <w:sz w:val="20"/>
          <w:szCs w:val="20"/>
        </w:rPr>
        <w:footnoteRef/>
      </w:r>
      <w:r w:rsidRPr="00B15A75">
        <w:rPr>
          <w:sz w:val="20"/>
          <w:szCs w:val="20"/>
        </w:rPr>
        <w:t xml:space="preserve"> Profesora Asociada, Escuela de Ingeniería Civil, Universidad de Costa Rica, Costa Rica. </w:t>
      </w:r>
      <w:hyperlink r:id="rId1" w:history="1">
        <w:r w:rsidRPr="00B15A75">
          <w:rPr>
            <w:rStyle w:val="Hipervnculo"/>
            <w:sz w:val="20"/>
            <w:szCs w:val="20"/>
          </w:rPr>
          <w:t>nidia.cruz@ucr.ac.cr</w:t>
        </w:r>
      </w:hyperlink>
      <w:r w:rsidRPr="00B15A75">
        <w:rPr>
          <w:sz w:val="20"/>
          <w:szCs w:val="20"/>
        </w:rPr>
        <w:t xml:space="preserve">, </w:t>
      </w:r>
      <w:hyperlink r:id="rId2" w:history="1">
        <w:r w:rsidRPr="00B15A75">
          <w:rPr>
            <w:rStyle w:val="Hipervnculo"/>
            <w:rFonts w:eastAsia="Times New Roman" w:cs="Times New Roman"/>
            <w:sz w:val="20"/>
            <w:szCs w:val="20"/>
          </w:rPr>
          <w:t>https://orcid.org/0000-0002-4416-0626</w:t>
        </w:r>
      </w:hyperlink>
      <w:r w:rsidRPr="00B15A75">
        <w:rPr>
          <w:rFonts w:eastAsia="Times New Roman" w:cs="Times New Roman"/>
          <w:sz w:val="20"/>
          <w:szCs w:val="20"/>
        </w:rPr>
        <w:t xml:space="preserve"> </w:t>
      </w:r>
    </w:p>
  </w:footnote>
  <w:footnote w:id="2">
    <w:p w14:paraId="08B2CFE7" w14:textId="2F6806BF" w:rsidR="00E71527" w:rsidRPr="00B15A75" w:rsidRDefault="00E71527">
      <w:pPr>
        <w:pStyle w:val="Textonotapie"/>
        <w:rPr>
          <w:lang w:val="es-CR"/>
        </w:rPr>
      </w:pPr>
      <w:r w:rsidRPr="00B15A75">
        <w:rPr>
          <w:rStyle w:val="Refdenotaalpie"/>
        </w:rPr>
        <w:footnoteRef/>
      </w:r>
      <w:r w:rsidRPr="00B15A75">
        <w:t xml:space="preserve"> Profesor, Escuela de Ingeniería Civil, Universidad de Costa Rica, Costa Rica,</w:t>
      </w:r>
      <w:r w:rsidRPr="00B15A75">
        <w:rPr>
          <w:rFonts w:cs="Times New Roman"/>
        </w:rPr>
        <w:t xml:space="preserve"> </w:t>
      </w:r>
      <w:hyperlink r:id="rId3">
        <w:r w:rsidRPr="00B15A75">
          <w:rPr>
            <w:rStyle w:val="Hipervnculo"/>
          </w:rPr>
          <w:t>erick.centenomora@ucr.ac.cr</w:t>
        </w:r>
      </w:hyperlink>
      <w:r w:rsidRPr="00B15A75">
        <w:t xml:space="preserve">, </w:t>
      </w:r>
      <w:hyperlink r:id="rId4" w:history="1">
        <w:r w:rsidRPr="00B15A75">
          <w:rPr>
            <w:rStyle w:val="Hipervnculo"/>
          </w:rPr>
          <w:t>https://orcid.org/0000-0001-8806-0355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D5437" w14:textId="77777777" w:rsidR="00E71527" w:rsidRDefault="00E715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007D6" w14:textId="77777777" w:rsidR="00E71527" w:rsidRDefault="00E7152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A602E" w14:textId="77777777" w:rsidR="00E71527" w:rsidRDefault="00E715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5008"/>
    <w:multiLevelType w:val="hybridMultilevel"/>
    <w:tmpl w:val="A78EA17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12A73B99"/>
    <w:multiLevelType w:val="hybridMultilevel"/>
    <w:tmpl w:val="7518ACB6"/>
    <w:lvl w:ilvl="0" w:tplc="E8DE48E8">
      <w:start w:val="32"/>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13BD790F"/>
    <w:multiLevelType w:val="multilevel"/>
    <w:tmpl w:val="08BC651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D335C4"/>
    <w:multiLevelType w:val="hybridMultilevel"/>
    <w:tmpl w:val="F9143A28"/>
    <w:lvl w:ilvl="0" w:tplc="01FEB720">
      <w:start w:val="20"/>
      <w:numFmt w:val="bullet"/>
      <w:lvlText w:val="-"/>
      <w:lvlJc w:val="left"/>
      <w:pPr>
        <w:ind w:left="720" w:hanging="360"/>
      </w:pPr>
      <w:rPr>
        <w:rFonts w:ascii="Times New Roman" w:eastAsiaTheme="minorHAnsi" w:hAnsi="Times New Roman"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349B63C5"/>
    <w:multiLevelType w:val="hybridMultilevel"/>
    <w:tmpl w:val="8592918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413838F9"/>
    <w:multiLevelType w:val="hybridMultilevel"/>
    <w:tmpl w:val="0A8C0350"/>
    <w:lvl w:ilvl="0" w:tplc="8A4285FE">
      <w:start w:val="1"/>
      <w:numFmt w:val="low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42E62EFD"/>
    <w:multiLevelType w:val="multilevel"/>
    <w:tmpl w:val="C5B43AD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4826C41"/>
    <w:multiLevelType w:val="hybridMultilevel"/>
    <w:tmpl w:val="22DEE206"/>
    <w:lvl w:ilvl="0" w:tplc="8A4285FE">
      <w:start w:val="1"/>
      <w:numFmt w:val="low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536502A0"/>
    <w:multiLevelType w:val="multilevel"/>
    <w:tmpl w:val="7E9A7E2C"/>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F087C09"/>
    <w:multiLevelType w:val="hybridMultilevel"/>
    <w:tmpl w:val="83B2AABC"/>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0" w15:restartNumberingAfterBreak="0">
    <w:nsid w:val="610A041D"/>
    <w:multiLevelType w:val="hybridMultilevel"/>
    <w:tmpl w:val="25F48424"/>
    <w:lvl w:ilvl="0" w:tplc="81DE9756">
      <w:start w:val="20"/>
      <w:numFmt w:val="bullet"/>
      <w:lvlText w:val="-"/>
      <w:lvlJc w:val="left"/>
      <w:pPr>
        <w:ind w:left="720" w:hanging="360"/>
      </w:pPr>
      <w:rPr>
        <w:rFonts w:ascii="Times New Roman" w:eastAsiaTheme="minorHAnsi" w:hAnsi="Times New Roman"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622F7EBC"/>
    <w:multiLevelType w:val="hybridMultilevel"/>
    <w:tmpl w:val="D75EC9BC"/>
    <w:lvl w:ilvl="0" w:tplc="8A4285FE">
      <w:start w:val="1"/>
      <w:numFmt w:val="low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65000A6E"/>
    <w:multiLevelType w:val="multilevel"/>
    <w:tmpl w:val="8EC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5851F5"/>
    <w:multiLevelType w:val="hybridMultilevel"/>
    <w:tmpl w:val="C7E4094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6F4D3EF1"/>
    <w:multiLevelType w:val="multilevel"/>
    <w:tmpl w:val="EBAA598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9271AF3"/>
    <w:multiLevelType w:val="multilevel"/>
    <w:tmpl w:val="3D403B6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7FA70A92"/>
    <w:multiLevelType w:val="hybridMultilevel"/>
    <w:tmpl w:val="2F12304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11"/>
  </w:num>
  <w:num w:numId="2">
    <w:abstractNumId w:val="5"/>
  </w:num>
  <w:num w:numId="3">
    <w:abstractNumId w:val="7"/>
  </w:num>
  <w:num w:numId="4">
    <w:abstractNumId w:val="8"/>
  </w:num>
  <w:num w:numId="5">
    <w:abstractNumId w:val="1"/>
  </w:num>
  <w:num w:numId="6">
    <w:abstractNumId w:val="2"/>
  </w:num>
  <w:num w:numId="7">
    <w:abstractNumId w:val="15"/>
  </w:num>
  <w:num w:numId="8">
    <w:abstractNumId w:val="9"/>
  </w:num>
  <w:num w:numId="9">
    <w:abstractNumId w:val="13"/>
  </w:num>
  <w:num w:numId="10">
    <w:abstractNumId w:val="10"/>
  </w:num>
  <w:num w:numId="11">
    <w:abstractNumId w:val="3"/>
  </w:num>
  <w:num w:numId="12">
    <w:abstractNumId w:val="16"/>
  </w:num>
  <w:num w:numId="13">
    <w:abstractNumId w:val="4"/>
  </w:num>
  <w:num w:numId="14">
    <w:abstractNumId w:val="0"/>
  </w:num>
  <w:num w:numId="15">
    <w:abstractNumId w:val="6"/>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activeWritingStyle w:appName="MSWord" w:lang="pt-BR" w:vendorID="64" w:dllVersion="6" w:nlCheck="1" w:checkStyle="0"/>
  <w:activeWritingStyle w:appName="MSWord" w:lang="es-419" w:vendorID="64" w:dllVersion="6" w:nlCheck="1" w:checkStyle="0"/>
  <w:activeWritingStyle w:appName="MSWord" w:lang="es-ES" w:vendorID="64" w:dllVersion="6" w:nlCheck="1" w:checkStyle="1"/>
  <w:activeWritingStyle w:appName="MSWord" w:lang="es-CR" w:vendorID="64" w:dllVersion="6" w:nlCheck="1" w:checkStyle="0"/>
  <w:activeWritingStyle w:appName="MSWord" w:lang="en-US" w:vendorID="64" w:dllVersion="6" w:nlCheck="1" w:checkStyle="1"/>
  <w:activeWritingStyle w:appName="MSWord" w:lang="es-419"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fr-FR" w:vendorID="64" w:dllVersion="6" w:nlCheck="1" w:checkStyle="1"/>
  <w:activeWritingStyle w:appName="MSWord" w:lang="es-CR" w:vendorID="64" w:dllVersion="4096" w:nlCheck="1" w:checkStyle="0"/>
  <w:activeWritingStyle w:appName="MSWord" w:lang="fr-FR" w:vendorID="64" w:dllVersion="4096" w:nlCheck="1" w:checkStyle="0"/>
  <w:activeWritingStyle w:appName="MSWord" w:lang="es-CR" w:vendorID="64" w:dllVersion="0" w:nlCheck="1" w:checkStyle="0"/>
  <w:activeWritingStyle w:appName="MSWord" w:lang="en-US" w:vendorID="64" w:dllVersion="0" w:nlCheck="1" w:checkStyle="0"/>
  <w:activeWritingStyle w:appName="MSWord" w:lang="pt-BR" w:vendorID="64" w:dllVersion="0" w:nlCheck="1" w:checkStyle="0"/>
  <w:activeWritingStyle w:appName="MSWord" w:lang="es-419"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9A4"/>
    <w:rsid w:val="00002C32"/>
    <w:rsid w:val="00003E73"/>
    <w:rsid w:val="0000453D"/>
    <w:rsid w:val="0000529C"/>
    <w:rsid w:val="00005523"/>
    <w:rsid w:val="000074CD"/>
    <w:rsid w:val="00007BC5"/>
    <w:rsid w:val="00007CB9"/>
    <w:rsid w:val="00010ADC"/>
    <w:rsid w:val="00013C5B"/>
    <w:rsid w:val="00013F70"/>
    <w:rsid w:val="00017DC2"/>
    <w:rsid w:val="000257E7"/>
    <w:rsid w:val="00030555"/>
    <w:rsid w:val="00032A03"/>
    <w:rsid w:val="0003543B"/>
    <w:rsid w:val="000412AE"/>
    <w:rsid w:val="000414F6"/>
    <w:rsid w:val="00041A69"/>
    <w:rsid w:val="00041F38"/>
    <w:rsid w:val="0004215A"/>
    <w:rsid w:val="00045F6C"/>
    <w:rsid w:val="000544FE"/>
    <w:rsid w:val="00056149"/>
    <w:rsid w:val="00056AEF"/>
    <w:rsid w:val="00056BE5"/>
    <w:rsid w:val="0006471D"/>
    <w:rsid w:val="00065F30"/>
    <w:rsid w:val="00066D62"/>
    <w:rsid w:val="00075827"/>
    <w:rsid w:val="00076BA8"/>
    <w:rsid w:val="000770BF"/>
    <w:rsid w:val="000804F8"/>
    <w:rsid w:val="00081A1A"/>
    <w:rsid w:val="00083C5F"/>
    <w:rsid w:val="00086D28"/>
    <w:rsid w:val="00094EE7"/>
    <w:rsid w:val="000959CD"/>
    <w:rsid w:val="00096BAB"/>
    <w:rsid w:val="000A42AF"/>
    <w:rsid w:val="000A6CF6"/>
    <w:rsid w:val="000B075A"/>
    <w:rsid w:val="000B5D21"/>
    <w:rsid w:val="000B5D3D"/>
    <w:rsid w:val="000B751D"/>
    <w:rsid w:val="000C02EE"/>
    <w:rsid w:val="000C1F76"/>
    <w:rsid w:val="000C275B"/>
    <w:rsid w:val="000C2C27"/>
    <w:rsid w:val="000C2E3D"/>
    <w:rsid w:val="000C4333"/>
    <w:rsid w:val="000D0BDC"/>
    <w:rsid w:val="000D139D"/>
    <w:rsid w:val="000D1BF5"/>
    <w:rsid w:val="000D1EB9"/>
    <w:rsid w:val="000D2055"/>
    <w:rsid w:val="000D2B01"/>
    <w:rsid w:val="000D32DB"/>
    <w:rsid w:val="000D533B"/>
    <w:rsid w:val="000D59CA"/>
    <w:rsid w:val="000E1024"/>
    <w:rsid w:val="000E1688"/>
    <w:rsid w:val="000E18F7"/>
    <w:rsid w:val="000E2E4C"/>
    <w:rsid w:val="000E3C58"/>
    <w:rsid w:val="000E569E"/>
    <w:rsid w:val="000F01CA"/>
    <w:rsid w:val="000F15EA"/>
    <w:rsid w:val="000F2D9E"/>
    <w:rsid w:val="000F37CC"/>
    <w:rsid w:val="000F656F"/>
    <w:rsid w:val="00101DBE"/>
    <w:rsid w:val="00106AEF"/>
    <w:rsid w:val="00107C7B"/>
    <w:rsid w:val="0011420A"/>
    <w:rsid w:val="00115FFD"/>
    <w:rsid w:val="001176C5"/>
    <w:rsid w:val="00120C0E"/>
    <w:rsid w:val="0012171B"/>
    <w:rsid w:val="00123A51"/>
    <w:rsid w:val="00124FD4"/>
    <w:rsid w:val="001255B6"/>
    <w:rsid w:val="0012778A"/>
    <w:rsid w:val="00136879"/>
    <w:rsid w:val="00141512"/>
    <w:rsid w:val="001421DD"/>
    <w:rsid w:val="00144B9C"/>
    <w:rsid w:val="00153650"/>
    <w:rsid w:val="001603E0"/>
    <w:rsid w:val="00161BDE"/>
    <w:rsid w:val="00165AAE"/>
    <w:rsid w:val="001666D8"/>
    <w:rsid w:val="001669B7"/>
    <w:rsid w:val="00166EFA"/>
    <w:rsid w:val="001766D3"/>
    <w:rsid w:val="00176B83"/>
    <w:rsid w:val="001836BF"/>
    <w:rsid w:val="0018509C"/>
    <w:rsid w:val="00185CA6"/>
    <w:rsid w:val="00186551"/>
    <w:rsid w:val="00187A29"/>
    <w:rsid w:val="00190681"/>
    <w:rsid w:val="00192C2B"/>
    <w:rsid w:val="00192EAA"/>
    <w:rsid w:val="00194DD8"/>
    <w:rsid w:val="00194FDF"/>
    <w:rsid w:val="00195DD5"/>
    <w:rsid w:val="001A0266"/>
    <w:rsid w:val="001A20A4"/>
    <w:rsid w:val="001A2D7A"/>
    <w:rsid w:val="001A400D"/>
    <w:rsid w:val="001A480D"/>
    <w:rsid w:val="001B0512"/>
    <w:rsid w:val="001B2574"/>
    <w:rsid w:val="001B31D4"/>
    <w:rsid w:val="001B38A2"/>
    <w:rsid w:val="001B4B87"/>
    <w:rsid w:val="001B67DC"/>
    <w:rsid w:val="001B75DC"/>
    <w:rsid w:val="001C0368"/>
    <w:rsid w:val="001C0845"/>
    <w:rsid w:val="001C4285"/>
    <w:rsid w:val="001C4931"/>
    <w:rsid w:val="001C58C3"/>
    <w:rsid w:val="001D021C"/>
    <w:rsid w:val="001D0B5C"/>
    <w:rsid w:val="001D1FD7"/>
    <w:rsid w:val="001D4154"/>
    <w:rsid w:val="001D509B"/>
    <w:rsid w:val="001D6088"/>
    <w:rsid w:val="001E3BCF"/>
    <w:rsid w:val="001E4077"/>
    <w:rsid w:val="001E71B5"/>
    <w:rsid w:val="001F35DA"/>
    <w:rsid w:val="001F5056"/>
    <w:rsid w:val="001F75E5"/>
    <w:rsid w:val="001F7942"/>
    <w:rsid w:val="0020054B"/>
    <w:rsid w:val="00201DE2"/>
    <w:rsid w:val="00201F7E"/>
    <w:rsid w:val="002037D8"/>
    <w:rsid w:val="0020390C"/>
    <w:rsid w:val="00204EB0"/>
    <w:rsid w:val="00206D4A"/>
    <w:rsid w:val="00212A13"/>
    <w:rsid w:val="002142B3"/>
    <w:rsid w:val="00217A49"/>
    <w:rsid w:val="002200D9"/>
    <w:rsid w:val="002219B5"/>
    <w:rsid w:val="002236A8"/>
    <w:rsid w:val="00223C75"/>
    <w:rsid w:val="002249B5"/>
    <w:rsid w:val="002249FE"/>
    <w:rsid w:val="0023458B"/>
    <w:rsid w:val="00237661"/>
    <w:rsid w:val="002422FE"/>
    <w:rsid w:val="0024392D"/>
    <w:rsid w:val="00245443"/>
    <w:rsid w:val="00253215"/>
    <w:rsid w:val="002532BD"/>
    <w:rsid w:val="00255D4A"/>
    <w:rsid w:val="002563F4"/>
    <w:rsid w:val="00256C61"/>
    <w:rsid w:val="002577D4"/>
    <w:rsid w:val="00261BB3"/>
    <w:rsid w:val="00262614"/>
    <w:rsid w:val="00262DCE"/>
    <w:rsid w:val="00267E70"/>
    <w:rsid w:val="00270CC0"/>
    <w:rsid w:val="0027278F"/>
    <w:rsid w:val="00276028"/>
    <w:rsid w:val="0027737C"/>
    <w:rsid w:val="0027765B"/>
    <w:rsid w:val="00280650"/>
    <w:rsid w:val="002810B8"/>
    <w:rsid w:val="00282464"/>
    <w:rsid w:val="0029003D"/>
    <w:rsid w:val="00290A0E"/>
    <w:rsid w:val="00292B84"/>
    <w:rsid w:val="002A2EA5"/>
    <w:rsid w:val="002A4BFD"/>
    <w:rsid w:val="002A5DAD"/>
    <w:rsid w:val="002A62CF"/>
    <w:rsid w:val="002B1074"/>
    <w:rsid w:val="002B13F5"/>
    <w:rsid w:val="002B18C8"/>
    <w:rsid w:val="002B1ABB"/>
    <w:rsid w:val="002B4159"/>
    <w:rsid w:val="002C243D"/>
    <w:rsid w:val="002C2A4E"/>
    <w:rsid w:val="002C4803"/>
    <w:rsid w:val="002C5012"/>
    <w:rsid w:val="002C6FD8"/>
    <w:rsid w:val="002C76FE"/>
    <w:rsid w:val="002C7A7D"/>
    <w:rsid w:val="002D0320"/>
    <w:rsid w:val="002D3CFC"/>
    <w:rsid w:val="002D46F8"/>
    <w:rsid w:val="002D4F61"/>
    <w:rsid w:val="002E0BB0"/>
    <w:rsid w:val="002E1275"/>
    <w:rsid w:val="002E350D"/>
    <w:rsid w:val="002E4790"/>
    <w:rsid w:val="002E668E"/>
    <w:rsid w:val="002F0848"/>
    <w:rsid w:val="002F0B93"/>
    <w:rsid w:val="002F137C"/>
    <w:rsid w:val="002F4175"/>
    <w:rsid w:val="002F67B6"/>
    <w:rsid w:val="00303410"/>
    <w:rsid w:val="00303615"/>
    <w:rsid w:val="0030377B"/>
    <w:rsid w:val="003039B7"/>
    <w:rsid w:val="00303C2E"/>
    <w:rsid w:val="0030547D"/>
    <w:rsid w:val="003058A9"/>
    <w:rsid w:val="00305AB4"/>
    <w:rsid w:val="00307991"/>
    <w:rsid w:val="003108B6"/>
    <w:rsid w:val="00314CBE"/>
    <w:rsid w:val="0031629D"/>
    <w:rsid w:val="0031648F"/>
    <w:rsid w:val="00316D0C"/>
    <w:rsid w:val="0031767E"/>
    <w:rsid w:val="00317FA7"/>
    <w:rsid w:val="00322A31"/>
    <w:rsid w:val="0032325A"/>
    <w:rsid w:val="00324720"/>
    <w:rsid w:val="00326F29"/>
    <w:rsid w:val="00330535"/>
    <w:rsid w:val="00331300"/>
    <w:rsid w:val="003319C4"/>
    <w:rsid w:val="0033264D"/>
    <w:rsid w:val="00336619"/>
    <w:rsid w:val="00336EAE"/>
    <w:rsid w:val="00336F89"/>
    <w:rsid w:val="00342711"/>
    <w:rsid w:val="00343150"/>
    <w:rsid w:val="00344241"/>
    <w:rsid w:val="00344802"/>
    <w:rsid w:val="003539A2"/>
    <w:rsid w:val="00354F8B"/>
    <w:rsid w:val="003555E8"/>
    <w:rsid w:val="00362D13"/>
    <w:rsid w:val="00363761"/>
    <w:rsid w:val="0036512A"/>
    <w:rsid w:val="00366FC9"/>
    <w:rsid w:val="00377ADF"/>
    <w:rsid w:val="00380833"/>
    <w:rsid w:val="003812A4"/>
    <w:rsid w:val="00383A8B"/>
    <w:rsid w:val="00383F53"/>
    <w:rsid w:val="00384849"/>
    <w:rsid w:val="00384A67"/>
    <w:rsid w:val="003857F3"/>
    <w:rsid w:val="00387CB9"/>
    <w:rsid w:val="00391D6B"/>
    <w:rsid w:val="00392DB1"/>
    <w:rsid w:val="00392E46"/>
    <w:rsid w:val="00395B6E"/>
    <w:rsid w:val="0039651F"/>
    <w:rsid w:val="00397A5B"/>
    <w:rsid w:val="003A107D"/>
    <w:rsid w:val="003A1426"/>
    <w:rsid w:val="003B0246"/>
    <w:rsid w:val="003B0D2D"/>
    <w:rsid w:val="003B33EC"/>
    <w:rsid w:val="003B5F5D"/>
    <w:rsid w:val="003B60B5"/>
    <w:rsid w:val="003B6603"/>
    <w:rsid w:val="003B75C7"/>
    <w:rsid w:val="003C04D1"/>
    <w:rsid w:val="003C081D"/>
    <w:rsid w:val="003C1361"/>
    <w:rsid w:val="003C179B"/>
    <w:rsid w:val="003C7114"/>
    <w:rsid w:val="003D1896"/>
    <w:rsid w:val="003D26C7"/>
    <w:rsid w:val="003D2C0F"/>
    <w:rsid w:val="003E2E33"/>
    <w:rsid w:val="003E3F9A"/>
    <w:rsid w:val="003E7816"/>
    <w:rsid w:val="003F0AB9"/>
    <w:rsid w:val="003F3563"/>
    <w:rsid w:val="003F4881"/>
    <w:rsid w:val="00401806"/>
    <w:rsid w:val="00402BAB"/>
    <w:rsid w:val="00404DF7"/>
    <w:rsid w:val="00406054"/>
    <w:rsid w:val="0041067D"/>
    <w:rsid w:val="00412626"/>
    <w:rsid w:val="00415165"/>
    <w:rsid w:val="00421576"/>
    <w:rsid w:val="0042202B"/>
    <w:rsid w:val="00422569"/>
    <w:rsid w:val="00427DA2"/>
    <w:rsid w:val="00427DBB"/>
    <w:rsid w:val="0043135A"/>
    <w:rsid w:val="0043384D"/>
    <w:rsid w:val="004361D2"/>
    <w:rsid w:val="00436F39"/>
    <w:rsid w:val="00441209"/>
    <w:rsid w:val="00441879"/>
    <w:rsid w:val="004457C5"/>
    <w:rsid w:val="0044607D"/>
    <w:rsid w:val="00446A02"/>
    <w:rsid w:val="00447B9F"/>
    <w:rsid w:val="00447F0D"/>
    <w:rsid w:val="00450D72"/>
    <w:rsid w:val="004518DF"/>
    <w:rsid w:val="00452159"/>
    <w:rsid w:val="004525D3"/>
    <w:rsid w:val="00454A36"/>
    <w:rsid w:val="00456CF2"/>
    <w:rsid w:val="00461390"/>
    <w:rsid w:val="0046139A"/>
    <w:rsid w:val="00463D9B"/>
    <w:rsid w:val="004643F2"/>
    <w:rsid w:val="00465069"/>
    <w:rsid w:val="004668FB"/>
    <w:rsid w:val="00467C6F"/>
    <w:rsid w:val="00472F32"/>
    <w:rsid w:val="00476B3A"/>
    <w:rsid w:val="00483BFC"/>
    <w:rsid w:val="004866C8"/>
    <w:rsid w:val="00491D1D"/>
    <w:rsid w:val="00492C5D"/>
    <w:rsid w:val="00496BD6"/>
    <w:rsid w:val="00496C22"/>
    <w:rsid w:val="004A1E20"/>
    <w:rsid w:val="004A362A"/>
    <w:rsid w:val="004A52DD"/>
    <w:rsid w:val="004A6073"/>
    <w:rsid w:val="004B22C8"/>
    <w:rsid w:val="004B5393"/>
    <w:rsid w:val="004B6265"/>
    <w:rsid w:val="004B6EE0"/>
    <w:rsid w:val="004C0E34"/>
    <w:rsid w:val="004C151E"/>
    <w:rsid w:val="004C1642"/>
    <w:rsid w:val="004C5156"/>
    <w:rsid w:val="004C5BD3"/>
    <w:rsid w:val="004C7390"/>
    <w:rsid w:val="004C775F"/>
    <w:rsid w:val="004D3B41"/>
    <w:rsid w:val="004D6108"/>
    <w:rsid w:val="004D63A2"/>
    <w:rsid w:val="004D73BC"/>
    <w:rsid w:val="004D74CC"/>
    <w:rsid w:val="004E0B83"/>
    <w:rsid w:val="004E3810"/>
    <w:rsid w:val="004E3A89"/>
    <w:rsid w:val="004E3E3B"/>
    <w:rsid w:val="004E457A"/>
    <w:rsid w:val="004E61B1"/>
    <w:rsid w:val="004E6281"/>
    <w:rsid w:val="004F4252"/>
    <w:rsid w:val="004F4555"/>
    <w:rsid w:val="004F51AB"/>
    <w:rsid w:val="004F656E"/>
    <w:rsid w:val="00500D15"/>
    <w:rsid w:val="0050372A"/>
    <w:rsid w:val="00510D32"/>
    <w:rsid w:val="0051101A"/>
    <w:rsid w:val="00513154"/>
    <w:rsid w:val="005140DB"/>
    <w:rsid w:val="00516AC8"/>
    <w:rsid w:val="00516D7C"/>
    <w:rsid w:val="005174C1"/>
    <w:rsid w:val="005208C0"/>
    <w:rsid w:val="00522597"/>
    <w:rsid w:val="00523049"/>
    <w:rsid w:val="00523E5B"/>
    <w:rsid w:val="00526D49"/>
    <w:rsid w:val="00530819"/>
    <w:rsid w:val="00530B2C"/>
    <w:rsid w:val="0053436F"/>
    <w:rsid w:val="00535067"/>
    <w:rsid w:val="005365D9"/>
    <w:rsid w:val="00537044"/>
    <w:rsid w:val="005406D2"/>
    <w:rsid w:val="00540BFE"/>
    <w:rsid w:val="00540E5E"/>
    <w:rsid w:val="005418C1"/>
    <w:rsid w:val="0054192F"/>
    <w:rsid w:val="0054279E"/>
    <w:rsid w:val="00543563"/>
    <w:rsid w:val="00545DE0"/>
    <w:rsid w:val="00547E7D"/>
    <w:rsid w:val="00551541"/>
    <w:rsid w:val="0055282C"/>
    <w:rsid w:val="00553AA1"/>
    <w:rsid w:val="00554398"/>
    <w:rsid w:val="00555D10"/>
    <w:rsid w:val="005565E0"/>
    <w:rsid w:val="00556BCF"/>
    <w:rsid w:val="00560209"/>
    <w:rsid w:val="00560DA9"/>
    <w:rsid w:val="00561EA8"/>
    <w:rsid w:val="00563F88"/>
    <w:rsid w:val="00565A29"/>
    <w:rsid w:val="00565E25"/>
    <w:rsid w:val="00566445"/>
    <w:rsid w:val="00571F8F"/>
    <w:rsid w:val="00573971"/>
    <w:rsid w:val="0057513F"/>
    <w:rsid w:val="00575C12"/>
    <w:rsid w:val="00576AF8"/>
    <w:rsid w:val="005801D6"/>
    <w:rsid w:val="00582E64"/>
    <w:rsid w:val="0059079F"/>
    <w:rsid w:val="00590C46"/>
    <w:rsid w:val="005A09C1"/>
    <w:rsid w:val="005A5A6D"/>
    <w:rsid w:val="005A706D"/>
    <w:rsid w:val="005A7354"/>
    <w:rsid w:val="005B01AC"/>
    <w:rsid w:val="005B3391"/>
    <w:rsid w:val="005B5AF5"/>
    <w:rsid w:val="005B62F2"/>
    <w:rsid w:val="005C1174"/>
    <w:rsid w:val="005C142F"/>
    <w:rsid w:val="005C27FC"/>
    <w:rsid w:val="005C4892"/>
    <w:rsid w:val="005C697A"/>
    <w:rsid w:val="005D044D"/>
    <w:rsid w:val="005D414F"/>
    <w:rsid w:val="005D4429"/>
    <w:rsid w:val="005D4F8F"/>
    <w:rsid w:val="005D5C7E"/>
    <w:rsid w:val="005E030D"/>
    <w:rsid w:val="005E0592"/>
    <w:rsid w:val="005E1965"/>
    <w:rsid w:val="005E27AB"/>
    <w:rsid w:val="005E7138"/>
    <w:rsid w:val="005E7970"/>
    <w:rsid w:val="005F20DF"/>
    <w:rsid w:val="005F2F4D"/>
    <w:rsid w:val="005F7677"/>
    <w:rsid w:val="00600B02"/>
    <w:rsid w:val="00601A31"/>
    <w:rsid w:val="00604EC4"/>
    <w:rsid w:val="00607E9A"/>
    <w:rsid w:val="006121C3"/>
    <w:rsid w:val="00615113"/>
    <w:rsid w:val="006162F1"/>
    <w:rsid w:val="00616870"/>
    <w:rsid w:val="006211D9"/>
    <w:rsid w:val="0062120D"/>
    <w:rsid w:val="00622A37"/>
    <w:rsid w:val="0062357E"/>
    <w:rsid w:val="00630A2F"/>
    <w:rsid w:val="00630CB5"/>
    <w:rsid w:val="00633B1B"/>
    <w:rsid w:val="00637997"/>
    <w:rsid w:val="00637E2F"/>
    <w:rsid w:val="006446DA"/>
    <w:rsid w:val="006504DF"/>
    <w:rsid w:val="006513B5"/>
    <w:rsid w:val="00652C27"/>
    <w:rsid w:val="00653B34"/>
    <w:rsid w:val="00653CBB"/>
    <w:rsid w:val="00656ABC"/>
    <w:rsid w:val="00656DEF"/>
    <w:rsid w:val="00660EE5"/>
    <w:rsid w:val="00661D0F"/>
    <w:rsid w:val="00663059"/>
    <w:rsid w:val="00664322"/>
    <w:rsid w:val="00666CA3"/>
    <w:rsid w:val="006704FA"/>
    <w:rsid w:val="00670E2F"/>
    <w:rsid w:val="00674613"/>
    <w:rsid w:val="006777DB"/>
    <w:rsid w:val="00681844"/>
    <w:rsid w:val="0068514D"/>
    <w:rsid w:val="006867CE"/>
    <w:rsid w:val="00687359"/>
    <w:rsid w:val="00690098"/>
    <w:rsid w:val="00690120"/>
    <w:rsid w:val="006941E1"/>
    <w:rsid w:val="00694B47"/>
    <w:rsid w:val="006961A1"/>
    <w:rsid w:val="006A7E0A"/>
    <w:rsid w:val="006B0CAA"/>
    <w:rsid w:val="006B18CB"/>
    <w:rsid w:val="006B1AF5"/>
    <w:rsid w:val="006B2D19"/>
    <w:rsid w:val="006B2F8C"/>
    <w:rsid w:val="006B37CC"/>
    <w:rsid w:val="006B394B"/>
    <w:rsid w:val="006B3EA1"/>
    <w:rsid w:val="006B620E"/>
    <w:rsid w:val="006C0397"/>
    <w:rsid w:val="006C069C"/>
    <w:rsid w:val="006C1FDA"/>
    <w:rsid w:val="006C471D"/>
    <w:rsid w:val="006C6A8F"/>
    <w:rsid w:val="006C6F9B"/>
    <w:rsid w:val="006C7223"/>
    <w:rsid w:val="006C7C7F"/>
    <w:rsid w:val="006C7CEE"/>
    <w:rsid w:val="006D3AA3"/>
    <w:rsid w:val="006D75AB"/>
    <w:rsid w:val="006E3EC8"/>
    <w:rsid w:val="006E6543"/>
    <w:rsid w:val="006E7323"/>
    <w:rsid w:val="006E76B7"/>
    <w:rsid w:val="006F1538"/>
    <w:rsid w:val="006F3D7D"/>
    <w:rsid w:val="006F3FFF"/>
    <w:rsid w:val="006F6A98"/>
    <w:rsid w:val="006F77F6"/>
    <w:rsid w:val="006F7D17"/>
    <w:rsid w:val="007026A2"/>
    <w:rsid w:val="00702919"/>
    <w:rsid w:val="00703AEC"/>
    <w:rsid w:val="007047A3"/>
    <w:rsid w:val="00704D17"/>
    <w:rsid w:val="00705348"/>
    <w:rsid w:val="007111D5"/>
    <w:rsid w:val="00711352"/>
    <w:rsid w:val="00717B9F"/>
    <w:rsid w:val="007211D1"/>
    <w:rsid w:val="00721338"/>
    <w:rsid w:val="00721D49"/>
    <w:rsid w:val="00723AB1"/>
    <w:rsid w:val="00724D78"/>
    <w:rsid w:val="0072557E"/>
    <w:rsid w:val="00725A7A"/>
    <w:rsid w:val="00726777"/>
    <w:rsid w:val="00727019"/>
    <w:rsid w:val="00727D03"/>
    <w:rsid w:val="00727FF3"/>
    <w:rsid w:val="007311F1"/>
    <w:rsid w:val="007333E6"/>
    <w:rsid w:val="00733F04"/>
    <w:rsid w:val="00734124"/>
    <w:rsid w:val="007349C7"/>
    <w:rsid w:val="00735485"/>
    <w:rsid w:val="007415F0"/>
    <w:rsid w:val="0074380C"/>
    <w:rsid w:val="00744AD0"/>
    <w:rsid w:val="00750D9A"/>
    <w:rsid w:val="007529C6"/>
    <w:rsid w:val="0075649E"/>
    <w:rsid w:val="00756794"/>
    <w:rsid w:val="00761121"/>
    <w:rsid w:val="0076374A"/>
    <w:rsid w:val="00771BF3"/>
    <w:rsid w:val="007741A5"/>
    <w:rsid w:val="0077641C"/>
    <w:rsid w:val="00781154"/>
    <w:rsid w:val="00781FB9"/>
    <w:rsid w:val="00787F31"/>
    <w:rsid w:val="00791B91"/>
    <w:rsid w:val="00793ECD"/>
    <w:rsid w:val="0079514A"/>
    <w:rsid w:val="0079651D"/>
    <w:rsid w:val="007A4FE8"/>
    <w:rsid w:val="007A50FC"/>
    <w:rsid w:val="007B0704"/>
    <w:rsid w:val="007B28FE"/>
    <w:rsid w:val="007B3395"/>
    <w:rsid w:val="007B3709"/>
    <w:rsid w:val="007B451D"/>
    <w:rsid w:val="007B4AC9"/>
    <w:rsid w:val="007B59A8"/>
    <w:rsid w:val="007B6F2A"/>
    <w:rsid w:val="007B7A10"/>
    <w:rsid w:val="007C1953"/>
    <w:rsid w:val="007C3132"/>
    <w:rsid w:val="007C48F1"/>
    <w:rsid w:val="007C4C91"/>
    <w:rsid w:val="007C52EA"/>
    <w:rsid w:val="007C55D9"/>
    <w:rsid w:val="007C5B10"/>
    <w:rsid w:val="007D2D1F"/>
    <w:rsid w:val="007D43B2"/>
    <w:rsid w:val="007D504A"/>
    <w:rsid w:val="007D5DE9"/>
    <w:rsid w:val="007D62F9"/>
    <w:rsid w:val="007D70CE"/>
    <w:rsid w:val="007D7AB9"/>
    <w:rsid w:val="007D7C95"/>
    <w:rsid w:val="007E19BA"/>
    <w:rsid w:val="007E265A"/>
    <w:rsid w:val="007E3581"/>
    <w:rsid w:val="007E6023"/>
    <w:rsid w:val="007E63C8"/>
    <w:rsid w:val="007E7D8D"/>
    <w:rsid w:val="007F0AB0"/>
    <w:rsid w:val="007F23B3"/>
    <w:rsid w:val="007F3E37"/>
    <w:rsid w:val="007F5223"/>
    <w:rsid w:val="00800D74"/>
    <w:rsid w:val="008015A3"/>
    <w:rsid w:val="00805E55"/>
    <w:rsid w:val="00812422"/>
    <w:rsid w:val="00815986"/>
    <w:rsid w:val="008203C2"/>
    <w:rsid w:val="008205CD"/>
    <w:rsid w:val="00820D89"/>
    <w:rsid w:val="008211A5"/>
    <w:rsid w:val="00823C06"/>
    <w:rsid w:val="00830A44"/>
    <w:rsid w:val="00834D20"/>
    <w:rsid w:val="00841787"/>
    <w:rsid w:val="0084355E"/>
    <w:rsid w:val="00844142"/>
    <w:rsid w:val="0084495E"/>
    <w:rsid w:val="00846AB2"/>
    <w:rsid w:val="0085014F"/>
    <w:rsid w:val="008507CF"/>
    <w:rsid w:val="0085164D"/>
    <w:rsid w:val="00852001"/>
    <w:rsid w:val="00852061"/>
    <w:rsid w:val="00852B6E"/>
    <w:rsid w:val="00856B05"/>
    <w:rsid w:val="00857815"/>
    <w:rsid w:val="00857A8C"/>
    <w:rsid w:val="00857EF0"/>
    <w:rsid w:val="008605C3"/>
    <w:rsid w:val="00863A85"/>
    <w:rsid w:val="00863C7F"/>
    <w:rsid w:val="00865739"/>
    <w:rsid w:val="00866FF2"/>
    <w:rsid w:val="008721F7"/>
    <w:rsid w:val="008800CE"/>
    <w:rsid w:val="00880AA9"/>
    <w:rsid w:val="0088498E"/>
    <w:rsid w:val="00886413"/>
    <w:rsid w:val="008868D1"/>
    <w:rsid w:val="00893D3F"/>
    <w:rsid w:val="00894E3C"/>
    <w:rsid w:val="0089555A"/>
    <w:rsid w:val="00895F63"/>
    <w:rsid w:val="008965D8"/>
    <w:rsid w:val="00897A72"/>
    <w:rsid w:val="008A4265"/>
    <w:rsid w:val="008A76C9"/>
    <w:rsid w:val="008B15CB"/>
    <w:rsid w:val="008B1872"/>
    <w:rsid w:val="008B2C3F"/>
    <w:rsid w:val="008B7B0A"/>
    <w:rsid w:val="008C098A"/>
    <w:rsid w:val="008C1A7F"/>
    <w:rsid w:val="008C1EE6"/>
    <w:rsid w:val="008C3CD7"/>
    <w:rsid w:val="008C49A4"/>
    <w:rsid w:val="008C4F45"/>
    <w:rsid w:val="008C5679"/>
    <w:rsid w:val="008C6557"/>
    <w:rsid w:val="008D0A2C"/>
    <w:rsid w:val="008D117A"/>
    <w:rsid w:val="008D2499"/>
    <w:rsid w:val="008D3BDC"/>
    <w:rsid w:val="008D451C"/>
    <w:rsid w:val="008D6534"/>
    <w:rsid w:val="008D6B37"/>
    <w:rsid w:val="008D7A6C"/>
    <w:rsid w:val="008E1672"/>
    <w:rsid w:val="008E29D9"/>
    <w:rsid w:val="008E2E53"/>
    <w:rsid w:val="008E3E53"/>
    <w:rsid w:val="008F6453"/>
    <w:rsid w:val="008F6F8C"/>
    <w:rsid w:val="009022D5"/>
    <w:rsid w:val="00902302"/>
    <w:rsid w:val="00904BEF"/>
    <w:rsid w:val="00906B9F"/>
    <w:rsid w:val="00914420"/>
    <w:rsid w:val="0091798E"/>
    <w:rsid w:val="00921CC3"/>
    <w:rsid w:val="00921FF4"/>
    <w:rsid w:val="0092214B"/>
    <w:rsid w:val="009241A7"/>
    <w:rsid w:val="00925283"/>
    <w:rsid w:val="00926302"/>
    <w:rsid w:val="009306CB"/>
    <w:rsid w:val="00931454"/>
    <w:rsid w:val="0093173C"/>
    <w:rsid w:val="00932B4C"/>
    <w:rsid w:val="009338DF"/>
    <w:rsid w:val="009341B1"/>
    <w:rsid w:val="00935938"/>
    <w:rsid w:val="0093607A"/>
    <w:rsid w:val="009365D5"/>
    <w:rsid w:val="00936703"/>
    <w:rsid w:val="009426EA"/>
    <w:rsid w:val="009433D5"/>
    <w:rsid w:val="009479B6"/>
    <w:rsid w:val="00952464"/>
    <w:rsid w:val="00955C37"/>
    <w:rsid w:val="00956320"/>
    <w:rsid w:val="009564B8"/>
    <w:rsid w:val="00956875"/>
    <w:rsid w:val="00967B10"/>
    <w:rsid w:val="0097126E"/>
    <w:rsid w:val="0097449B"/>
    <w:rsid w:val="0098060B"/>
    <w:rsid w:val="009807A7"/>
    <w:rsid w:val="00981562"/>
    <w:rsid w:val="00985129"/>
    <w:rsid w:val="009865D2"/>
    <w:rsid w:val="00993306"/>
    <w:rsid w:val="00995593"/>
    <w:rsid w:val="00995DF3"/>
    <w:rsid w:val="009A0BB1"/>
    <w:rsid w:val="009A391E"/>
    <w:rsid w:val="009A5A86"/>
    <w:rsid w:val="009A7B28"/>
    <w:rsid w:val="009A7ECF"/>
    <w:rsid w:val="009A7F55"/>
    <w:rsid w:val="009B6C39"/>
    <w:rsid w:val="009B6F9E"/>
    <w:rsid w:val="009C1CA0"/>
    <w:rsid w:val="009C244C"/>
    <w:rsid w:val="009C4664"/>
    <w:rsid w:val="009C4A68"/>
    <w:rsid w:val="009C59B7"/>
    <w:rsid w:val="009C5B31"/>
    <w:rsid w:val="009C7F23"/>
    <w:rsid w:val="009D0A4D"/>
    <w:rsid w:val="009D1445"/>
    <w:rsid w:val="009D1752"/>
    <w:rsid w:val="009D1B14"/>
    <w:rsid w:val="009D3206"/>
    <w:rsid w:val="009D4938"/>
    <w:rsid w:val="009D5129"/>
    <w:rsid w:val="009D5170"/>
    <w:rsid w:val="009D7F78"/>
    <w:rsid w:val="009E023C"/>
    <w:rsid w:val="009E0DDA"/>
    <w:rsid w:val="009E2687"/>
    <w:rsid w:val="009E3951"/>
    <w:rsid w:val="009E3E87"/>
    <w:rsid w:val="009E71EC"/>
    <w:rsid w:val="009F2605"/>
    <w:rsid w:val="009F2AD3"/>
    <w:rsid w:val="009F39E4"/>
    <w:rsid w:val="009F3DE5"/>
    <w:rsid w:val="009F4FB8"/>
    <w:rsid w:val="009F4FE6"/>
    <w:rsid w:val="009F5136"/>
    <w:rsid w:val="009F6C41"/>
    <w:rsid w:val="00A03256"/>
    <w:rsid w:val="00A04648"/>
    <w:rsid w:val="00A06155"/>
    <w:rsid w:val="00A063C3"/>
    <w:rsid w:val="00A06E4B"/>
    <w:rsid w:val="00A07152"/>
    <w:rsid w:val="00A077D8"/>
    <w:rsid w:val="00A12261"/>
    <w:rsid w:val="00A130EE"/>
    <w:rsid w:val="00A14EEC"/>
    <w:rsid w:val="00A20E5D"/>
    <w:rsid w:val="00A22E47"/>
    <w:rsid w:val="00A24AA6"/>
    <w:rsid w:val="00A25B85"/>
    <w:rsid w:val="00A2606E"/>
    <w:rsid w:val="00A30B0F"/>
    <w:rsid w:val="00A30FF5"/>
    <w:rsid w:val="00A316B2"/>
    <w:rsid w:val="00A34563"/>
    <w:rsid w:val="00A378AF"/>
    <w:rsid w:val="00A46A41"/>
    <w:rsid w:val="00A52DDA"/>
    <w:rsid w:val="00A52DFF"/>
    <w:rsid w:val="00A57A72"/>
    <w:rsid w:val="00A631C5"/>
    <w:rsid w:val="00A658DB"/>
    <w:rsid w:val="00A65BC4"/>
    <w:rsid w:val="00A6651B"/>
    <w:rsid w:val="00A67D24"/>
    <w:rsid w:val="00A70D70"/>
    <w:rsid w:val="00A72C44"/>
    <w:rsid w:val="00A75059"/>
    <w:rsid w:val="00A77280"/>
    <w:rsid w:val="00A8083D"/>
    <w:rsid w:val="00A862E2"/>
    <w:rsid w:val="00A91489"/>
    <w:rsid w:val="00A9256A"/>
    <w:rsid w:val="00A93F25"/>
    <w:rsid w:val="00A974ED"/>
    <w:rsid w:val="00AA09EF"/>
    <w:rsid w:val="00AA1ED3"/>
    <w:rsid w:val="00AA220C"/>
    <w:rsid w:val="00AA296C"/>
    <w:rsid w:val="00AA3C54"/>
    <w:rsid w:val="00AA78A4"/>
    <w:rsid w:val="00AB00F2"/>
    <w:rsid w:val="00AB7C17"/>
    <w:rsid w:val="00AC0D06"/>
    <w:rsid w:val="00AC2C5A"/>
    <w:rsid w:val="00AC3E78"/>
    <w:rsid w:val="00AC6670"/>
    <w:rsid w:val="00AC738B"/>
    <w:rsid w:val="00AD1587"/>
    <w:rsid w:val="00AD390E"/>
    <w:rsid w:val="00AD4619"/>
    <w:rsid w:val="00AD6FF9"/>
    <w:rsid w:val="00AE02BF"/>
    <w:rsid w:val="00AE0358"/>
    <w:rsid w:val="00AE03B0"/>
    <w:rsid w:val="00AE13DE"/>
    <w:rsid w:val="00AE448A"/>
    <w:rsid w:val="00AE6E49"/>
    <w:rsid w:val="00AF1D33"/>
    <w:rsid w:val="00AF304F"/>
    <w:rsid w:val="00AF5EF3"/>
    <w:rsid w:val="00B02CA1"/>
    <w:rsid w:val="00B02D6A"/>
    <w:rsid w:val="00B0317B"/>
    <w:rsid w:val="00B06D20"/>
    <w:rsid w:val="00B07567"/>
    <w:rsid w:val="00B10B67"/>
    <w:rsid w:val="00B1183A"/>
    <w:rsid w:val="00B1389C"/>
    <w:rsid w:val="00B15A75"/>
    <w:rsid w:val="00B17525"/>
    <w:rsid w:val="00B20038"/>
    <w:rsid w:val="00B22752"/>
    <w:rsid w:val="00B25A2B"/>
    <w:rsid w:val="00B27F52"/>
    <w:rsid w:val="00B27F5B"/>
    <w:rsid w:val="00B309E0"/>
    <w:rsid w:val="00B338A8"/>
    <w:rsid w:val="00B3471D"/>
    <w:rsid w:val="00B36B1D"/>
    <w:rsid w:val="00B37D68"/>
    <w:rsid w:val="00B41289"/>
    <w:rsid w:val="00B4419C"/>
    <w:rsid w:val="00B47822"/>
    <w:rsid w:val="00B50924"/>
    <w:rsid w:val="00B5095B"/>
    <w:rsid w:val="00B53376"/>
    <w:rsid w:val="00B5434E"/>
    <w:rsid w:val="00B55A3B"/>
    <w:rsid w:val="00B61CF0"/>
    <w:rsid w:val="00B61F66"/>
    <w:rsid w:val="00B62173"/>
    <w:rsid w:val="00B62658"/>
    <w:rsid w:val="00B7151D"/>
    <w:rsid w:val="00B71F49"/>
    <w:rsid w:val="00B732A4"/>
    <w:rsid w:val="00B74E29"/>
    <w:rsid w:val="00B74E9A"/>
    <w:rsid w:val="00B76900"/>
    <w:rsid w:val="00B775F2"/>
    <w:rsid w:val="00B80657"/>
    <w:rsid w:val="00B816DC"/>
    <w:rsid w:val="00B81954"/>
    <w:rsid w:val="00B81BF1"/>
    <w:rsid w:val="00B83BCC"/>
    <w:rsid w:val="00B84E91"/>
    <w:rsid w:val="00B90ED4"/>
    <w:rsid w:val="00B957D0"/>
    <w:rsid w:val="00B96B73"/>
    <w:rsid w:val="00B973FE"/>
    <w:rsid w:val="00BA21F4"/>
    <w:rsid w:val="00BA4428"/>
    <w:rsid w:val="00BA6503"/>
    <w:rsid w:val="00BA7802"/>
    <w:rsid w:val="00BB567B"/>
    <w:rsid w:val="00BB6078"/>
    <w:rsid w:val="00BB6FEA"/>
    <w:rsid w:val="00BB772C"/>
    <w:rsid w:val="00BC05B0"/>
    <w:rsid w:val="00BC07B4"/>
    <w:rsid w:val="00BC1251"/>
    <w:rsid w:val="00BC385C"/>
    <w:rsid w:val="00BD010E"/>
    <w:rsid w:val="00BD0BD7"/>
    <w:rsid w:val="00BD1831"/>
    <w:rsid w:val="00BD1CBA"/>
    <w:rsid w:val="00BD3FD3"/>
    <w:rsid w:val="00BD46FA"/>
    <w:rsid w:val="00BD53B8"/>
    <w:rsid w:val="00BE0D21"/>
    <w:rsid w:val="00BE14E6"/>
    <w:rsid w:val="00BE220A"/>
    <w:rsid w:val="00BE2F3F"/>
    <w:rsid w:val="00BE34B6"/>
    <w:rsid w:val="00BE68AE"/>
    <w:rsid w:val="00BE6973"/>
    <w:rsid w:val="00BE69B7"/>
    <w:rsid w:val="00BF11A7"/>
    <w:rsid w:val="00BF1272"/>
    <w:rsid w:val="00BF3711"/>
    <w:rsid w:val="00BF49E2"/>
    <w:rsid w:val="00BF567D"/>
    <w:rsid w:val="00BF731D"/>
    <w:rsid w:val="00C00C4D"/>
    <w:rsid w:val="00C07867"/>
    <w:rsid w:val="00C11A8E"/>
    <w:rsid w:val="00C11F78"/>
    <w:rsid w:val="00C1232F"/>
    <w:rsid w:val="00C1364D"/>
    <w:rsid w:val="00C13775"/>
    <w:rsid w:val="00C141EE"/>
    <w:rsid w:val="00C17255"/>
    <w:rsid w:val="00C2240D"/>
    <w:rsid w:val="00C238FC"/>
    <w:rsid w:val="00C24A9F"/>
    <w:rsid w:val="00C25DD5"/>
    <w:rsid w:val="00C30519"/>
    <w:rsid w:val="00C354B3"/>
    <w:rsid w:val="00C35F4C"/>
    <w:rsid w:val="00C44DB1"/>
    <w:rsid w:val="00C45A76"/>
    <w:rsid w:val="00C46AE5"/>
    <w:rsid w:val="00C51D6C"/>
    <w:rsid w:val="00C52247"/>
    <w:rsid w:val="00C54704"/>
    <w:rsid w:val="00C56F05"/>
    <w:rsid w:val="00C57891"/>
    <w:rsid w:val="00C578C8"/>
    <w:rsid w:val="00C65B4A"/>
    <w:rsid w:val="00C668F6"/>
    <w:rsid w:val="00C66C9E"/>
    <w:rsid w:val="00C7054A"/>
    <w:rsid w:val="00C70CFC"/>
    <w:rsid w:val="00C71418"/>
    <w:rsid w:val="00C7527F"/>
    <w:rsid w:val="00C75358"/>
    <w:rsid w:val="00C75B6F"/>
    <w:rsid w:val="00C76B2B"/>
    <w:rsid w:val="00C81D46"/>
    <w:rsid w:val="00C825B4"/>
    <w:rsid w:val="00C84624"/>
    <w:rsid w:val="00C859A4"/>
    <w:rsid w:val="00C93AC7"/>
    <w:rsid w:val="00CA1CDB"/>
    <w:rsid w:val="00CA21A3"/>
    <w:rsid w:val="00CA29D0"/>
    <w:rsid w:val="00CA349B"/>
    <w:rsid w:val="00CA35F1"/>
    <w:rsid w:val="00CA4CB0"/>
    <w:rsid w:val="00CB4C6E"/>
    <w:rsid w:val="00CB6F0A"/>
    <w:rsid w:val="00CB7DD6"/>
    <w:rsid w:val="00CC0B80"/>
    <w:rsid w:val="00CC6406"/>
    <w:rsid w:val="00CD3AC7"/>
    <w:rsid w:val="00CD4169"/>
    <w:rsid w:val="00CD66ED"/>
    <w:rsid w:val="00CE5DC7"/>
    <w:rsid w:val="00CE7E73"/>
    <w:rsid w:val="00CF0220"/>
    <w:rsid w:val="00CF3B09"/>
    <w:rsid w:val="00CF3EBD"/>
    <w:rsid w:val="00CF4366"/>
    <w:rsid w:val="00CF4B97"/>
    <w:rsid w:val="00CF4D5F"/>
    <w:rsid w:val="00CF6E2E"/>
    <w:rsid w:val="00CF6FF1"/>
    <w:rsid w:val="00CF715D"/>
    <w:rsid w:val="00CF7DF7"/>
    <w:rsid w:val="00D001B4"/>
    <w:rsid w:val="00D00AD1"/>
    <w:rsid w:val="00D017FD"/>
    <w:rsid w:val="00D061E7"/>
    <w:rsid w:val="00D117A6"/>
    <w:rsid w:val="00D13718"/>
    <w:rsid w:val="00D13F90"/>
    <w:rsid w:val="00D14E34"/>
    <w:rsid w:val="00D164A8"/>
    <w:rsid w:val="00D2282F"/>
    <w:rsid w:val="00D26829"/>
    <w:rsid w:val="00D324AE"/>
    <w:rsid w:val="00D34C75"/>
    <w:rsid w:val="00D364DF"/>
    <w:rsid w:val="00D42396"/>
    <w:rsid w:val="00D529CD"/>
    <w:rsid w:val="00D5315D"/>
    <w:rsid w:val="00D537D3"/>
    <w:rsid w:val="00D622CB"/>
    <w:rsid w:val="00D70C9D"/>
    <w:rsid w:val="00D70CA5"/>
    <w:rsid w:val="00D7155E"/>
    <w:rsid w:val="00D73353"/>
    <w:rsid w:val="00D7395D"/>
    <w:rsid w:val="00D73A98"/>
    <w:rsid w:val="00D74BC8"/>
    <w:rsid w:val="00D75F20"/>
    <w:rsid w:val="00D80B16"/>
    <w:rsid w:val="00D85EEE"/>
    <w:rsid w:val="00D87143"/>
    <w:rsid w:val="00D90729"/>
    <w:rsid w:val="00D93218"/>
    <w:rsid w:val="00D94A8A"/>
    <w:rsid w:val="00D975C8"/>
    <w:rsid w:val="00DA2967"/>
    <w:rsid w:val="00DA3AB5"/>
    <w:rsid w:val="00DA5CB3"/>
    <w:rsid w:val="00DA63D9"/>
    <w:rsid w:val="00DA7B3C"/>
    <w:rsid w:val="00DB6F6A"/>
    <w:rsid w:val="00DC0B08"/>
    <w:rsid w:val="00DC255F"/>
    <w:rsid w:val="00DC267D"/>
    <w:rsid w:val="00DC45A8"/>
    <w:rsid w:val="00DC4F2F"/>
    <w:rsid w:val="00DC585F"/>
    <w:rsid w:val="00DC5FD3"/>
    <w:rsid w:val="00DD000D"/>
    <w:rsid w:val="00DD27C0"/>
    <w:rsid w:val="00DD2EA9"/>
    <w:rsid w:val="00DD3F64"/>
    <w:rsid w:val="00DD4670"/>
    <w:rsid w:val="00DD51AA"/>
    <w:rsid w:val="00DD6966"/>
    <w:rsid w:val="00DE2399"/>
    <w:rsid w:val="00DE2A5B"/>
    <w:rsid w:val="00DE3305"/>
    <w:rsid w:val="00DE4564"/>
    <w:rsid w:val="00DE4E2A"/>
    <w:rsid w:val="00DE5EFC"/>
    <w:rsid w:val="00DF01BD"/>
    <w:rsid w:val="00DF0A27"/>
    <w:rsid w:val="00DF1E2E"/>
    <w:rsid w:val="00DF28DD"/>
    <w:rsid w:val="00DF347D"/>
    <w:rsid w:val="00DF3728"/>
    <w:rsid w:val="00DF73B6"/>
    <w:rsid w:val="00E06204"/>
    <w:rsid w:val="00E07E83"/>
    <w:rsid w:val="00E07EAF"/>
    <w:rsid w:val="00E1000D"/>
    <w:rsid w:val="00E13CE6"/>
    <w:rsid w:val="00E14E66"/>
    <w:rsid w:val="00E162FC"/>
    <w:rsid w:val="00E21F15"/>
    <w:rsid w:val="00E23A25"/>
    <w:rsid w:val="00E2430C"/>
    <w:rsid w:val="00E265D2"/>
    <w:rsid w:val="00E320A6"/>
    <w:rsid w:val="00E33FF7"/>
    <w:rsid w:val="00E342B5"/>
    <w:rsid w:val="00E371A5"/>
    <w:rsid w:val="00E41111"/>
    <w:rsid w:val="00E418FC"/>
    <w:rsid w:val="00E4783D"/>
    <w:rsid w:val="00E506C3"/>
    <w:rsid w:val="00E51841"/>
    <w:rsid w:val="00E53907"/>
    <w:rsid w:val="00E5454A"/>
    <w:rsid w:val="00E54F47"/>
    <w:rsid w:val="00E5544D"/>
    <w:rsid w:val="00E57EA6"/>
    <w:rsid w:val="00E62232"/>
    <w:rsid w:val="00E629B5"/>
    <w:rsid w:val="00E63ED1"/>
    <w:rsid w:val="00E66626"/>
    <w:rsid w:val="00E66D17"/>
    <w:rsid w:val="00E70BD7"/>
    <w:rsid w:val="00E71527"/>
    <w:rsid w:val="00E72B60"/>
    <w:rsid w:val="00E76AC1"/>
    <w:rsid w:val="00E773FF"/>
    <w:rsid w:val="00E81D96"/>
    <w:rsid w:val="00E8223E"/>
    <w:rsid w:val="00E8265A"/>
    <w:rsid w:val="00E8286B"/>
    <w:rsid w:val="00E90765"/>
    <w:rsid w:val="00E9243B"/>
    <w:rsid w:val="00E94E2E"/>
    <w:rsid w:val="00E954FE"/>
    <w:rsid w:val="00EA00F1"/>
    <w:rsid w:val="00EA3940"/>
    <w:rsid w:val="00EA3951"/>
    <w:rsid w:val="00EA6458"/>
    <w:rsid w:val="00EA7256"/>
    <w:rsid w:val="00EA75E1"/>
    <w:rsid w:val="00EB0F22"/>
    <w:rsid w:val="00EB1097"/>
    <w:rsid w:val="00EB2A00"/>
    <w:rsid w:val="00EB48A1"/>
    <w:rsid w:val="00EB603E"/>
    <w:rsid w:val="00EC05FE"/>
    <w:rsid w:val="00EC065C"/>
    <w:rsid w:val="00EC1CC5"/>
    <w:rsid w:val="00EC43E1"/>
    <w:rsid w:val="00EC4BEC"/>
    <w:rsid w:val="00ED249F"/>
    <w:rsid w:val="00ED2DDB"/>
    <w:rsid w:val="00ED462C"/>
    <w:rsid w:val="00EE0A93"/>
    <w:rsid w:val="00EE18D2"/>
    <w:rsid w:val="00EE4D11"/>
    <w:rsid w:val="00EE79AC"/>
    <w:rsid w:val="00EE7F01"/>
    <w:rsid w:val="00EF0549"/>
    <w:rsid w:val="00EF0BB8"/>
    <w:rsid w:val="00EF1524"/>
    <w:rsid w:val="00EF22BD"/>
    <w:rsid w:val="00EF3F9F"/>
    <w:rsid w:val="00EF602E"/>
    <w:rsid w:val="00EF60AA"/>
    <w:rsid w:val="00F00054"/>
    <w:rsid w:val="00F00A20"/>
    <w:rsid w:val="00F01B5C"/>
    <w:rsid w:val="00F0450C"/>
    <w:rsid w:val="00F049EC"/>
    <w:rsid w:val="00F04BD7"/>
    <w:rsid w:val="00F05A61"/>
    <w:rsid w:val="00F05C54"/>
    <w:rsid w:val="00F10EE5"/>
    <w:rsid w:val="00F11F9C"/>
    <w:rsid w:val="00F1509D"/>
    <w:rsid w:val="00F16B15"/>
    <w:rsid w:val="00F1709E"/>
    <w:rsid w:val="00F1789F"/>
    <w:rsid w:val="00F21899"/>
    <w:rsid w:val="00F22823"/>
    <w:rsid w:val="00F236ED"/>
    <w:rsid w:val="00F27BBE"/>
    <w:rsid w:val="00F31813"/>
    <w:rsid w:val="00F32B22"/>
    <w:rsid w:val="00F33A40"/>
    <w:rsid w:val="00F37017"/>
    <w:rsid w:val="00F40C4D"/>
    <w:rsid w:val="00F4118E"/>
    <w:rsid w:val="00F42116"/>
    <w:rsid w:val="00F43F61"/>
    <w:rsid w:val="00F46747"/>
    <w:rsid w:val="00F51518"/>
    <w:rsid w:val="00F522C3"/>
    <w:rsid w:val="00F5364C"/>
    <w:rsid w:val="00F550E5"/>
    <w:rsid w:val="00F56796"/>
    <w:rsid w:val="00F57931"/>
    <w:rsid w:val="00F60B69"/>
    <w:rsid w:val="00F60BC4"/>
    <w:rsid w:val="00F66A71"/>
    <w:rsid w:val="00F710B2"/>
    <w:rsid w:val="00F711D1"/>
    <w:rsid w:val="00F71509"/>
    <w:rsid w:val="00F73CD5"/>
    <w:rsid w:val="00F741FE"/>
    <w:rsid w:val="00F804CC"/>
    <w:rsid w:val="00F8075B"/>
    <w:rsid w:val="00F81229"/>
    <w:rsid w:val="00F83958"/>
    <w:rsid w:val="00F84110"/>
    <w:rsid w:val="00F84D0E"/>
    <w:rsid w:val="00F84FBA"/>
    <w:rsid w:val="00F86BDA"/>
    <w:rsid w:val="00F94BA4"/>
    <w:rsid w:val="00F96B8C"/>
    <w:rsid w:val="00FA3448"/>
    <w:rsid w:val="00FA5462"/>
    <w:rsid w:val="00FA55D5"/>
    <w:rsid w:val="00FA742D"/>
    <w:rsid w:val="00FB584C"/>
    <w:rsid w:val="00FC4CF0"/>
    <w:rsid w:val="00FC4FBB"/>
    <w:rsid w:val="00FC5F58"/>
    <w:rsid w:val="00FD0E3C"/>
    <w:rsid w:val="00FD2F1F"/>
    <w:rsid w:val="00FD3449"/>
    <w:rsid w:val="00FD4A4A"/>
    <w:rsid w:val="00FD6C7A"/>
    <w:rsid w:val="00FD72E1"/>
    <w:rsid w:val="00FD7EE0"/>
    <w:rsid w:val="00FE2405"/>
    <w:rsid w:val="00FE33BD"/>
    <w:rsid w:val="00FE35E5"/>
    <w:rsid w:val="00FF3A40"/>
    <w:rsid w:val="00FF52B2"/>
    <w:rsid w:val="00FF5E7B"/>
    <w:rsid w:val="00FF6C57"/>
    <w:rsid w:val="47840DA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3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E29"/>
    <w:pPr>
      <w:spacing w:line="240"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416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4169"/>
    <w:rPr>
      <w:rFonts w:ascii="Tahoma" w:hAnsi="Tahoma" w:cs="Tahoma"/>
      <w:sz w:val="16"/>
      <w:szCs w:val="16"/>
    </w:rPr>
  </w:style>
  <w:style w:type="table" w:styleId="Sombreadoclaro">
    <w:name w:val="Light Shading"/>
    <w:basedOn w:val="Tablanormal"/>
    <w:uiPriority w:val="60"/>
    <w:rsid w:val="00CF6FF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C35F4C"/>
    <w:pPr>
      <w:spacing w:before="100" w:beforeAutospacing="1" w:after="100" w:afterAutospacing="1"/>
    </w:pPr>
    <w:rPr>
      <w:rFonts w:eastAsia="Times New Roman" w:cs="Times New Roman"/>
      <w:szCs w:val="24"/>
      <w:lang w:eastAsia="es-419"/>
    </w:rPr>
  </w:style>
  <w:style w:type="paragraph" w:styleId="Prrafodelista">
    <w:name w:val="List Paragraph"/>
    <w:basedOn w:val="Normal"/>
    <w:uiPriority w:val="34"/>
    <w:qFormat/>
    <w:rsid w:val="00030555"/>
    <w:pPr>
      <w:ind w:left="720"/>
      <w:contextualSpacing/>
    </w:pPr>
  </w:style>
  <w:style w:type="character" w:styleId="Hipervnculo">
    <w:name w:val="Hyperlink"/>
    <w:basedOn w:val="Fuentedeprrafopredeter"/>
    <w:uiPriority w:val="99"/>
    <w:unhideWhenUsed/>
    <w:rsid w:val="00005523"/>
    <w:rPr>
      <w:color w:val="0000FF" w:themeColor="hyperlink"/>
      <w:u w:val="single"/>
    </w:rPr>
  </w:style>
  <w:style w:type="character" w:customStyle="1" w:styleId="il">
    <w:name w:val="il"/>
    <w:basedOn w:val="Fuentedeprrafopredeter"/>
    <w:rsid w:val="00005523"/>
  </w:style>
  <w:style w:type="paragraph" w:customStyle="1" w:styleId="Default">
    <w:name w:val="Default"/>
    <w:rsid w:val="00F22823"/>
    <w:pPr>
      <w:autoSpaceDE w:val="0"/>
      <w:autoSpaceDN w:val="0"/>
      <w:adjustRightInd w:val="0"/>
      <w:spacing w:after="0" w:line="240" w:lineRule="auto"/>
    </w:pPr>
    <w:rPr>
      <w:rFonts w:ascii="Tahoma" w:hAnsi="Tahoma" w:cs="Tahoma"/>
      <w:color w:val="000000"/>
      <w:sz w:val="24"/>
      <w:szCs w:val="24"/>
    </w:rPr>
  </w:style>
  <w:style w:type="paragraph" w:styleId="Encabezado">
    <w:name w:val="header"/>
    <w:basedOn w:val="Normal"/>
    <w:link w:val="EncabezadoCar"/>
    <w:uiPriority w:val="99"/>
    <w:unhideWhenUsed/>
    <w:rsid w:val="00F46747"/>
    <w:pPr>
      <w:tabs>
        <w:tab w:val="center" w:pos="4252"/>
        <w:tab w:val="right" w:pos="8504"/>
      </w:tabs>
      <w:spacing w:after="0"/>
    </w:pPr>
  </w:style>
  <w:style w:type="character" w:customStyle="1" w:styleId="EncabezadoCar">
    <w:name w:val="Encabezado Car"/>
    <w:basedOn w:val="Fuentedeprrafopredeter"/>
    <w:link w:val="Encabezado"/>
    <w:uiPriority w:val="99"/>
    <w:rsid w:val="00F46747"/>
    <w:rPr>
      <w:rFonts w:ascii="Times New Roman" w:hAnsi="Times New Roman"/>
      <w:sz w:val="24"/>
    </w:rPr>
  </w:style>
  <w:style w:type="paragraph" w:styleId="Piedepgina">
    <w:name w:val="footer"/>
    <w:basedOn w:val="Normal"/>
    <w:link w:val="PiedepginaCar"/>
    <w:uiPriority w:val="99"/>
    <w:unhideWhenUsed/>
    <w:rsid w:val="00F46747"/>
    <w:pPr>
      <w:tabs>
        <w:tab w:val="center" w:pos="4252"/>
        <w:tab w:val="right" w:pos="8504"/>
      </w:tabs>
      <w:spacing w:after="0"/>
    </w:pPr>
  </w:style>
  <w:style w:type="character" w:customStyle="1" w:styleId="PiedepginaCar">
    <w:name w:val="Pie de página Car"/>
    <w:basedOn w:val="Fuentedeprrafopredeter"/>
    <w:link w:val="Piedepgina"/>
    <w:uiPriority w:val="99"/>
    <w:rsid w:val="00F46747"/>
    <w:rPr>
      <w:rFonts w:ascii="Times New Roman" w:hAnsi="Times New Roman"/>
      <w:sz w:val="24"/>
    </w:rPr>
  </w:style>
  <w:style w:type="character" w:styleId="Refdecomentario">
    <w:name w:val="annotation reference"/>
    <w:basedOn w:val="Fuentedeprrafopredeter"/>
    <w:uiPriority w:val="99"/>
    <w:semiHidden/>
    <w:unhideWhenUsed/>
    <w:rsid w:val="00270CC0"/>
    <w:rPr>
      <w:sz w:val="16"/>
      <w:szCs w:val="16"/>
    </w:rPr>
  </w:style>
  <w:style w:type="paragraph" w:styleId="Textocomentario">
    <w:name w:val="annotation text"/>
    <w:basedOn w:val="Normal"/>
    <w:link w:val="TextocomentarioCar"/>
    <w:uiPriority w:val="99"/>
    <w:semiHidden/>
    <w:unhideWhenUsed/>
    <w:rsid w:val="00270CC0"/>
    <w:rPr>
      <w:sz w:val="20"/>
      <w:szCs w:val="20"/>
    </w:rPr>
  </w:style>
  <w:style w:type="character" w:customStyle="1" w:styleId="TextocomentarioCar">
    <w:name w:val="Texto comentario Car"/>
    <w:basedOn w:val="Fuentedeprrafopredeter"/>
    <w:link w:val="Textocomentario"/>
    <w:uiPriority w:val="99"/>
    <w:semiHidden/>
    <w:rsid w:val="00270CC0"/>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270CC0"/>
    <w:rPr>
      <w:b/>
      <w:bCs/>
    </w:rPr>
  </w:style>
  <w:style w:type="character" w:customStyle="1" w:styleId="AsuntodelcomentarioCar">
    <w:name w:val="Asunto del comentario Car"/>
    <w:basedOn w:val="TextocomentarioCar"/>
    <w:link w:val="Asuntodelcomentario"/>
    <w:uiPriority w:val="99"/>
    <w:semiHidden/>
    <w:rsid w:val="00270CC0"/>
    <w:rPr>
      <w:rFonts w:ascii="Times New Roman" w:hAnsi="Times New Roman"/>
      <w:b/>
      <w:bCs/>
      <w:sz w:val="20"/>
      <w:szCs w:val="20"/>
    </w:rPr>
  </w:style>
  <w:style w:type="paragraph" w:styleId="Revisin">
    <w:name w:val="Revision"/>
    <w:hidden/>
    <w:uiPriority w:val="99"/>
    <w:semiHidden/>
    <w:rsid w:val="00FE33BD"/>
    <w:pPr>
      <w:spacing w:after="0" w:line="240" w:lineRule="auto"/>
    </w:pPr>
    <w:rPr>
      <w:rFonts w:ascii="Times New Roman" w:hAnsi="Times New Roman"/>
      <w:sz w:val="24"/>
    </w:rPr>
  </w:style>
  <w:style w:type="table" w:customStyle="1" w:styleId="Cuadrculadetablaclara1">
    <w:name w:val="Cuadrícula de tabla clara1"/>
    <w:basedOn w:val="Tablanormal"/>
    <w:uiPriority w:val="40"/>
    <w:rsid w:val="00BD0BD7"/>
    <w:pPr>
      <w:spacing w:after="0" w:line="240" w:lineRule="auto"/>
    </w:pPr>
    <w:rPr>
      <w:lang w:val="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31">
    <w:name w:val="Tabla normal 31"/>
    <w:basedOn w:val="Tablanormal"/>
    <w:uiPriority w:val="43"/>
    <w:rsid w:val="00BD0BD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
    <w:name w:val="Table Grid"/>
    <w:basedOn w:val="Tablanormal"/>
    <w:uiPriority w:val="59"/>
    <w:unhideWhenUsed/>
    <w:rsid w:val="001C0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441209"/>
    <w:rPr>
      <w:i/>
      <w:iCs/>
      <w:color w:val="1F497D" w:themeColor="text2"/>
      <w:sz w:val="18"/>
      <w:szCs w:val="18"/>
    </w:rPr>
  </w:style>
  <w:style w:type="table" w:customStyle="1" w:styleId="Tablanormal21">
    <w:name w:val="Tabla normal 21"/>
    <w:basedOn w:val="Tablanormal"/>
    <w:uiPriority w:val="42"/>
    <w:rsid w:val="00F00A2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41">
    <w:name w:val="Tabla normal 41"/>
    <w:basedOn w:val="Tablanormal"/>
    <w:uiPriority w:val="44"/>
    <w:rsid w:val="00F00A2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cinsinresolver1">
    <w:name w:val="Mención sin resolver1"/>
    <w:basedOn w:val="Fuentedeprrafopredeter"/>
    <w:uiPriority w:val="99"/>
    <w:semiHidden/>
    <w:unhideWhenUsed/>
    <w:rsid w:val="0006471D"/>
    <w:rPr>
      <w:color w:val="605E5C"/>
      <w:shd w:val="clear" w:color="auto" w:fill="E1DFDD"/>
    </w:rPr>
  </w:style>
  <w:style w:type="character" w:customStyle="1" w:styleId="Mencinsinresolver2">
    <w:name w:val="Mención sin resolver2"/>
    <w:basedOn w:val="Fuentedeprrafopredeter"/>
    <w:uiPriority w:val="99"/>
    <w:semiHidden/>
    <w:unhideWhenUsed/>
    <w:rsid w:val="00B15A75"/>
    <w:rPr>
      <w:color w:val="605E5C"/>
      <w:shd w:val="clear" w:color="auto" w:fill="E1DFDD"/>
    </w:rPr>
  </w:style>
  <w:style w:type="paragraph" w:styleId="Textonotapie">
    <w:name w:val="footnote text"/>
    <w:basedOn w:val="Normal"/>
    <w:link w:val="TextonotapieCar"/>
    <w:uiPriority w:val="99"/>
    <w:semiHidden/>
    <w:unhideWhenUsed/>
    <w:rsid w:val="00B15A75"/>
    <w:pPr>
      <w:spacing w:after="0"/>
    </w:pPr>
    <w:rPr>
      <w:sz w:val="20"/>
      <w:szCs w:val="20"/>
    </w:rPr>
  </w:style>
  <w:style w:type="character" w:customStyle="1" w:styleId="TextonotapieCar">
    <w:name w:val="Texto nota pie Car"/>
    <w:basedOn w:val="Fuentedeprrafopredeter"/>
    <w:link w:val="Textonotapie"/>
    <w:uiPriority w:val="99"/>
    <w:semiHidden/>
    <w:rsid w:val="00B15A75"/>
    <w:rPr>
      <w:rFonts w:ascii="Times New Roman" w:hAnsi="Times New Roman"/>
      <w:sz w:val="20"/>
      <w:szCs w:val="20"/>
    </w:rPr>
  </w:style>
  <w:style w:type="character" w:styleId="Refdenotaalpie">
    <w:name w:val="footnote reference"/>
    <w:basedOn w:val="Fuentedeprrafopredeter"/>
    <w:uiPriority w:val="99"/>
    <w:semiHidden/>
    <w:unhideWhenUsed/>
    <w:rsid w:val="00B15A75"/>
    <w:rPr>
      <w:vertAlign w:val="superscript"/>
    </w:rPr>
  </w:style>
  <w:style w:type="character" w:styleId="Hipervnculovisitado">
    <w:name w:val="FollowedHyperlink"/>
    <w:basedOn w:val="Fuentedeprrafopredeter"/>
    <w:uiPriority w:val="99"/>
    <w:semiHidden/>
    <w:unhideWhenUsed/>
    <w:rsid w:val="00DF37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79907">
      <w:bodyDiv w:val="1"/>
      <w:marLeft w:val="0"/>
      <w:marRight w:val="0"/>
      <w:marTop w:val="0"/>
      <w:marBottom w:val="0"/>
      <w:divBdr>
        <w:top w:val="none" w:sz="0" w:space="0" w:color="auto"/>
        <w:left w:val="none" w:sz="0" w:space="0" w:color="auto"/>
        <w:bottom w:val="none" w:sz="0" w:space="0" w:color="auto"/>
        <w:right w:val="none" w:sz="0" w:space="0" w:color="auto"/>
      </w:divBdr>
    </w:div>
    <w:div w:id="187568418">
      <w:bodyDiv w:val="1"/>
      <w:marLeft w:val="0"/>
      <w:marRight w:val="0"/>
      <w:marTop w:val="0"/>
      <w:marBottom w:val="0"/>
      <w:divBdr>
        <w:top w:val="none" w:sz="0" w:space="0" w:color="auto"/>
        <w:left w:val="none" w:sz="0" w:space="0" w:color="auto"/>
        <w:bottom w:val="none" w:sz="0" w:space="0" w:color="auto"/>
        <w:right w:val="none" w:sz="0" w:space="0" w:color="auto"/>
      </w:divBdr>
    </w:div>
    <w:div w:id="258291408">
      <w:bodyDiv w:val="1"/>
      <w:marLeft w:val="0"/>
      <w:marRight w:val="0"/>
      <w:marTop w:val="0"/>
      <w:marBottom w:val="0"/>
      <w:divBdr>
        <w:top w:val="none" w:sz="0" w:space="0" w:color="auto"/>
        <w:left w:val="none" w:sz="0" w:space="0" w:color="auto"/>
        <w:bottom w:val="none" w:sz="0" w:space="0" w:color="auto"/>
        <w:right w:val="none" w:sz="0" w:space="0" w:color="auto"/>
      </w:divBdr>
    </w:div>
    <w:div w:id="272056884">
      <w:bodyDiv w:val="1"/>
      <w:marLeft w:val="0"/>
      <w:marRight w:val="0"/>
      <w:marTop w:val="0"/>
      <w:marBottom w:val="0"/>
      <w:divBdr>
        <w:top w:val="none" w:sz="0" w:space="0" w:color="auto"/>
        <w:left w:val="none" w:sz="0" w:space="0" w:color="auto"/>
        <w:bottom w:val="none" w:sz="0" w:space="0" w:color="auto"/>
        <w:right w:val="none" w:sz="0" w:space="0" w:color="auto"/>
      </w:divBdr>
    </w:div>
    <w:div w:id="432550138">
      <w:bodyDiv w:val="1"/>
      <w:marLeft w:val="0"/>
      <w:marRight w:val="0"/>
      <w:marTop w:val="0"/>
      <w:marBottom w:val="0"/>
      <w:divBdr>
        <w:top w:val="none" w:sz="0" w:space="0" w:color="auto"/>
        <w:left w:val="none" w:sz="0" w:space="0" w:color="auto"/>
        <w:bottom w:val="none" w:sz="0" w:space="0" w:color="auto"/>
        <w:right w:val="none" w:sz="0" w:space="0" w:color="auto"/>
      </w:divBdr>
    </w:div>
    <w:div w:id="549925321">
      <w:bodyDiv w:val="1"/>
      <w:marLeft w:val="0"/>
      <w:marRight w:val="0"/>
      <w:marTop w:val="0"/>
      <w:marBottom w:val="0"/>
      <w:divBdr>
        <w:top w:val="none" w:sz="0" w:space="0" w:color="auto"/>
        <w:left w:val="none" w:sz="0" w:space="0" w:color="auto"/>
        <w:bottom w:val="none" w:sz="0" w:space="0" w:color="auto"/>
        <w:right w:val="none" w:sz="0" w:space="0" w:color="auto"/>
      </w:divBdr>
    </w:div>
    <w:div w:id="601031563">
      <w:bodyDiv w:val="1"/>
      <w:marLeft w:val="0"/>
      <w:marRight w:val="0"/>
      <w:marTop w:val="0"/>
      <w:marBottom w:val="0"/>
      <w:divBdr>
        <w:top w:val="none" w:sz="0" w:space="0" w:color="auto"/>
        <w:left w:val="none" w:sz="0" w:space="0" w:color="auto"/>
        <w:bottom w:val="none" w:sz="0" w:space="0" w:color="auto"/>
        <w:right w:val="none" w:sz="0" w:space="0" w:color="auto"/>
      </w:divBdr>
    </w:div>
    <w:div w:id="609823158">
      <w:bodyDiv w:val="1"/>
      <w:marLeft w:val="0"/>
      <w:marRight w:val="0"/>
      <w:marTop w:val="0"/>
      <w:marBottom w:val="0"/>
      <w:divBdr>
        <w:top w:val="none" w:sz="0" w:space="0" w:color="auto"/>
        <w:left w:val="none" w:sz="0" w:space="0" w:color="auto"/>
        <w:bottom w:val="none" w:sz="0" w:space="0" w:color="auto"/>
        <w:right w:val="none" w:sz="0" w:space="0" w:color="auto"/>
      </w:divBdr>
    </w:div>
    <w:div w:id="655568452">
      <w:bodyDiv w:val="1"/>
      <w:marLeft w:val="0"/>
      <w:marRight w:val="0"/>
      <w:marTop w:val="0"/>
      <w:marBottom w:val="0"/>
      <w:divBdr>
        <w:top w:val="none" w:sz="0" w:space="0" w:color="auto"/>
        <w:left w:val="none" w:sz="0" w:space="0" w:color="auto"/>
        <w:bottom w:val="none" w:sz="0" w:space="0" w:color="auto"/>
        <w:right w:val="none" w:sz="0" w:space="0" w:color="auto"/>
      </w:divBdr>
    </w:div>
    <w:div w:id="966355115">
      <w:bodyDiv w:val="1"/>
      <w:marLeft w:val="0"/>
      <w:marRight w:val="0"/>
      <w:marTop w:val="0"/>
      <w:marBottom w:val="0"/>
      <w:divBdr>
        <w:top w:val="none" w:sz="0" w:space="0" w:color="auto"/>
        <w:left w:val="none" w:sz="0" w:space="0" w:color="auto"/>
        <w:bottom w:val="none" w:sz="0" w:space="0" w:color="auto"/>
        <w:right w:val="none" w:sz="0" w:space="0" w:color="auto"/>
      </w:divBdr>
    </w:div>
    <w:div w:id="1042942958">
      <w:bodyDiv w:val="1"/>
      <w:marLeft w:val="0"/>
      <w:marRight w:val="0"/>
      <w:marTop w:val="0"/>
      <w:marBottom w:val="0"/>
      <w:divBdr>
        <w:top w:val="none" w:sz="0" w:space="0" w:color="auto"/>
        <w:left w:val="none" w:sz="0" w:space="0" w:color="auto"/>
        <w:bottom w:val="none" w:sz="0" w:space="0" w:color="auto"/>
        <w:right w:val="none" w:sz="0" w:space="0" w:color="auto"/>
      </w:divBdr>
    </w:div>
    <w:div w:id="1175530601">
      <w:bodyDiv w:val="1"/>
      <w:marLeft w:val="0"/>
      <w:marRight w:val="0"/>
      <w:marTop w:val="0"/>
      <w:marBottom w:val="0"/>
      <w:divBdr>
        <w:top w:val="none" w:sz="0" w:space="0" w:color="auto"/>
        <w:left w:val="none" w:sz="0" w:space="0" w:color="auto"/>
        <w:bottom w:val="none" w:sz="0" w:space="0" w:color="auto"/>
        <w:right w:val="none" w:sz="0" w:space="0" w:color="auto"/>
      </w:divBdr>
    </w:div>
    <w:div w:id="1318920399">
      <w:bodyDiv w:val="1"/>
      <w:marLeft w:val="0"/>
      <w:marRight w:val="0"/>
      <w:marTop w:val="0"/>
      <w:marBottom w:val="0"/>
      <w:divBdr>
        <w:top w:val="none" w:sz="0" w:space="0" w:color="auto"/>
        <w:left w:val="none" w:sz="0" w:space="0" w:color="auto"/>
        <w:bottom w:val="none" w:sz="0" w:space="0" w:color="auto"/>
        <w:right w:val="none" w:sz="0" w:space="0" w:color="auto"/>
      </w:divBdr>
    </w:div>
    <w:div w:id="1515337361">
      <w:bodyDiv w:val="1"/>
      <w:marLeft w:val="0"/>
      <w:marRight w:val="0"/>
      <w:marTop w:val="0"/>
      <w:marBottom w:val="0"/>
      <w:divBdr>
        <w:top w:val="none" w:sz="0" w:space="0" w:color="auto"/>
        <w:left w:val="none" w:sz="0" w:space="0" w:color="auto"/>
        <w:bottom w:val="none" w:sz="0" w:space="0" w:color="auto"/>
        <w:right w:val="none" w:sz="0" w:space="0" w:color="auto"/>
      </w:divBdr>
    </w:div>
    <w:div w:id="1526019422">
      <w:bodyDiv w:val="1"/>
      <w:marLeft w:val="0"/>
      <w:marRight w:val="0"/>
      <w:marTop w:val="0"/>
      <w:marBottom w:val="0"/>
      <w:divBdr>
        <w:top w:val="none" w:sz="0" w:space="0" w:color="auto"/>
        <w:left w:val="none" w:sz="0" w:space="0" w:color="auto"/>
        <w:bottom w:val="none" w:sz="0" w:space="0" w:color="auto"/>
        <w:right w:val="none" w:sz="0" w:space="0" w:color="auto"/>
      </w:divBdr>
    </w:div>
    <w:div w:id="1565683010">
      <w:bodyDiv w:val="1"/>
      <w:marLeft w:val="0"/>
      <w:marRight w:val="0"/>
      <w:marTop w:val="0"/>
      <w:marBottom w:val="0"/>
      <w:divBdr>
        <w:top w:val="none" w:sz="0" w:space="0" w:color="auto"/>
        <w:left w:val="none" w:sz="0" w:space="0" w:color="auto"/>
        <w:bottom w:val="none" w:sz="0" w:space="0" w:color="auto"/>
        <w:right w:val="none" w:sz="0" w:space="0" w:color="auto"/>
      </w:divBdr>
    </w:div>
    <w:div w:id="1692952491">
      <w:bodyDiv w:val="1"/>
      <w:marLeft w:val="0"/>
      <w:marRight w:val="0"/>
      <w:marTop w:val="0"/>
      <w:marBottom w:val="0"/>
      <w:divBdr>
        <w:top w:val="none" w:sz="0" w:space="0" w:color="auto"/>
        <w:left w:val="none" w:sz="0" w:space="0" w:color="auto"/>
        <w:bottom w:val="none" w:sz="0" w:space="0" w:color="auto"/>
        <w:right w:val="none" w:sz="0" w:space="0" w:color="auto"/>
      </w:divBdr>
    </w:div>
    <w:div w:id="1700274166">
      <w:bodyDiv w:val="1"/>
      <w:marLeft w:val="0"/>
      <w:marRight w:val="0"/>
      <w:marTop w:val="0"/>
      <w:marBottom w:val="0"/>
      <w:divBdr>
        <w:top w:val="none" w:sz="0" w:space="0" w:color="auto"/>
        <w:left w:val="none" w:sz="0" w:space="0" w:color="auto"/>
        <w:bottom w:val="none" w:sz="0" w:space="0" w:color="auto"/>
        <w:right w:val="none" w:sz="0" w:space="0" w:color="auto"/>
      </w:divBdr>
    </w:div>
    <w:div w:id="1812290950">
      <w:bodyDiv w:val="1"/>
      <w:marLeft w:val="0"/>
      <w:marRight w:val="0"/>
      <w:marTop w:val="0"/>
      <w:marBottom w:val="0"/>
      <w:divBdr>
        <w:top w:val="none" w:sz="0" w:space="0" w:color="auto"/>
        <w:left w:val="none" w:sz="0" w:space="0" w:color="auto"/>
        <w:bottom w:val="none" w:sz="0" w:space="0" w:color="auto"/>
        <w:right w:val="none" w:sz="0" w:space="0" w:color="auto"/>
      </w:divBdr>
    </w:div>
    <w:div w:id="1813060166">
      <w:bodyDiv w:val="1"/>
      <w:marLeft w:val="0"/>
      <w:marRight w:val="0"/>
      <w:marTop w:val="0"/>
      <w:marBottom w:val="0"/>
      <w:divBdr>
        <w:top w:val="none" w:sz="0" w:space="0" w:color="auto"/>
        <w:left w:val="none" w:sz="0" w:space="0" w:color="auto"/>
        <w:bottom w:val="none" w:sz="0" w:space="0" w:color="auto"/>
        <w:right w:val="none" w:sz="0" w:space="0" w:color="auto"/>
      </w:divBdr>
    </w:div>
    <w:div w:id="1823155493">
      <w:bodyDiv w:val="1"/>
      <w:marLeft w:val="0"/>
      <w:marRight w:val="0"/>
      <w:marTop w:val="0"/>
      <w:marBottom w:val="0"/>
      <w:divBdr>
        <w:top w:val="none" w:sz="0" w:space="0" w:color="auto"/>
        <w:left w:val="none" w:sz="0" w:space="0" w:color="auto"/>
        <w:bottom w:val="none" w:sz="0" w:space="0" w:color="auto"/>
        <w:right w:val="none" w:sz="0" w:space="0" w:color="auto"/>
      </w:divBdr>
    </w:div>
    <w:div w:id="2001345198">
      <w:bodyDiv w:val="1"/>
      <w:marLeft w:val="0"/>
      <w:marRight w:val="0"/>
      <w:marTop w:val="0"/>
      <w:marBottom w:val="0"/>
      <w:divBdr>
        <w:top w:val="none" w:sz="0" w:space="0" w:color="auto"/>
        <w:left w:val="none" w:sz="0" w:space="0" w:color="auto"/>
        <w:bottom w:val="none" w:sz="0" w:space="0" w:color="auto"/>
        <w:right w:val="none" w:sz="0" w:space="0" w:color="auto"/>
      </w:divBdr>
    </w:div>
    <w:div w:id="213250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hyperlink" Target="https://doi.org/10.1088/1757-899X/377/1/012063" TargetMode="External"/><Relationship Id="rId26" Type="http://schemas.openxmlformats.org/officeDocument/2006/relationships/hyperlink" Target="https://doi.org/10.22201/fcpys.24484911e.2017.23.58515" TargetMode="External"/><Relationship Id="rId3" Type="http://schemas.openxmlformats.org/officeDocument/2006/relationships/styles" Target="styles.xml"/><Relationship Id="rId21" Type="http://schemas.openxmlformats.org/officeDocument/2006/relationships/hyperlink" Target="https://www.bvs.sa.cr/AMBIENTE/textos/ambiente13.pdf"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doi.org/10.1108/02652328910134590" TargetMode="External"/><Relationship Id="rId25" Type="http://schemas.openxmlformats.org/officeDocument/2006/relationships/hyperlink" Target="https://doi.org/10.18356/a06d92be-es"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nec.go.cr/wwwisis/documentos/INEC/Indicadores_Demograficos_Cantonales/Indicadores_Demograficos_Cantonales_2013.pdf" TargetMode="External"/><Relationship Id="rId20" Type="http://schemas.openxmlformats.org/officeDocument/2006/relationships/hyperlink" Target="http://www.conicit.go.cr/biblioteca/publicaciones/publica_cyt/informes/Indice_Desarrollo_Social_2017.pdf.%20Consultado%20el%2027/10/2019" TargetMode="External"/><Relationship Id="rId29" Type="http://schemas.openxmlformats.org/officeDocument/2006/relationships/hyperlink" Target="http://desarrollohumano.or.cr/mapa-cantonal/index.php/ranking-id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doi.org/10.1016/S1462-0758(00)00006-6"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ya.go.cr/centroDocumetacion/catalogoGeneral/Listado%20de%20ASADAS.pdf" TargetMode="External"/><Relationship Id="rId23" Type="http://schemas.openxmlformats.org/officeDocument/2006/relationships/hyperlink" Target="https://www.un.org/sustainabledevelopment/es/objetivos-de-desarrollo-sostenible/" TargetMode="External"/><Relationship Id="rId28" Type="http://schemas.openxmlformats.org/officeDocument/2006/relationships/hyperlink" Target="https://doi.org/10.1504/ijbir.2012.046628" TargetMode="External"/><Relationship Id="rId36"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s://www.mep.go.cr/indicadores_edu/BOLETINES/01_16.pdf.%20"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s://doi.org/10.2495/WRM110301" TargetMode="External"/><Relationship Id="rId27" Type="http://schemas.openxmlformats.org/officeDocument/2006/relationships/hyperlink" Target="https://doi.org/10.18845/tm.v29i8.2986" TargetMode="External"/><Relationship Id="rId30" Type="http://schemas.openxmlformats.org/officeDocument/2006/relationships/header" Target="header1.xml"/><Relationship Id="rId35"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mailto:erick.centenomora@ucr.ac.cr" TargetMode="External"/><Relationship Id="rId2" Type="http://schemas.openxmlformats.org/officeDocument/2006/relationships/hyperlink" Target="https://orcid.org/0000-0002-4416-0626" TargetMode="External"/><Relationship Id="rId1" Type="http://schemas.openxmlformats.org/officeDocument/2006/relationships/hyperlink" Target="mailto:nidia.cruz@ucr.ac.cr" TargetMode="External"/><Relationship Id="rId4" Type="http://schemas.openxmlformats.org/officeDocument/2006/relationships/hyperlink" Target="https://orcid.org/0000-0001-8806-0355"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ERICK\Dropbox\Articulo%20INIE\Acueductos%20TCU\Sistema%20de%20acueducto%20de%20agua%20potable%20Base%20de%20datos%20analizada%20jul-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RICK\Dropbox\Articulo%20INIE\Acueductos%20TCU\Sistema%20de%20acueducto%20de%20agua%20potable%20Base%20de%20datos%20analizada%20jul-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RICK\Dropbox\Articulo%20INIE\Acueductos%20TCU\Sistema%20de%20acueducto%20de%20agua%20potable%20Base%20de%20datos%20analizada%20jul-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ERICK\Dropbox\UCR\Investigaci&#243;n\Acueductos%20Cartago%20TCU.%20II-2019\Sistema%20de%20acueducto%20de%20agua%20potable%20Base%20de%20datos%20analizada%20jul-201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ERICK\Dropbox\UCR\Investigaci&#243;n\Acueductos%20Cartago%20TCU.%20II-2019\Sistema%20de%20acueducto%20de%20agua%20potable%20Base%20de%20datos%20analizada%20jul-201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ERICK\Dropbox\UCR\Investigaci&#243;n\Acueductos%20Cartago%20TCU.%20II-2019\Sistema%20de%20acueducto%20de%20agua%20potable%20Base%20de%20datos%20analizada%20jul-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66869902131796"/>
          <c:y val="3.214478386700665E-2"/>
          <c:w val="0.67141368198540385"/>
          <c:h val="0.61289738218149692"/>
        </c:manualLayout>
      </c:layout>
      <c:barChart>
        <c:barDir val="bar"/>
        <c:grouping val="percentStacked"/>
        <c:varyColors val="0"/>
        <c:ser>
          <c:idx val="0"/>
          <c:order val="0"/>
          <c:tx>
            <c:strRef>
              <c:f>'Tabla dinámica'!$B$77</c:f>
              <c:strCache>
                <c:ptCount val="1"/>
                <c:pt idx="0">
                  <c:v>Municipalidad</c:v>
                </c:pt>
              </c:strCache>
            </c:strRef>
          </c:tx>
          <c:spPr>
            <a:solidFill>
              <a:srgbClr val="0070C0"/>
            </a:solidFill>
            <a:ln>
              <a:noFill/>
            </a:ln>
            <a:effectLst/>
          </c:spPr>
          <c:invertIfNegative val="0"/>
          <c:dLbls>
            <c:delete val="1"/>
          </c:dLbls>
          <c:cat>
            <c:strRef>
              <c:f>'Tabla dinámica'!$A$78:$A$81</c:f>
              <c:strCache>
                <c:ptCount val="4"/>
                <c:pt idx="0">
                  <c:v>Alvarado</c:v>
                </c:pt>
                <c:pt idx="1">
                  <c:v>Jiménez</c:v>
                </c:pt>
                <c:pt idx="2">
                  <c:v>Oreamuno</c:v>
                </c:pt>
                <c:pt idx="3">
                  <c:v>Turrialba</c:v>
                </c:pt>
              </c:strCache>
            </c:strRef>
          </c:cat>
          <c:val>
            <c:numRef>
              <c:f>'Tabla dinámica'!$B$78:$B$81</c:f>
              <c:numCache>
                <c:formatCode>General</c:formatCode>
                <c:ptCount val="4"/>
                <c:pt idx="0">
                  <c:v>364</c:v>
                </c:pt>
                <c:pt idx="1">
                  <c:v>220</c:v>
                </c:pt>
                <c:pt idx="2">
                  <c:v>360</c:v>
                </c:pt>
                <c:pt idx="3">
                  <c:v>163</c:v>
                </c:pt>
              </c:numCache>
            </c:numRef>
          </c:val>
          <c:extLst>
            <c:ext xmlns:c16="http://schemas.microsoft.com/office/drawing/2014/chart" uri="{C3380CC4-5D6E-409C-BE32-E72D297353CC}">
              <c16:uniqueId val="{00000000-D353-47FC-8D35-6604DD342C35}"/>
            </c:ext>
          </c:extLst>
        </c:ser>
        <c:ser>
          <c:idx val="1"/>
          <c:order val="1"/>
          <c:tx>
            <c:strRef>
              <c:f>'Tabla dinámica'!$C$77</c:f>
              <c:strCache>
                <c:ptCount val="1"/>
                <c:pt idx="0">
                  <c:v>ASADA</c:v>
                </c:pt>
              </c:strCache>
            </c:strRef>
          </c:tx>
          <c:spPr>
            <a:solidFill>
              <a:schemeClr val="accent3">
                <a:lumMod val="75000"/>
              </a:schemeClr>
            </a:solidFill>
            <a:ln>
              <a:noFill/>
            </a:ln>
            <a:effectLst/>
          </c:spPr>
          <c:invertIfNegative val="0"/>
          <c:dLbls>
            <c:delete val="1"/>
          </c:dLbls>
          <c:cat>
            <c:strRef>
              <c:f>'Tabla dinámica'!$A$78:$A$81</c:f>
              <c:strCache>
                <c:ptCount val="4"/>
                <c:pt idx="0">
                  <c:v>Alvarado</c:v>
                </c:pt>
                <c:pt idx="1">
                  <c:v>Jiménez</c:v>
                </c:pt>
                <c:pt idx="2">
                  <c:v>Oreamuno</c:v>
                </c:pt>
                <c:pt idx="3">
                  <c:v>Turrialba</c:v>
                </c:pt>
              </c:strCache>
            </c:strRef>
          </c:cat>
          <c:val>
            <c:numRef>
              <c:f>'Tabla dinámica'!$C$78:$C$81</c:f>
              <c:numCache>
                <c:formatCode>General</c:formatCode>
                <c:ptCount val="4"/>
                <c:pt idx="0">
                  <c:v>13</c:v>
                </c:pt>
                <c:pt idx="1">
                  <c:v>274</c:v>
                </c:pt>
                <c:pt idx="2">
                  <c:v>198</c:v>
                </c:pt>
                <c:pt idx="3">
                  <c:v>378</c:v>
                </c:pt>
              </c:numCache>
            </c:numRef>
          </c:val>
          <c:extLst>
            <c:ext xmlns:c16="http://schemas.microsoft.com/office/drawing/2014/chart" uri="{C3380CC4-5D6E-409C-BE32-E72D297353CC}">
              <c16:uniqueId val="{00000001-D353-47FC-8D35-6604DD342C35}"/>
            </c:ext>
          </c:extLst>
        </c:ser>
        <c:ser>
          <c:idx val="2"/>
          <c:order val="2"/>
          <c:tx>
            <c:strRef>
              <c:f>'Tabla dinámica'!$D$77</c:f>
              <c:strCache>
                <c:ptCount val="1"/>
                <c:pt idx="0">
                  <c:v>AyA</c:v>
                </c:pt>
              </c:strCache>
            </c:strRef>
          </c:tx>
          <c:spPr>
            <a:solidFill>
              <a:srgbClr val="FFFF00"/>
            </a:solidFill>
            <a:ln>
              <a:noFill/>
            </a:ln>
            <a:effectLst/>
          </c:spPr>
          <c:invertIfNegative val="0"/>
          <c:dLbls>
            <c:delete val="1"/>
          </c:dLbls>
          <c:cat>
            <c:strRef>
              <c:f>'Tabla dinámica'!$A$78:$A$81</c:f>
              <c:strCache>
                <c:ptCount val="4"/>
                <c:pt idx="0">
                  <c:v>Alvarado</c:v>
                </c:pt>
                <c:pt idx="1">
                  <c:v>Jiménez</c:v>
                </c:pt>
                <c:pt idx="2">
                  <c:v>Oreamuno</c:v>
                </c:pt>
                <c:pt idx="3">
                  <c:v>Turrialba</c:v>
                </c:pt>
              </c:strCache>
            </c:strRef>
          </c:cat>
          <c:val>
            <c:numRef>
              <c:f>'Tabla dinámica'!$D$78:$D$81</c:f>
              <c:numCache>
                <c:formatCode>General</c:formatCode>
                <c:ptCount val="4"/>
                <c:pt idx="0">
                  <c:v>0</c:v>
                </c:pt>
                <c:pt idx="1">
                  <c:v>1</c:v>
                </c:pt>
                <c:pt idx="2">
                  <c:v>9</c:v>
                </c:pt>
                <c:pt idx="3">
                  <c:v>8</c:v>
                </c:pt>
              </c:numCache>
            </c:numRef>
          </c:val>
          <c:extLst>
            <c:ext xmlns:c16="http://schemas.microsoft.com/office/drawing/2014/chart" uri="{C3380CC4-5D6E-409C-BE32-E72D297353CC}">
              <c16:uniqueId val="{00000002-D353-47FC-8D35-6604DD342C35}"/>
            </c:ext>
          </c:extLst>
        </c:ser>
        <c:ser>
          <c:idx val="3"/>
          <c:order val="3"/>
          <c:tx>
            <c:strRef>
              <c:f>'Tabla dinámica'!$E$77</c:f>
              <c:strCache>
                <c:ptCount val="1"/>
                <c:pt idx="0">
                  <c:v>Otro</c:v>
                </c:pt>
              </c:strCache>
            </c:strRef>
          </c:tx>
          <c:spPr>
            <a:solidFill>
              <a:schemeClr val="accent6">
                <a:lumMod val="75000"/>
              </a:schemeClr>
            </a:solidFill>
            <a:ln>
              <a:noFill/>
            </a:ln>
            <a:effectLst/>
          </c:spPr>
          <c:invertIfNegative val="0"/>
          <c:dLbls>
            <c:delete val="1"/>
          </c:dLbls>
          <c:cat>
            <c:strRef>
              <c:f>'Tabla dinámica'!$A$78:$A$81</c:f>
              <c:strCache>
                <c:ptCount val="4"/>
                <c:pt idx="0">
                  <c:v>Alvarado</c:v>
                </c:pt>
                <c:pt idx="1">
                  <c:v>Jiménez</c:v>
                </c:pt>
                <c:pt idx="2">
                  <c:v>Oreamuno</c:v>
                </c:pt>
                <c:pt idx="3">
                  <c:v>Turrialba</c:v>
                </c:pt>
              </c:strCache>
            </c:strRef>
          </c:cat>
          <c:val>
            <c:numRef>
              <c:f>'Tabla dinámica'!$E$78:$E$81</c:f>
              <c:numCache>
                <c:formatCode>General</c:formatCode>
                <c:ptCount val="4"/>
                <c:pt idx="0">
                  <c:v>0</c:v>
                </c:pt>
                <c:pt idx="1">
                  <c:v>6</c:v>
                </c:pt>
                <c:pt idx="2">
                  <c:v>6</c:v>
                </c:pt>
                <c:pt idx="3">
                  <c:v>4</c:v>
                </c:pt>
              </c:numCache>
            </c:numRef>
          </c:val>
          <c:extLst>
            <c:ext xmlns:c16="http://schemas.microsoft.com/office/drawing/2014/chart" uri="{C3380CC4-5D6E-409C-BE32-E72D297353CC}">
              <c16:uniqueId val="{00000003-D353-47FC-8D35-6604DD342C35}"/>
            </c:ext>
          </c:extLst>
        </c:ser>
        <c:ser>
          <c:idx val="4"/>
          <c:order val="4"/>
          <c:tx>
            <c:strRef>
              <c:f>'Tabla dinámica'!$F$77</c:f>
              <c:strCache>
                <c:ptCount val="1"/>
                <c:pt idx="0">
                  <c:v>No sabe</c:v>
                </c:pt>
              </c:strCache>
            </c:strRef>
          </c:tx>
          <c:spPr>
            <a:solidFill>
              <a:schemeClr val="bg1">
                <a:lumMod val="65000"/>
              </a:schemeClr>
            </a:solidFill>
            <a:ln>
              <a:noFill/>
            </a:ln>
            <a:effectLst/>
          </c:spPr>
          <c:invertIfNegative val="0"/>
          <c:dLbls>
            <c:dLbl>
              <c:idx val="0"/>
              <c:layout>
                <c:manualLayout>
                  <c:x val="9.7113615367998035E-2"/>
                  <c:y val="0"/>
                </c:manualLayout>
              </c:layout>
              <c:tx>
                <c:rich>
                  <a:bodyPr/>
                  <a:lstStyle/>
                  <a:p>
                    <a:r>
                      <a:rPr lang="en-US"/>
                      <a:t>N = 423</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353-47FC-8D35-6604DD342C35}"/>
                </c:ext>
              </c:extLst>
            </c:dLbl>
            <c:dLbl>
              <c:idx val="1"/>
              <c:layout>
                <c:manualLayout>
                  <c:x val="7.4270479283793628E-2"/>
                  <c:y val="0"/>
                </c:manualLayout>
              </c:layout>
              <c:tx>
                <c:rich>
                  <a:bodyPr/>
                  <a:lstStyle/>
                  <a:p>
                    <a:r>
                      <a:rPr lang="en-US"/>
                      <a:t>N = 521</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353-47FC-8D35-6604DD342C35}"/>
                </c:ext>
              </c:extLst>
            </c:dLbl>
            <c:dLbl>
              <c:idx val="2"/>
              <c:layout>
                <c:manualLayout>
                  <c:x val="9.6338528442107746E-2"/>
                  <c:y val="2.2652884675412703E-3"/>
                </c:manualLayout>
              </c:layout>
              <c:tx>
                <c:rich>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en-US"/>
                      <a:t>N = 650</a:t>
                    </a:r>
                    <a:r>
                      <a:rPr lang="en-US" baseline="0"/>
                      <a:t> </a:t>
                    </a:r>
                    <a:endParaRPr lang="en-US"/>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layout>
                    <c:manualLayout>
                      <c:w val="0.1240790414975461"/>
                      <c:h val="7.5411631453619551E-2"/>
                    </c:manualLayout>
                  </c15:layout>
                </c:ext>
                <c:ext xmlns:c16="http://schemas.microsoft.com/office/drawing/2014/chart" uri="{C3380CC4-5D6E-409C-BE32-E72D297353CC}">
                  <c16:uniqueId val="{00000006-D353-47FC-8D35-6604DD342C35}"/>
                </c:ext>
              </c:extLst>
            </c:dLbl>
            <c:dLbl>
              <c:idx val="3"/>
              <c:layout>
                <c:manualLayout>
                  <c:x val="8.7239398732287796E-2"/>
                  <c:y val="-1.038245220392366E-17"/>
                </c:manualLayout>
              </c:layout>
              <c:tx>
                <c:rich>
                  <a:bodyPr/>
                  <a:lstStyle/>
                  <a:p>
                    <a:r>
                      <a:rPr lang="en-US"/>
                      <a:t>N =</a:t>
                    </a:r>
                    <a:r>
                      <a:rPr lang="en-US" baseline="0"/>
                      <a:t> 600</a:t>
                    </a:r>
                    <a:endParaRPr lang="en-US"/>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353-47FC-8D35-6604DD342C3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'Tabla dinámica'!$A$78:$A$81</c:f>
              <c:strCache>
                <c:ptCount val="4"/>
                <c:pt idx="0">
                  <c:v>Alvarado</c:v>
                </c:pt>
                <c:pt idx="1">
                  <c:v>Jiménez</c:v>
                </c:pt>
                <c:pt idx="2">
                  <c:v>Oreamuno</c:v>
                </c:pt>
                <c:pt idx="3">
                  <c:v>Turrialba</c:v>
                </c:pt>
              </c:strCache>
            </c:strRef>
          </c:cat>
          <c:val>
            <c:numRef>
              <c:f>'Tabla dinámica'!$F$78:$F$81</c:f>
              <c:numCache>
                <c:formatCode>General</c:formatCode>
                <c:ptCount val="4"/>
                <c:pt idx="0">
                  <c:v>46</c:v>
                </c:pt>
                <c:pt idx="1">
                  <c:v>20</c:v>
                </c:pt>
                <c:pt idx="2">
                  <c:v>77</c:v>
                </c:pt>
                <c:pt idx="3">
                  <c:v>47</c:v>
                </c:pt>
              </c:numCache>
            </c:numRef>
          </c:val>
          <c:extLst>
            <c:ext xmlns:c16="http://schemas.microsoft.com/office/drawing/2014/chart" uri="{C3380CC4-5D6E-409C-BE32-E72D297353CC}">
              <c16:uniqueId val="{00000008-D353-47FC-8D35-6604DD342C35}"/>
            </c:ext>
          </c:extLst>
        </c:ser>
        <c:dLbls>
          <c:dLblPos val="ctr"/>
          <c:showLegendKey val="0"/>
          <c:showVal val="1"/>
          <c:showCatName val="0"/>
          <c:showSerName val="0"/>
          <c:showPercent val="0"/>
          <c:showBubbleSize val="0"/>
        </c:dLbls>
        <c:gapWidth val="182"/>
        <c:overlap val="100"/>
        <c:axId val="472830008"/>
        <c:axId val="472833144"/>
      </c:barChart>
      <c:catAx>
        <c:axId val="472830008"/>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419" b="1"/>
                  <a:t>Cantón</a:t>
                </a:r>
              </a:p>
            </c:rich>
          </c:tx>
          <c:layout>
            <c:manualLayout>
              <c:xMode val="edge"/>
              <c:yMode val="edge"/>
              <c:x val="1.1231856887454287E-2"/>
              <c:y val="0.269968159414088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2833144"/>
        <c:crosses val="autoZero"/>
        <c:auto val="1"/>
        <c:lblAlgn val="ctr"/>
        <c:lblOffset val="100"/>
        <c:noMultiLvlLbl val="0"/>
      </c:catAx>
      <c:valAx>
        <c:axId val="4728331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419" b="1"/>
                  <a:t>Porcentaje para cada categoría (%)</a:t>
                </a:r>
              </a:p>
            </c:rich>
          </c:tx>
          <c:layout>
            <c:manualLayout>
              <c:xMode val="edge"/>
              <c:yMode val="edge"/>
              <c:x val="0.31886818495514146"/>
              <c:y val="0.77357564778644017"/>
            </c:manualLayout>
          </c:layout>
          <c:overlay val="0"/>
          <c:spPr>
            <a:noFill/>
            <a:ln>
              <a:noFill/>
            </a:ln>
            <a:effectLst/>
          </c:spPr>
        </c:title>
        <c:numFmt formatCode="0\ %"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2830008"/>
        <c:crosses val="autoZero"/>
        <c:crossBetween val="between"/>
      </c:valAx>
      <c:spPr>
        <a:noFill/>
        <a:ln>
          <a:noFill/>
        </a:ln>
        <a:effectLst/>
      </c:spPr>
    </c:plotArea>
    <c:legend>
      <c:legendPos val="b"/>
      <c:layout>
        <c:manualLayout>
          <c:xMode val="edge"/>
          <c:yMode val="edge"/>
          <c:x val="0.13310836145481814"/>
          <c:y val="0.90288827872092647"/>
          <c:w val="0.77562022138537046"/>
          <c:h val="8.3025794189519414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694826454258101"/>
          <c:y val="3.214478386700665E-2"/>
          <c:w val="0.65210459266859999"/>
          <c:h val="0.61524791758122666"/>
        </c:manualLayout>
      </c:layout>
      <c:barChart>
        <c:barDir val="bar"/>
        <c:grouping val="percentStacked"/>
        <c:varyColors val="0"/>
        <c:ser>
          <c:idx val="0"/>
          <c:order val="0"/>
          <c:tx>
            <c:strRef>
              <c:f>'[Sistema de acueducto de agua potable Base de datos analizada jul-2019.xlsx]Tabla dinámica'!$B$86</c:f>
              <c:strCache>
                <c:ptCount val="1"/>
                <c:pt idx="0">
                  <c:v>Muy bueno</c:v>
                </c:pt>
              </c:strCache>
            </c:strRef>
          </c:tx>
          <c:spPr>
            <a:solidFill>
              <a:srgbClr val="0070C0"/>
            </a:solidFill>
            <a:ln>
              <a:noFill/>
            </a:ln>
            <a:effectLst/>
          </c:spPr>
          <c:invertIfNegative val="0"/>
          <c:dLbls>
            <c:delete val="1"/>
          </c:dLbls>
          <c:cat>
            <c:strRef>
              <c:f>'[Sistema de acueducto de agua potable Base de datos analizada jul-2019.xlsx]Tabla dinámica'!$A$87:$A$90</c:f>
              <c:strCache>
                <c:ptCount val="4"/>
                <c:pt idx="0">
                  <c:v>Alvarado</c:v>
                </c:pt>
                <c:pt idx="1">
                  <c:v>Jiménez</c:v>
                </c:pt>
                <c:pt idx="2">
                  <c:v>Oreamuno</c:v>
                </c:pt>
                <c:pt idx="3">
                  <c:v>Turrialba</c:v>
                </c:pt>
              </c:strCache>
            </c:strRef>
          </c:cat>
          <c:val>
            <c:numRef>
              <c:f>'[Sistema de acueducto de agua potable Base de datos analizada jul-2019.xlsx]Tabla dinámica'!$B$87:$B$90</c:f>
              <c:numCache>
                <c:formatCode>General</c:formatCode>
                <c:ptCount val="4"/>
                <c:pt idx="0">
                  <c:v>149</c:v>
                </c:pt>
                <c:pt idx="1">
                  <c:v>213</c:v>
                </c:pt>
                <c:pt idx="2">
                  <c:v>139</c:v>
                </c:pt>
                <c:pt idx="3">
                  <c:v>209</c:v>
                </c:pt>
              </c:numCache>
            </c:numRef>
          </c:val>
          <c:extLst>
            <c:ext xmlns:c16="http://schemas.microsoft.com/office/drawing/2014/chart" uri="{C3380CC4-5D6E-409C-BE32-E72D297353CC}">
              <c16:uniqueId val="{00000000-E61E-4736-8C67-BEE60DF777FC}"/>
            </c:ext>
          </c:extLst>
        </c:ser>
        <c:ser>
          <c:idx val="1"/>
          <c:order val="1"/>
          <c:tx>
            <c:strRef>
              <c:f>'[Sistema de acueducto de agua potable Base de datos analizada jul-2019.xlsx]Tabla dinámica'!$C$86</c:f>
              <c:strCache>
                <c:ptCount val="1"/>
                <c:pt idx="0">
                  <c:v>Bueno</c:v>
                </c:pt>
              </c:strCache>
            </c:strRef>
          </c:tx>
          <c:spPr>
            <a:solidFill>
              <a:schemeClr val="accent3">
                <a:lumMod val="75000"/>
              </a:schemeClr>
            </a:solidFill>
            <a:ln>
              <a:noFill/>
            </a:ln>
            <a:effectLst/>
          </c:spPr>
          <c:invertIfNegative val="0"/>
          <c:dLbls>
            <c:delete val="1"/>
          </c:dLbls>
          <c:cat>
            <c:strRef>
              <c:f>'[Sistema de acueducto de agua potable Base de datos analizada jul-2019.xlsx]Tabla dinámica'!$A$87:$A$90</c:f>
              <c:strCache>
                <c:ptCount val="4"/>
                <c:pt idx="0">
                  <c:v>Alvarado</c:v>
                </c:pt>
                <c:pt idx="1">
                  <c:v>Jiménez</c:v>
                </c:pt>
                <c:pt idx="2">
                  <c:v>Oreamuno</c:v>
                </c:pt>
                <c:pt idx="3">
                  <c:v>Turrialba</c:v>
                </c:pt>
              </c:strCache>
            </c:strRef>
          </c:cat>
          <c:val>
            <c:numRef>
              <c:f>'[Sistema de acueducto de agua potable Base de datos analizada jul-2019.xlsx]Tabla dinámica'!$C$87:$C$90</c:f>
              <c:numCache>
                <c:formatCode>General</c:formatCode>
                <c:ptCount val="4"/>
                <c:pt idx="0">
                  <c:v>215</c:v>
                </c:pt>
                <c:pt idx="1">
                  <c:v>281</c:v>
                </c:pt>
                <c:pt idx="2">
                  <c:v>180</c:v>
                </c:pt>
                <c:pt idx="3">
                  <c:v>328</c:v>
                </c:pt>
              </c:numCache>
            </c:numRef>
          </c:val>
          <c:extLst>
            <c:ext xmlns:c16="http://schemas.microsoft.com/office/drawing/2014/chart" uri="{C3380CC4-5D6E-409C-BE32-E72D297353CC}">
              <c16:uniqueId val="{00000001-E61E-4736-8C67-BEE60DF777FC}"/>
            </c:ext>
          </c:extLst>
        </c:ser>
        <c:ser>
          <c:idx val="2"/>
          <c:order val="2"/>
          <c:tx>
            <c:strRef>
              <c:f>'[Sistema de acueducto de agua potable Base de datos analizada jul-2019.xlsx]Tabla dinámica'!$D$86</c:f>
              <c:strCache>
                <c:ptCount val="1"/>
                <c:pt idx="0">
                  <c:v>Regular</c:v>
                </c:pt>
              </c:strCache>
            </c:strRef>
          </c:tx>
          <c:spPr>
            <a:solidFill>
              <a:srgbClr val="FFFF00"/>
            </a:solidFill>
            <a:ln>
              <a:noFill/>
            </a:ln>
            <a:effectLst/>
          </c:spPr>
          <c:invertIfNegative val="0"/>
          <c:dLbls>
            <c:delete val="1"/>
          </c:dLbls>
          <c:cat>
            <c:strRef>
              <c:f>'[Sistema de acueducto de agua potable Base de datos analizada jul-2019.xlsx]Tabla dinámica'!$A$87:$A$90</c:f>
              <c:strCache>
                <c:ptCount val="4"/>
                <c:pt idx="0">
                  <c:v>Alvarado</c:v>
                </c:pt>
                <c:pt idx="1">
                  <c:v>Jiménez</c:v>
                </c:pt>
                <c:pt idx="2">
                  <c:v>Oreamuno</c:v>
                </c:pt>
                <c:pt idx="3">
                  <c:v>Turrialba</c:v>
                </c:pt>
              </c:strCache>
            </c:strRef>
          </c:cat>
          <c:val>
            <c:numRef>
              <c:f>'[Sistema de acueducto de agua potable Base de datos analizada jul-2019.xlsx]Tabla dinámica'!$D$87:$D$90</c:f>
              <c:numCache>
                <c:formatCode>General</c:formatCode>
                <c:ptCount val="4"/>
                <c:pt idx="0">
                  <c:v>33</c:v>
                </c:pt>
                <c:pt idx="1">
                  <c:v>24</c:v>
                </c:pt>
                <c:pt idx="2">
                  <c:v>127</c:v>
                </c:pt>
                <c:pt idx="3">
                  <c:v>45</c:v>
                </c:pt>
              </c:numCache>
            </c:numRef>
          </c:val>
          <c:extLst>
            <c:ext xmlns:c16="http://schemas.microsoft.com/office/drawing/2014/chart" uri="{C3380CC4-5D6E-409C-BE32-E72D297353CC}">
              <c16:uniqueId val="{00000002-E61E-4736-8C67-BEE60DF777FC}"/>
            </c:ext>
          </c:extLst>
        </c:ser>
        <c:ser>
          <c:idx val="3"/>
          <c:order val="3"/>
          <c:tx>
            <c:strRef>
              <c:f>'[Sistema de acueducto de agua potable Base de datos analizada jul-2019.xlsx]Tabla dinámica'!$E$86</c:f>
              <c:strCache>
                <c:ptCount val="1"/>
                <c:pt idx="0">
                  <c:v>Malo</c:v>
                </c:pt>
              </c:strCache>
            </c:strRef>
          </c:tx>
          <c:spPr>
            <a:solidFill>
              <a:schemeClr val="accent6">
                <a:lumMod val="75000"/>
              </a:schemeClr>
            </a:solidFill>
            <a:ln>
              <a:noFill/>
            </a:ln>
            <a:effectLst/>
          </c:spPr>
          <c:invertIfNegative val="0"/>
          <c:dLbls>
            <c:delete val="1"/>
          </c:dLbls>
          <c:cat>
            <c:strRef>
              <c:f>'[Sistema de acueducto de agua potable Base de datos analizada jul-2019.xlsx]Tabla dinámica'!$A$87:$A$90</c:f>
              <c:strCache>
                <c:ptCount val="4"/>
                <c:pt idx="0">
                  <c:v>Alvarado</c:v>
                </c:pt>
                <c:pt idx="1">
                  <c:v>Jiménez</c:v>
                </c:pt>
                <c:pt idx="2">
                  <c:v>Oreamuno</c:v>
                </c:pt>
                <c:pt idx="3">
                  <c:v>Turrialba</c:v>
                </c:pt>
              </c:strCache>
            </c:strRef>
          </c:cat>
          <c:val>
            <c:numRef>
              <c:f>'[Sistema de acueducto de agua potable Base de datos analizada jul-2019.xlsx]Tabla dinámica'!$E$87:$E$90</c:f>
              <c:numCache>
                <c:formatCode>General</c:formatCode>
                <c:ptCount val="4"/>
                <c:pt idx="0">
                  <c:v>20</c:v>
                </c:pt>
                <c:pt idx="1">
                  <c:v>3</c:v>
                </c:pt>
                <c:pt idx="2">
                  <c:v>102</c:v>
                </c:pt>
                <c:pt idx="3">
                  <c:v>15</c:v>
                </c:pt>
              </c:numCache>
            </c:numRef>
          </c:val>
          <c:extLst>
            <c:ext xmlns:c16="http://schemas.microsoft.com/office/drawing/2014/chart" uri="{C3380CC4-5D6E-409C-BE32-E72D297353CC}">
              <c16:uniqueId val="{00000003-E61E-4736-8C67-BEE60DF777FC}"/>
            </c:ext>
          </c:extLst>
        </c:ser>
        <c:ser>
          <c:idx val="4"/>
          <c:order val="4"/>
          <c:tx>
            <c:strRef>
              <c:f>'[Sistema de acueducto de agua potable Base de datos analizada jul-2019.xlsx]Tabla dinámica'!$F$86</c:f>
              <c:strCache>
                <c:ptCount val="1"/>
                <c:pt idx="0">
                  <c:v>Muy malo</c:v>
                </c:pt>
              </c:strCache>
            </c:strRef>
          </c:tx>
          <c:spPr>
            <a:solidFill>
              <a:schemeClr val="accent2">
                <a:lumMod val="75000"/>
              </a:schemeClr>
            </a:solidFill>
            <a:ln>
              <a:noFill/>
            </a:ln>
            <a:effectLst/>
          </c:spPr>
          <c:invertIfNegative val="0"/>
          <c:dLbls>
            <c:dLbl>
              <c:idx val="0"/>
              <c:layout>
                <c:manualLayout>
                  <c:x val="7.2197800348431526E-2"/>
                  <c:y val="-8.3578199462079099E-17"/>
                </c:manualLayout>
              </c:layout>
              <c:tx>
                <c:rich>
                  <a:bodyPr/>
                  <a:lstStyle/>
                  <a:p>
                    <a:r>
                      <a:rPr lang="en-US" sz="1100" b="0" i="0" u="none" strike="noStrike" kern="1200" baseline="0">
                        <a:solidFill>
                          <a:sysClr val="windowText" lastClr="000000">
                            <a:lumMod val="75000"/>
                            <a:lumOff val="25000"/>
                          </a:sysClr>
                        </a:solidFill>
                        <a:latin typeface="Times New Roman" panose="02020603050405020304" pitchFamily="18" charset="0"/>
                        <a:cs typeface="Times New Roman" panose="02020603050405020304" pitchFamily="18" charset="0"/>
                      </a:rPr>
                      <a:t>N = 423</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61E-4736-8C67-BEE60DF777FC}"/>
                </c:ext>
              </c:extLst>
            </c:dLbl>
            <c:dLbl>
              <c:idx val="1"/>
              <c:layout>
                <c:manualLayout>
                  <c:x val="6.4474912471387508E-2"/>
                  <c:y val="2.3201743711460552E-3"/>
                </c:manualLayout>
              </c:layout>
              <c:tx>
                <c:rich>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en-US" sz="1100" b="0" i="0" u="none" strike="noStrike" kern="1200" baseline="0">
                        <a:solidFill>
                          <a:sysClr val="windowText" lastClr="000000">
                            <a:lumMod val="75000"/>
                            <a:lumOff val="25000"/>
                          </a:sysClr>
                        </a:solidFill>
                        <a:latin typeface="Times New Roman" panose="02020603050405020304" pitchFamily="18" charset="0"/>
                        <a:cs typeface="Times New Roman" panose="02020603050405020304" pitchFamily="18" charset="0"/>
                      </a:rPr>
                      <a:t>N = 521</a:t>
                    </a: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layout>
                    <c:manualLayout>
                      <c:w val="0.1218415333784591"/>
                      <c:h val="7.7240789121331088E-2"/>
                    </c:manualLayout>
                  </c15:layout>
                </c:ext>
                <c:ext xmlns:c16="http://schemas.microsoft.com/office/drawing/2014/chart" uri="{C3380CC4-5D6E-409C-BE32-E72D297353CC}">
                  <c16:uniqueId val="{00000005-E61E-4736-8C67-BEE60DF777FC}"/>
                </c:ext>
              </c:extLst>
            </c:dLbl>
            <c:dLbl>
              <c:idx val="2"/>
              <c:layout>
                <c:manualLayout>
                  <c:x val="0.11378041711984418"/>
                  <c:y val="9.2809221875060511E-3"/>
                </c:manualLayout>
              </c:layout>
              <c:tx>
                <c:rich>
                  <a:bodyPr rot="0" spcFirstLastPara="1" vertOverflow="ellipsis"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baseline="0">
                        <a:solidFill>
                          <a:sysClr val="windowText" lastClr="000000">
                            <a:lumMod val="75000"/>
                            <a:lumOff val="25000"/>
                          </a:sysClr>
                        </a:solidFill>
                        <a:latin typeface="Times New Roman" panose="02020603050405020304" pitchFamily="18" charset="0"/>
                        <a:ea typeface="+mn-ea"/>
                        <a:cs typeface="Times New Roman" panose="02020603050405020304" pitchFamily="18" charset="0"/>
                      </a:defRPr>
                    </a:pPr>
                    <a:r>
                      <a:rPr lang="en-US" sz="1100" b="0" i="0" u="none" strike="noStrike" kern="1200" baseline="0">
                        <a:solidFill>
                          <a:sysClr val="windowText" lastClr="000000">
                            <a:lumMod val="75000"/>
                            <a:lumOff val="25000"/>
                          </a:sysClr>
                        </a:solidFill>
                        <a:latin typeface="Times New Roman" panose="02020603050405020304" pitchFamily="18" charset="0"/>
                        <a:cs typeface="Times New Roman" panose="02020603050405020304" pitchFamily="18" charset="0"/>
                      </a:rPr>
                      <a:t>N = 650</a:t>
                    </a: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61E-4736-8C67-BEE60DF777FC}"/>
                </c:ext>
              </c:extLst>
            </c:dLbl>
            <c:dLbl>
              <c:idx val="3"/>
              <c:layout>
                <c:manualLayout>
                  <c:x val="6.9295498378355788E-2"/>
                  <c:y val="0"/>
                </c:manualLayout>
              </c:layout>
              <c:tx>
                <c:rich>
                  <a:bodyPr/>
                  <a:lstStyle/>
                  <a:p>
                    <a:r>
                      <a:rPr lang="en-US"/>
                      <a:t>N</a:t>
                    </a:r>
                    <a:r>
                      <a:rPr lang="en-US" baseline="0"/>
                      <a:t> = 600</a:t>
                    </a:r>
                    <a:endParaRPr lang="en-US"/>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61E-4736-8C67-BEE60DF777F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'[Sistema de acueducto de agua potable Base de datos analizada jul-2019.xlsx]Tabla dinámica'!$A$87:$A$90</c:f>
              <c:strCache>
                <c:ptCount val="4"/>
                <c:pt idx="0">
                  <c:v>Alvarado</c:v>
                </c:pt>
                <c:pt idx="1">
                  <c:v>Jiménez</c:v>
                </c:pt>
                <c:pt idx="2">
                  <c:v>Oreamuno</c:v>
                </c:pt>
                <c:pt idx="3">
                  <c:v>Turrialba</c:v>
                </c:pt>
              </c:strCache>
            </c:strRef>
          </c:cat>
          <c:val>
            <c:numRef>
              <c:f>'[Sistema de acueducto de agua potable Base de datos analizada jul-2019.xlsx]Tabla dinámica'!$F$87:$F$90</c:f>
              <c:numCache>
                <c:formatCode>General</c:formatCode>
                <c:ptCount val="4"/>
                <c:pt idx="0">
                  <c:v>6</c:v>
                </c:pt>
                <c:pt idx="1">
                  <c:v>0</c:v>
                </c:pt>
                <c:pt idx="2">
                  <c:v>102</c:v>
                </c:pt>
                <c:pt idx="3">
                  <c:v>3</c:v>
                </c:pt>
              </c:numCache>
            </c:numRef>
          </c:val>
          <c:extLst>
            <c:ext xmlns:c16="http://schemas.microsoft.com/office/drawing/2014/chart" uri="{C3380CC4-5D6E-409C-BE32-E72D297353CC}">
              <c16:uniqueId val="{00000008-E61E-4736-8C67-BEE60DF777FC}"/>
            </c:ext>
          </c:extLst>
        </c:ser>
        <c:dLbls>
          <c:dLblPos val="ctr"/>
          <c:showLegendKey val="0"/>
          <c:showVal val="1"/>
          <c:showCatName val="0"/>
          <c:showSerName val="0"/>
          <c:showPercent val="0"/>
          <c:showBubbleSize val="0"/>
        </c:dLbls>
        <c:gapWidth val="182"/>
        <c:overlap val="100"/>
        <c:axId val="472835888"/>
        <c:axId val="472836672"/>
      </c:barChart>
      <c:catAx>
        <c:axId val="472835888"/>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419" b="1"/>
                  <a:t>Cantón</a:t>
                </a:r>
              </a:p>
            </c:rich>
          </c:tx>
          <c:layout>
            <c:manualLayout>
              <c:xMode val="edge"/>
              <c:yMode val="edge"/>
              <c:x val="1.399018248064105E-2"/>
              <c:y val="0.2629109963936229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2836672"/>
        <c:crosses val="autoZero"/>
        <c:auto val="1"/>
        <c:lblAlgn val="ctr"/>
        <c:lblOffset val="100"/>
        <c:noMultiLvlLbl val="0"/>
      </c:catAx>
      <c:valAx>
        <c:axId val="4728366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419" b="1"/>
                  <a:t>Porcentaje para cada categoría (%)</a:t>
                </a:r>
              </a:p>
            </c:rich>
          </c:tx>
          <c:overlay val="0"/>
          <c:spPr>
            <a:noFill/>
            <a:ln>
              <a:noFill/>
            </a:ln>
            <a:effectLst/>
          </c:spPr>
        </c:title>
        <c:numFmt formatCode="0\ %"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2835888"/>
        <c:crosses val="autoZero"/>
        <c:crossBetween val="between"/>
      </c:valAx>
      <c:spPr>
        <a:noFill/>
        <a:ln>
          <a:noFill/>
        </a:ln>
        <a:effectLst/>
      </c:spPr>
    </c:plotArea>
    <c:legend>
      <c:legendPos val="b"/>
      <c:layout>
        <c:manualLayout>
          <c:xMode val="edge"/>
          <c:yMode val="edge"/>
          <c:x val="9.7216485432418689E-2"/>
          <c:y val="0.9148121666977862"/>
          <c:w val="0.83226640419947506"/>
          <c:h val="8.3038763210457583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332596583321821"/>
          <c:y val="3.214478386700665E-2"/>
          <c:w val="0.67572703412073487"/>
          <c:h val="0.5905489583738518"/>
        </c:manualLayout>
      </c:layout>
      <c:barChart>
        <c:barDir val="bar"/>
        <c:grouping val="percentStacked"/>
        <c:varyColors val="0"/>
        <c:ser>
          <c:idx val="0"/>
          <c:order val="0"/>
          <c:tx>
            <c:strRef>
              <c:f>'Tabla dinámica'!$B$104</c:f>
              <c:strCache>
                <c:ptCount val="1"/>
                <c:pt idx="0">
                  <c:v>Muy buena</c:v>
                </c:pt>
              </c:strCache>
            </c:strRef>
          </c:tx>
          <c:spPr>
            <a:solidFill>
              <a:srgbClr val="0070C0"/>
            </a:solidFill>
            <a:ln>
              <a:noFill/>
            </a:ln>
            <a:effectLst/>
          </c:spPr>
          <c:invertIfNegative val="0"/>
          <c:dLbls>
            <c:delete val="1"/>
          </c:dLbls>
          <c:cat>
            <c:strRef>
              <c:f>'Tabla dinámica'!$A$105:$A$108</c:f>
              <c:strCache>
                <c:ptCount val="4"/>
                <c:pt idx="0">
                  <c:v>Alvarado</c:v>
                </c:pt>
                <c:pt idx="1">
                  <c:v>Jiménez</c:v>
                </c:pt>
                <c:pt idx="2">
                  <c:v>Oreamuno</c:v>
                </c:pt>
                <c:pt idx="3">
                  <c:v>Turrialba</c:v>
                </c:pt>
              </c:strCache>
            </c:strRef>
          </c:cat>
          <c:val>
            <c:numRef>
              <c:f>'Tabla dinámica'!$B$105:$B$108</c:f>
              <c:numCache>
                <c:formatCode>General</c:formatCode>
                <c:ptCount val="4"/>
                <c:pt idx="0">
                  <c:v>137</c:v>
                </c:pt>
                <c:pt idx="1">
                  <c:v>236</c:v>
                </c:pt>
                <c:pt idx="2">
                  <c:v>181</c:v>
                </c:pt>
                <c:pt idx="3">
                  <c:v>221</c:v>
                </c:pt>
              </c:numCache>
            </c:numRef>
          </c:val>
          <c:extLst>
            <c:ext xmlns:c16="http://schemas.microsoft.com/office/drawing/2014/chart" uri="{C3380CC4-5D6E-409C-BE32-E72D297353CC}">
              <c16:uniqueId val="{00000000-C1EC-46ED-9B34-EA4B338E8683}"/>
            </c:ext>
          </c:extLst>
        </c:ser>
        <c:ser>
          <c:idx val="1"/>
          <c:order val="1"/>
          <c:tx>
            <c:strRef>
              <c:f>'Tabla dinámica'!$C$104</c:f>
              <c:strCache>
                <c:ptCount val="1"/>
                <c:pt idx="0">
                  <c:v>Buena</c:v>
                </c:pt>
              </c:strCache>
            </c:strRef>
          </c:tx>
          <c:spPr>
            <a:solidFill>
              <a:schemeClr val="accent3">
                <a:lumMod val="75000"/>
              </a:schemeClr>
            </a:solidFill>
            <a:ln>
              <a:noFill/>
            </a:ln>
            <a:effectLst/>
          </c:spPr>
          <c:invertIfNegative val="0"/>
          <c:dLbls>
            <c:delete val="1"/>
          </c:dLbls>
          <c:cat>
            <c:strRef>
              <c:f>'Tabla dinámica'!$A$105:$A$108</c:f>
              <c:strCache>
                <c:ptCount val="4"/>
                <c:pt idx="0">
                  <c:v>Alvarado</c:v>
                </c:pt>
                <c:pt idx="1">
                  <c:v>Jiménez</c:v>
                </c:pt>
                <c:pt idx="2">
                  <c:v>Oreamuno</c:v>
                </c:pt>
                <c:pt idx="3">
                  <c:v>Turrialba</c:v>
                </c:pt>
              </c:strCache>
            </c:strRef>
          </c:cat>
          <c:val>
            <c:numRef>
              <c:f>'Tabla dinámica'!$C$105:$C$108</c:f>
              <c:numCache>
                <c:formatCode>General</c:formatCode>
                <c:ptCount val="4"/>
                <c:pt idx="0">
                  <c:v>244</c:v>
                </c:pt>
                <c:pt idx="1">
                  <c:v>256</c:v>
                </c:pt>
                <c:pt idx="2">
                  <c:v>284</c:v>
                </c:pt>
                <c:pt idx="3">
                  <c:v>276</c:v>
                </c:pt>
              </c:numCache>
            </c:numRef>
          </c:val>
          <c:extLst>
            <c:ext xmlns:c16="http://schemas.microsoft.com/office/drawing/2014/chart" uri="{C3380CC4-5D6E-409C-BE32-E72D297353CC}">
              <c16:uniqueId val="{00000001-C1EC-46ED-9B34-EA4B338E8683}"/>
            </c:ext>
          </c:extLst>
        </c:ser>
        <c:ser>
          <c:idx val="2"/>
          <c:order val="2"/>
          <c:tx>
            <c:strRef>
              <c:f>'Tabla dinámica'!$D$104</c:f>
              <c:strCache>
                <c:ptCount val="1"/>
                <c:pt idx="0">
                  <c:v>Regular</c:v>
                </c:pt>
              </c:strCache>
            </c:strRef>
          </c:tx>
          <c:spPr>
            <a:solidFill>
              <a:srgbClr val="FFFF0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C1EC-46ED-9B34-EA4B338E8683}"/>
                </c:ext>
              </c:extLst>
            </c:dLbl>
            <c:dLbl>
              <c:idx val="1"/>
              <c:layout>
                <c:manualLayout>
                  <c:x val="8.6549707602339182E-2"/>
                  <c:y val="0"/>
                </c:manualLayout>
              </c:layout>
              <c:tx>
                <c:rich>
                  <a:bodyPr/>
                  <a:lstStyle/>
                  <a:p>
                    <a:r>
                      <a:rPr lang="en-US"/>
                      <a:t>N = 521</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1EC-46ED-9B34-EA4B338E8683}"/>
                </c:ext>
              </c:extLst>
            </c:dLbl>
            <c:dLbl>
              <c:idx val="2"/>
              <c:delete val="1"/>
              <c:extLst>
                <c:ext xmlns:c15="http://schemas.microsoft.com/office/drawing/2012/chart" uri="{CE6537A1-D6FC-4f65-9D91-7224C49458BB}"/>
                <c:ext xmlns:c16="http://schemas.microsoft.com/office/drawing/2014/chart" uri="{C3380CC4-5D6E-409C-BE32-E72D297353CC}">
                  <c16:uniqueId val="{00000004-C1EC-46ED-9B34-EA4B338E8683}"/>
                </c:ext>
              </c:extLst>
            </c:dLbl>
            <c:dLbl>
              <c:idx val="3"/>
              <c:delete val="1"/>
              <c:extLst>
                <c:ext xmlns:c15="http://schemas.microsoft.com/office/drawing/2012/chart" uri="{CE6537A1-D6FC-4f65-9D91-7224C49458BB}"/>
                <c:ext xmlns:c16="http://schemas.microsoft.com/office/drawing/2014/chart" uri="{C3380CC4-5D6E-409C-BE32-E72D297353CC}">
                  <c16:uniqueId val="{00000005-C1EC-46ED-9B34-EA4B338E868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'Tabla dinámica'!$A$105:$A$108</c:f>
              <c:strCache>
                <c:ptCount val="4"/>
                <c:pt idx="0">
                  <c:v>Alvarado</c:v>
                </c:pt>
                <c:pt idx="1">
                  <c:v>Jiménez</c:v>
                </c:pt>
                <c:pt idx="2">
                  <c:v>Oreamuno</c:v>
                </c:pt>
                <c:pt idx="3">
                  <c:v>Turrialba</c:v>
                </c:pt>
              </c:strCache>
            </c:strRef>
          </c:cat>
          <c:val>
            <c:numRef>
              <c:f>'Tabla dinámica'!$D$105:$D$108</c:f>
              <c:numCache>
                <c:formatCode>General</c:formatCode>
                <c:ptCount val="4"/>
                <c:pt idx="0">
                  <c:v>35</c:v>
                </c:pt>
                <c:pt idx="1">
                  <c:v>26</c:v>
                </c:pt>
                <c:pt idx="2">
                  <c:v>135</c:v>
                </c:pt>
                <c:pt idx="3">
                  <c:v>77</c:v>
                </c:pt>
              </c:numCache>
            </c:numRef>
          </c:val>
          <c:extLst>
            <c:ext xmlns:c16="http://schemas.microsoft.com/office/drawing/2014/chart" uri="{C3380CC4-5D6E-409C-BE32-E72D297353CC}">
              <c16:uniqueId val="{00000006-C1EC-46ED-9B34-EA4B338E8683}"/>
            </c:ext>
          </c:extLst>
        </c:ser>
        <c:ser>
          <c:idx val="3"/>
          <c:order val="3"/>
          <c:tx>
            <c:strRef>
              <c:f>'Tabla dinámica'!$E$104</c:f>
              <c:strCache>
                <c:ptCount val="1"/>
                <c:pt idx="0">
                  <c:v>Mala</c:v>
                </c:pt>
              </c:strCache>
            </c:strRef>
          </c:tx>
          <c:spPr>
            <a:solidFill>
              <a:schemeClr val="accent6">
                <a:lumMod val="75000"/>
              </a:schemeClr>
            </a:solidFill>
            <a:ln>
              <a:noFill/>
            </a:ln>
            <a:effectLst/>
          </c:spPr>
          <c:invertIfNegative val="0"/>
          <c:dLbls>
            <c:delete val="1"/>
          </c:dLbls>
          <c:cat>
            <c:strRef>
              <c:f>'Tabla dinámica'!$A$105:$A$108</c:f>
              <c:strCache>
                <c:ptCount val="4"/>
                <c:pt idx="0">
                  <c:v>Alvarado</c:v>
                </c:pt>
                <c:pt idx="1">
                  <c:v>Jiménez</c:v>
                </c:pt>
                <c:pt idx="2">
                  <c:v>Oreamuno</c:v>
                </c:pt>
                <c:pt idx="3">
                  <c:v>Turrialba</c:v>
                </c:pt>
              </c:strCache>
            </c:strRef>
          </c:cat>
          <c:val>
            <c:numRef>
              <c:f>'Tabla dinámica'!$E$105:$E$108</c:f>
              <c:numCache>
                <c:formatCode>General</c:formatCode>
                <c:ptCount val="4"/>
                <c:pt idx="0">
                  <c:v>6</c:v>
                </c:pt>
                <c:pt idx="1">
                  <c:v>3</c:v>
                </c:pt>
                <c:pt idx="2">
                  <c:v>43</c:v>
                </c:pt>
                <c:pt idx="3">
                  <c:v>21</c:v>
                </c:pt>
              </c:numCache>
            </c:numRef>
          </c:val>
          <c:extLst>
            <c:ext xmlns:c16="http://schemas.microsoft.com/office/drawing/2014/chart" uri="{C3380CC4-5D6E-409C-BE32-E72D297353CC}">
              <c16:uniqueId val="{00000007-C1EC-46ED-9B34-EA4B338E8683}"/>
            </c:ext>
          </c:extLst>
        </c:ser>
        <c:ser>
          <c:idx val="4"/>
          <c:order val="4"/>
          <c:tx>
            <c:strRef>
              <c:f>'Tabla dinámica'!$F$104</c:f>
              <c:strCache>
                <c:ptCount val="1"/>
                <c:pt idx="0">
                  <c:v>Muy mala</c:v>
                </c:pt>
              </c:strCache>
            </c:strRef>
          </c:tx>
          <c:spPr>
            <a:solidFill>
              <a:schemeClr val="accent2">
                <a:lumMod val="75000"/>
              </a:schemeClr>
            </a:solidFill>
            <a:ln>
              <a:noFill/>
            </a:ln>
            <a:effectLst/>
          </c:spPr>
          <c:invertIfNegative val="0"/>
          <c:dLbls>
            <c:dLbl>
              <c:idx val="0"/>
              <c:layout>
                <c:manualLayout>
                  <c:x val="6.9858636091541013E-2"/>
                  <c:y val="-1.0781018257894025E-16"/>
                </c:manualLayout>
              </c:layout>
              <c:tx>
                <c:rich>
                  <a:bodyPr/>
                  <a:lstStyle/>
                  <a:p>
                    <a:r>
                      <a:rPr lang="en-US" sz="1100" b="0" i="0" u="none" strike="noStrike" kern="1200" baseline="0">
                        <a:solidFill>
                          <a:sysClr val="windowText" lastClr="000000">
                            <a:lumMod val="75000"/>
                            <a:lumOff val="25000"/>
                          </a:sysClr>
                        </a:solidFill>
                        <a:latin typeface="Times New Roman" panose="02020603050405020304" pitchFamily="18" charset="0"/>
                        <a:cs typeface="Times New Roman" panose="02020603050405020304" pitchFamily="18" charset="0"/>
                      </a:rPr>
                      <a:t>N = 423</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1EC-46ED-9B34-EA4B338E8683}"/>
                </c:ext>
              </c:extLst>
            </c:dLbl>
            <c:dLbl>
              <c:idx val="1"/>
              <c:layout>
                <c:manualLayout>
                  <c:x val="6.4474912471387508E-2"/>
                  <c:y val="2.3201743711460552E-3"/>
                </c:manualLayout>
              </c:layout>
              <c:tx>
                <c:rich>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en-US" sz="1100" b="0" i="0" u="none" strike="noStrike" kern="1200" baseline="0">
                        <a:solidFill>
                          <a:sysClr val="windowText" lastClr="000000">
                            <a:lumMod val="75000"/>
                            <a:lumOff val="25000"/>
                          </a:sysClr>
                        </a:solidFill>
                        <a:latin typeface="Times New Roman" panose="02020603050405020304" pitchFamily="18" charset="0"/>
                        <a:cs typeface="Times New Roman" panose="02020603050405020304" pitchFamily="18" charset="0"/>
                      </a:rPr>
                      <a:t>N = 521</a:t>
                    </a: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layout>
                    <c:manualLayout>
                      <c:w val="0.1218415333784591"/>
                      <c:h val="7.7240789121331088E-2"/>
                    </c:manualLayout>
                  </c15:layout>
                </c:ext>
                <c:ext xmlns:c16="http://schemas.microsoft.com/office/drawing/2014/chart" uri="{C3380CC4-5D6E-409C-BE32-E72D297353CC}">
                  <c16:uniqueId val="{00000009-C1EC-46ED-9B34-EA4B338E8683}"/>
                </c:ext>
              </c:extLst>
            </c:dLbl>
            <c:dLbl>
              <c:idx val="2"/>
              <c:layout>
                <c:manualLayout>
                  <c:x val="7.1050697610167149E-2"/>
                  <c:y val="9.2807349390058701E-3"/>
                </c:manualLayout>
              </c:layout>
              <c:tx>
                <c:rich>
                  <a:bodyPr rot="0" spcFirstLastPara="1" vertOverflow="ellipsis"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baseline="0">
                        <a:solidFill>
                          <a:sysClr val="windowText" lastClr="000000">
                            <a:lumMod val="75000"/>
                            <a:lumOff val="25000"/>
                          </a:sysClr>
                        </a:solidFill>
                        <a:latin typeface="Times New Roman" panose="02020603050405020304" pitchFamily="18" charset="0"/>
                        <a:ea typeface="+mn-ea"/>
                        <a:cs typeface="Times New Roman" panose="02020603050405020304" pitchFamily="18" charset="0"/>
                      </a:defRPr>
                    </a:pPr>
                    <a:r>
                      <a:rPr lang="en-US" sz="1100" b="0" i="0" u="none" strike="noStrike" kern="1200" baseline="0">
                        <a:solidFill>
                          <a:sysClr val="windowText" lastClr="000000">
                            <a:lumMod val="75000"/>
                            <a:lumOff val="25000"/>
                          </a:sysClr>
                        </a:solidFill>
                        <a:latin typeface="Times New Roman" panose="02020603050405020304" pitchFamily="18" charset="0"/>
                        <a:cs typeface="Times New Roman" panose="02020603050405020304" pitchFamily="18" charset="0"/>
                      </a:rPr>
                      <a:t>N = 650</a:t>
                    </a: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1EC-46ED-9B34-EA4B338E8683}"/>
                </c:ext>
              </c:extLst>
            </c:dLbl>
            <c:dLbl>
              <c:idx val="3"/>
              <c:layout>
                <c:manualLayout>
                  <c:x val="6.9295498378355788E-2"/>
                  <c:y val="0"/>
                </c:manualLayout>
              </c:layout>
              <c:tx>
                <c:rich>
                  <a:bodyPr/>
                  <a:lstStyle/>
                  <a:p>
                    <a:r>
                      <a:rPr lang="en-US"/>
                      <a:t>N</a:t>
                    </a:r>
                    <a:r>
                      <a:rPr lang="en-US" baseline="0"/>
                      <a:t> = 600</a:t>
                    </a:r>
                    <a:endParaRPr lang="en-US"/>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1EC-46ED-9B34-EA4B338E868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'Tabla dinámica'!$A$105:$A$108</c:f>
              <c:strCache>
                <c:ptCount val="4"/>
                <c:pt idx="0">
                  <c:v>Alvarado</c:v>
                </c:pt>
                <c:pt idx="1">
                  <c:v>Jiménez</c:v>
                </c:pt>
                <c:pt idx="2">
                  <c:v>Oreamuno</c:v>
                </c:pt>
                <c:pt idx="3">
                  <c:v>Turrialba</c:v>
                </c:pt>
              </c:strCache>
            </c:strRef>
          </c:cat>
          <c:val>
            <c:numRef>
              <c:f>'Tabla dinámica'!$F$105:$F$108</c:f>
              <c:numCache>
                <c:formatCode>General</c:formatCode>
                <c:ptCount val="4"/>
                <c:pt idx="0">
                  <c:v>1</c:v>
                </c:pt>
                <c:pt idx="2">
                  <c:v>7</c:v>
                </c:pt>
                <c:pt idx="3">
                  <c:v>5</c:v>
                </c:pt>
              </c:numCache>
            </c:numRef>
          </c:val>
          <c:extLst>
            <c:ext xmlns:c16="http://schemas.microsoft.com/office/drawing/2014/chart" uri="{C3380CC4-5D6E-409C-BE32-E72D297353CC}">
              <c16:uniqueId val="{0000000C-C1EC-46ED-9B34-EA4B338E8683}"/>
            </c:ext>
          </c:extLst>
        </c:ser>
        <c:dLbls>
          <c:dLblPos val="ctr"/>
          <c:showLegendKey val="0"/>
          <c:showVal val="1"/>
          <c:showCatName val="0"/>
          <c:showSerName val="0"/>
          <c:showPercent val="0"/>
          <c:showBubbleSize val="0"/>
        </c:dLbls>
        <c:gapWidth val="182"/>
        <c:overlap val="100"/>
        <c:axId val="472837456"/>
        <c:axId val="472830792"/>
      </c:barChart>
      <c:catAx>
        <c:axId val="472837456"/>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419" b="1"/>
                  <a:t>Cantón</a:t>
                </a:r>
              </a:p>
            </c:rich>
          </c:tx>
          <c:layout>
            <c:manualLayout>
              <c:xMode val="edge"/>
              <c:yMode val="edge"/>
              <c:x val="1.8859695169682736E-2"/>
              <c:y val="0.19939652920943107"/>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2830792"/>
        <c:crosses val="autoZero"/>
        <c:auto val="1"/>
        <c:lblAlgn val="ctr"/>
        <c:lblOffset val="100"/>
        <c:noMultiLvlLbl val="0"/>
      </c:catAx>
      <c:valAx>
        <c:axId val="4728307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419" b="1"/>
                  <a:t>Porcentaje para cada categoría (%)</a:t>
                </a:r>
              </a:p>
            </c:rich>
          </c:tx>
          <c:overlay val="0"/>
          <c:spPr>
            <a:noFill/>
            <a:ln>
              <a:noFill/>
            </a:ln>
            <a:effectLst/>
          </c:spPr>
        </c:title>
        <c:numFmt formatCode="0\ %"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2837456"/>
        <c:crosses val="autoZero"/>
        <c:crossBetween val="between"/>
      </c:valAx>
      <c:spPr>
        <a:noFill/>
        <a:ln>
          <a:noFill/>
        </a:ln>
        <a:effectLst/>
      </c:spPr>
    </c:plotArea>
    <c:legend>
      <c:legendPos val="b"/>
      <c:layout>
        <c:manualLayout>
          <c:xMode val="edge"/>
          <c:yMode val="edge"/>
          <c:x val="0.18690942579545977"/>
          <c:y val="0.90288821953709764"/>
          <c:w val="0.65966348943224207"/>
          <c:h val="7.9554099097645922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687425320100426"/>
          <c:y val="3.214478386700665E-2"/>
          <c:w val="0.65217870240184328"/>
          <c:h val="0.60975277702143282"/>
        </c:manualLayout>
      </c:layout>
      <c:barChart>
        <c:barDir val="bar"/>
        <c:grouping val="percentStacked"/>
        <c:varyColors val="0"/>
        <c:ser>
          <c:idx val="0"/>
          <c:order val="0"/>
          <c:tx>
            <c:strRef>
              <c:f>'Tabla dinámica'!$B$109</c:f>
              <c:strCache>
                <c:ptCount val="1"/>
                <c:pt idx="0">
                  <c:v>24 horas</c:v>
                </c:pt>
              </c:strCache>
            </c:strRef>
          </c:tx>
          <c:spPr>
            <a:solidFill>
              <a:schemeClr val="accent3">
                <a:lumMod val="50000"/>
              </a:schemeClr>
            </a:solidFill>
            <a:ln>
              <a:noFill/>
            </a:ln>
            <a:effectLst/>
          </c:spPr>
          <c:invertIfNegative val="0"/>
          <c:dLbls>
            <c:dLbl>
              <c:idx val="0"/>
              <c:layout>
                <c:manualLayout>
                  <c:x val="0.45771754403641585"/>
                  <c:y val="-8.3578199462079099E-17"/>
                </c:manualLayout>
              </c:layout>
              <c:tx>
                <c:rich>
                  <a:bodyPr/>
                  <a:lstStyle/>
                  <a:p>
                    <a:r>
                      <a:rPr lang="en-US"/>
                      <a:t>N = 423</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048-48CE-8AD5-B7B11057A896}"/>
                </c:ext>
              </c:extLst>
            </c:dLbl>
            <c:dLbl>
              <c:idx val="1"/>
              <c:layout>
                <c:manualLayout>
                  <c:x val="0.40025890853202623"/>
                  <c:y val="0"/>
                </c:manualLayout>
              </c:layout>
              <c:tx>
                <c:rich>
                  <a:bodyPr/>
                  <a:lstStyle/>
                  <a:p>
                    <a:r>
                      <a:rPr lang="en-US"/>
                      <a:t>N</a:t>
                    </a:r>
                    <a:r>
                      <a:rPr lang="en-US" baseline="0"/>
                      <a:t> = 521</a:t>
                    </a:r>
                    <a:endParaRPr lang="en-US"/>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48-48CE-8AD5-B7B11057A896}"/>
                </c:ext>
              </c:extLst>
            </c:dLbl>
            <c:dLbl>
              <c:idx val="2"/>
              <c:layout>
                <c:manualLayout>
                  <c:x val="0.56054156163852431"/>
                  <c:y val="0"/>
                </c:manualLayout>
              </c:layout>
              <c:tx>
                <c:rich>
                  <a:bodyPr/>
                  <a:lstStyle/>
                  <a:p>
                    <a:r>
                      <a:rPr lang="en-US"/>
                      <a:t>N =</a:t>
                    </a:r>
                    <a:r>
                      <a:rPr lang="en-US" baseline="0"/>
                      <a:t> 650</a:t>
                    </a:r>
                    <a:endParaRPr lang="en-US"/>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048-48CE-8AD5-B7B11057A896}"/>
                </c:ext>
              </c:extLst>
            </c:dLbl>
            <c:dLbl>
              <c:idx val="3"/>
              <c:layout>
                <c:manualLayout>
                  <c:x val="0.4038857261754864"/>
                  <c:y val="0"/>
                </c:manualLayout>
              </c:layout>
              <c:tx>
                <c:rich>
                  <a:bodyPr/>
                  <a:lstStyle/>
                  <a:p>
                    <a:r>
                      <a:rPr lang="en-US"/>
                      <a:t>N =</a:t>
                    </a:r>
                    <a:r>
                      <a:rPr lang="en-US" baseline="0"/>
                      <a:t> 600</a:t>
                    </a:r>
                    <a:endParaRPr lang="en-US"/>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048-48CE-8AD5-B7B11057A896}"/>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'Tabla dinámica'!$A$110:$A$113</c:f>
              <c:strCache>
                <c:ptCount val="4"/>
                <c:pt idx="0">
                  <c:v>Alvarado</c:v>
                </c:pt>
                <c:pt idx="1">
                  <c:v>Jiménez</c:v>
                </c:pt>
                <c:pt idx="2">
                  <c:v>Oreamuno</c:v>
                </c:pt>
                <c:pt idx="3">
                  <c:v>Turrialba</c:v>
                </c:pt>
              </c:strCache>
            </c:strRef>
          </c:cat>
          <c:val>
            <c:numRef>
              <c:f>'Tabla dinámica'!$B$110:$B$113</c:f>
              <c:numCache>
                <c:formatCode>General</c:formatCode>
                <c:ptCount val="4"/>
                <c:pt idx="0">
                  <c:v>339</c:v>
                </c:pt>
                <c:pt idx="1">
                  <c:v>512</c:v>
                </c:pt>
                <c:pt idx="2">
                  <c:v>309</c:v>
                </c:pt>
                <c:pt idx="3">
                  <c:v>573</c:v>
                </c:pt>
              </c:numCache>
            </c:numRef>
          </c:val>
          <c:extLst>
            <c:ext xmlns:c16="http://schemas.microsoft.com/office/drawing/2014/chart" uri="{C3380CC4-5D6E-409C-BE32-E72D297353CC}">
              <c16:uniqueId val="{00000004-5048-48CE-8AD5-B7B11057A896}"/>
            </c:ext>
          </c:extLst>
        </c:ser>
        <c:ser>
          <c:idx val="1"/>
          <c:order val="1"/>
          <c:tx>
            <c:strRef>
              <c:f>'Tabla dinámica'!$C$109</c:f>
              <c:strCache>
                <c:ptCount val="1"/>
                <c:pt idx="0">
                  <c:v>Entre 12 y 8 horas</c:v>
                </c:pt>
              </c:strCache>
            </c:strRef>
          </c:tx>
          <c:spPr>
            <a:solidFill>
              <a:srgbClr val="FFFF00"/>
            </a:solidFill>
            <a:ln>
              <a:noFill/>
            </a:ln>
            <a:effectLst/>
          </c:spPr>
          <c:invertIfNegative val="0"/>
          <c:dLbls>
            <c:delete val="1"/>
          </c:dLbls>
          <c:cat>
            <c:strRef>
              <c:f>'Tabla dinámica'!$A$110:$A$113</c:f>
              <c:strCache>
                <c:ptCount val="4"/>
                <c:pt idx="0">
                  <c:v>Alvarado</c:v>
                </c:pt>
                <c:pt idx="1">
                  <c:v>Jiménez</c:v>
                </c:pt>
                <c:pt idx="2">
                  <c:v>Oreamuno</c:v>
                </c:pt>
                <c:pt idx="3">
                  <c:v>Turrialba</c:v>
                </c:pt>
              </c:strCache>
            </c:strRef>
          </c:cat>
          <c:val>
            <c:numRef>
              <c:f>'Tabla dinámica'!$C$110:$C$113</c:f>
              <c:numCache>
                <c:formatCode>General</c:formatCode>
                <c:ptCount val="4"/>
                <c:pt idx="0">
                  <c:v>17</c:v>
                </c:pt>
                <c:pt idx="1">
                  <c:v>0</c:v>
                </c:pt>
                <c:pt idx="2">
                  <c:v>112</c:v>
                </c:pt>
                <c:pt idx="3">
                  <c:v>7</c:v>
                </c:pt>
              </c:numCache>
            </c:numRef>
          </c:val>
          <c:extLst>
            <c:ext xmlns:c16="http://schemas.microsoft.com/office/drawing/2014/chart" uri="{C3380CC4-5D6E-409C-BE32-E72D297353CC}">
              <c16:uniqueId val="{00000005-5048-48CE-8AD5-B7B11057A896}"/>
            </c:ext>
          </c:extLst>
        </c:ser>
        <c:ser>
          <c:idx val="2"/>
          <c:order val="2"/>
          <c:tx>
            <c:strRef>
              <c:f>'Tabla dinámica'!$D$109</c:f>
              <c:strCache>
                <c:ptCount val="1"/>
                <c:pt idx="0">
                  <c:v>Entre 23 y 12 horas</c:v>
                </c:pt>
              </c:strCache>
            </c:strRef>
          </c:tx>
          <c:spPr>
            <a:solidFill>
              <a:srgbClr val="FFC000"/>
            </a:solidFill>
            <a:ln>
              <a:noFill/>
            </a:ln>
            <a:effectLst/>
          </c:spPr>
          <c:invertIfNegative val="0"/>
          <c:dLbls>
            <c:delete val="1"/>
          </c:dLbls>
          <c:cat>
            <c:strRef>
              <c:f>'Tabla dinámica'!$A$110:$A$113</c:f>
              <c:strCache>
                <c:ptCount val="4"/>
                <c:pt idx="0">
                  <c:v>Alvarado</c:v>
                </c:pt>
                <c:pt idx="1">
                  <c:v>Jiménez</c:v>
                </c:pt>
                <c:pt idx="2">
                  <c:v>Oreamuno</c:v>
                </c:pt>
                <c:pt idx="3">
                  <c:v>Turrialba</c:v>
                </c:pt>
              </c:strCache>
            </c:strRef>
          </c:cat>
          <c:val>
            <c:numRef>
              <c:f>'Tabla dinámica'!$D$110:$D$113</c:f>
              <c:numCache>
                <c:formatCode>General</c:formatCode>
                <c:ptCount val="4"/>
                <c:pt idx="0">
                  <c:v>64</c:v>
                </c:pt>
                <c:pt idx="1">
                  <c:v>8</c:v>
                </c:pt>
                <c:pt idx="2">
                  <c:v>52</c:v>
                </c:pt>
                <c:pt idx="3">
                  <c:v>16</c:v>
                </c:pt>
              </c:numCache>
            </c:numRef>
          </c:val>
          <c:extLst>
            <c:ext xmlns:c16="http://schemas.microsoft.com/office/drawing/2014/chart" uri="{C3380CC4-5D6E-409C-BE32-E72D297353CC}">
              <c16:uniqueId val="{00000006-5048-48CE-8AD5-B7B11057A896}"/>
            </c:ext>
          </c:extLst>
        </c:ser>
        <c:ser>
          <c:idx val="3"/>
          <c:order val="3"/>
          <c:tx>
            <c:strRef>
              <c:f>'Tabla dinámica'!$E$109</c:f>
              <c:strCache>
                <c:ptCount val="1"/>
                <c:pt idx="0">
                  <c:v>Menos de 8 horas</c:v>
                </c:pt>
              </c:strCache>
            </c:strRef>
          </c:tx>
          <c:spPr>
            <a:solidFill>
              <a:schemeClr val="accent2">
                <a:lumMod val="75000"/>
              </a:schemeClr>
            </a:solidFill>
            <a:ln>
              <a:noFill/>
            </a:ln>
            <a:effectLst/>
          </c:spPr>
          <c:invertIfNegative val="0"/>
          <c:dLbls>
            <c:delete val="1"/>
          </c:dLbls>
          <c:cat>
            <c:strRef>
              <c:f>'Tabla dinámica'!$A$110:$A$113</c:f>
              <c:strCache>
                <c:ptCount val="4"/>
                <c:pt idx="0">
                  <c:v>Alvarado</c:v>
                </c:pt>
                <c:pt idx="1">
                  <c:v>Jiménez</c:v>
                </c:pt>
                <c:pt idx="2">
                  <c:v>Oreamuno</c:v>
                </c:pt>
                <c:pt idx="3">
                  <c:v>Turrialba</c:v>
                </c:pt>
              </c:strCache>
            </c:strRef>
          </c:cat>
          <c:val>
            <c:numRef>
              <c:f>'Tabla dinámica'!$E$110:$E$113</c:f>
              <c:numCache>
                <c:formatCode>General</c:formatCode>
                <c:ptCount val="4"/>
                <c:pt idx="0">
                  <c:v>3</c:v>
                </c:pt>
                <c:pt idx="1">
                  <c:v>1</c:v>
                </c:pt>
                <c:pt idx="2">
                  <c:v>173</c:v>
                </c:pt>
                <c:pt idx="3">
                  <c:v>1</c:v>
                </c:pt>
              </c:numCache>
            </c:numRef>
          </c:val>
          <c:extLst>
            <c:ext xmlns:c16="http://schemas.microsoft.com/office/drawing/2014/chart" uri="{C3380CC4-5D6E-409C-BE32-E72D297353CC}">
              <c16:uniqueId val="{00000007-5048-48CE-8AD5-B7B11057A896}"/>
            </c:ext>
          </c:extLst>
        </c:ser>
        <c:dLbls>
          <c:dLblPos val="ctr"/>
          <c:showLegendKey val="0"/>
          <c:showVal val="1"/>
          <c:showCatName val="0"/>
          <c:showSerName val="0"/>
          <c:showPercent val="0"/>
          <c:showBubbleSize val="0"/>
        </c:dLbls>
        <c:gapWidth val="182"/>
        <c:overlap val="100"/>
        <c:axId val="286758224"/>
        <c:axId val="286756264"/>
        <c:extLst>
          <c:ext xmlns:c15="http://schemas.microsoft.com/office/drawing/2012/chart" uri="{02D57815-91ED-43cb-92C2-25804820EDAC}">
            <c15:filteredBarSeries>
              <c15:ser>
                <c:idx val="4"/>
                <c:order val="4"/>
                <c:tx>
                  <c:strRef>
                    <c:extLst>
                      <c:ext uri="{02D57815-91ED-43cb-92C2-25804820EDAC}">
                        <c15:formulaRef>
                          <c15:sqref>'Tabla dinámica'!$F$109</c15:sqref>
                        </c15:formulaRef>
                      </c:ext>
                    </c:extLst>
                    <c:strCache>
                      <c:ptCount val="1"/>
                      <c:pt idx="0">
                        <c:v>No sabe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'Tabla dinámica'!$A$110:$A$113</c15:sqref>
                        </c15:formulaRef>
                      </c:ext>
                    </c:extLst>
                    <c:strCache>
                      <c:ptCount val="4"/>
                      <c:pt idx="0">
                        <c:v>Alvarado</c:v>
                      </c:pt>
                      <c:pt idx="1">
                        <c:v>Jiménez</c:v>
                      </c:pt>
                      <c:pt idx="2">
                        <c:v>Oreamuno</c:v>
                      </c:pt>
                      <c:pt idx="3">
                        <c:v>Turrialba</c:v>
                      </c:pt>
                    </c:strCache>
                  </c:strRef>
                </c:cat>
                <c:val>
                  <c:numRef>
                    <c:extLst>
                      <c:ext uri="{02D57815-91ED-43cb-92C2-25804820EDAC}">
                        <c15:formulaRef>
                          <c15:sqref>'Tabla dinámica'!$F$110:$F$113</c15:sqref>
                        </c15:formulaRef>
                      </c:ext>
                    </c:extLst>
                    <c:numCache>
                      <c:formatCode>General</c:formatCode>
                      <c:ptCount val="4"/>
                      <c:pt idx="2">
                        <c:v>4</c:v>
                      </c:pt>
                      <c:pt idx="3">
                        <c:v>3</c:v>
                      </c:pt>
                    </c:numCache>
                  </c:numRef>
                </c:val>
                <c:extLst>
                  <c:ext xmlns:c16="http://schemas.microsoft.com/office/drawing/2014/chart" uri="{C3380CC4-5D6E-409C-BE32-E72D297353CC}">
                    <c16:uniqueId val="{00000008-5048-48CE-8AD5-B7B11057A896}"/>
                  </c:ext>
                </c:extLst>
              </c15:ser>
            </c15:filteredBarSeries>
          </c:ext>
        </c:extLst>
      </c:barChart>
      <c:catAx>
        <c:axId val="286758224"/>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419" b="1"/>
                  <a:t>Cantón</a:t>
                </a:r>
              </a:p>
            </c:rich>
          </c:tx>
          <c:layout>
            <c:manualLayout>
              <c:xMode val="edge"/>
              <c:yMode val="edge"/>
              <c:x val="1.6676301999377068E-2"/>
              <c:y val="0.2346823443117599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6756264"/>
        <c:crosses val="autoZero"/>
        <c:auto val="1"/>
        <c:lblAlgn val="ctr"/>
        <c:lblOffset val="100"/>
        <c:noMultiLvlLbl val="0"/>
      </c:catAx>
      <c:valAx>
        <c:axId val="2867562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419" b="1"/>
                  <a:t>Porcentaje para cada categoría (%)</a:t>
                </a:r>
              </a:p>
            </c:rich>
          </c:tx>
          <c:layout>
            <c:manualLayout>
              <c:xMode val="edge"/>
              <c:yMode val="edge"/>
              <c:x val="0.29399771593436319"/>
              <c:y val="0.77043104262637596"/>
            </c:manualLayout>
          </c:layout>
          <c:overlay val="0"/>
          <c:spPr>
            <a:noFill/>
            <a:ln>
              <a:noFill/>
            </a:ln>
            <a:effectLst/>
          </c:spPr>
        </c:title>
        <c:numFmt formatCode="0\ %"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6758224"/>
        <c:crosses val="autoZero"/>
        <c:crossBetween val="between"/>
      </c:valAx>
      <c:spPr>
        <a:noFill/>
        <a:ln>
          <a:noFill/>
        </a:ln>
        <a:effectLst/>
      </c:spPr>
    </c:plotArea>
    <c:legend>
      <c:legendPos val="b"/>
      <c:layout>
        <c:manualLayout>
          <c:xMode val="edge"/>
          <c:yMode val="edge"/>
          <c:x val="3.8729228936598054E-2"/>
          <c:y val="0.87911802132708006"/>
          <c:w val="0.9471257383597349"/>
          <c:h val="0.1188215732602192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146325459317586"/>
          <c:y val="4.6121593291404611E-2"/>
          <c:w val="0.71270341207349086"/>
          <c:h val="0.55736748208964981"/>
        </c:manualLayout>
      </c:layout>
      <c:barChart>
        <c:barDir val="bar"/>
        <c:grouping val="clustered"/>
        <c:varyColors val="0"/>
        <c:ser>
          <c:idx val="5"/>
          <c:order val="0"/>
          <c:tx>
            <c:strRef>
              <c:f>'Tabla dinámica'!$B$136</c:f>
              <c:strCache>
                <c:ptCount val="1"/>
                <c:pt idx="0">
                  <c:v>Presencia de larvas</c:v>
                </c:pt>
              </c:strCache>
            </c:strRef>
          </c:tx>
          <c:spPr>
            <a:solidFill>
              <a:schemeClr val="tx2"/>
            </a:solidFill>
            <a:ln>
              <a:noFill/>
            </a:ln>
            <a:effectLst/>
          </c:spPr>
          <c:invertIfNegative val="0"/>
          <c:dLbls>
            <c:delete val="1"/>
          </c:dLbls>
          <c:cat>
            <c:strRef>
              <c:f>'Tabla dinámica'!$A$137:$A$140</c:f>
              <c:strCache>
                <c:ptCount val="4"/>
                <c:pt idx="0">
                  <c:v>Alvarado</c:v>
                </c:pt>
                <c:pt idx="1">
                  <c:v>Jiménez</c:v>
                </c:pt>
                <c:pt idx="2">
                  <c:v>Oreamuno</c:v>
                </c:pt>
                <c:pt idx="3">
                  <c:v>Turrialba</c:v>
                </c:pt>
              </c:strCache>
            </c:strRef>
          </c:cat>
          <c:val>
            <c:numRef>
              <c:f>'Tabla dinámica'!$B$137:$B$140</c:f>
              <c:numCache>
                <c:formatCode>0</c:formatCode>
                <c:ptCount val="4"/>
                <c:pt idx="0">
                  <c:v>2.6004728132387704</c:v>
                </c:pt>
                <c:pt idx="1">
                  <c:v>0.19193857965451055</c:v>
                </c:pt>
                <c:pt idx="2">
                  <c:v>1.2307692307692308</c:v>
                </c:pt>
                <c:pt idx="3">
                  <c:v>2.833333333333333</c:v>
                </c:pt>
              </c:numCache>
            </c:numRef>
          </c:val>
          <c:extLst>
            <c:ext xmlns:c16="http://schemas.microsoft.com/office/drawing/2014/chart" uri="{C3380CC4-5D6E-409C-BE32-E72D297353CC}">
              <c16:uniqueId val="{00000000-55CA-4FA9-8C34-5F29938425FE}"/>
            </c:ext>
          </c:extLst>
        </c:ser>
        <c:ser>
          <c:idx val="3"/>
          <c:order val="1"/>
          <c:tx>
            <c:strRef>
              <c:f>'Tabla dinámica'!$E$136</c:f>
              <c:strCache>
                <c:ptCount val="1"/>
                <c:pt idx="0">
                  <c:v>Otro sabor</c:v>
                </c:pt>
              </c:strCache>
            </c:strRef>
          </c:tx>
          <c:spPr>
            <a:solidFill>
              <a:schemeClr val="bg1">
                <a:lumMod val="50000"/>
              </a:schemeClr>
            </a:solidFill>
            <a:ln>
              <a:noFill/>
            </a:ln>
            <a:effectLst/>
          </c:spPr>
          <c:invertIfNegative val="0"/>
          <c:dLbls>
            <c:delete val="1"/>
          </c:dLbls>
          <c:cat>
            <c:strRef>
              <c:f>'Tabla dinámica'!$A$137:$A$140</c:f>
              <c:strCache>
                <c:ptCount val="4"/>
                <c:pt idx="0">
                  <c:v>Alvarado</c:v>
                </c:pt>
                <c:pt idx="1">
                  <c:v>Jiménez</c:v>
                </c:pt>
                <c:pt idx="2">
                  <c:v>Oreamuno</c:v>
                </c:pt>
                <c:pt idx="3">
                  <c:v>Turrialba</c:v>
                </c:pt>
              </c:strCache>
            </c:strRef>
          </c:cat>
          <c:val>
            <c:numRef>
              <c:f>'Tabla dinámica'!$E$137:$E$140</c:f>
              <c:numCache>
                <c:formatCode>0</c:formatCode>
                <c:ptCount val="4"/>
                <c:pt idx="0">
                  <c:v>2.3640661938534278</c:v>
                </c:pt>
                <c:pt idx="1">
                  <c:v>0.95969289827255266</c:v>
                </c:pt>
                <c:pt idx="2">
                  <c:v>7.5384615384615383</c:v>
                </c:pt>
                <c:pt idx="3">
                  <c:v>7.8333333333333339</c:v>
                </c:pt>
              </c:numCache>
            </c:numRef>
          </c:val>
          <c:extLst>
            <c:ext xmlns:c16="http://schemas.microsoft.com/office/drawing/2014/chart" uri="{C3380CC4-5D6E-409C-BE32-E72D297353CC}">
              <c16:uniqueId val="{00000001-55CA-4FA9-8C34-5F29938425FE}"/>
            </c:ext>
          </c:extLst>
        </c:ser>
        <c:ser>
          <c:idx val="4"/>
          <c:order val="2"/>
          <c:tx>
            <c:strRef>
              <c:f>'Tabla dinámica'!$F$136</c:f>
              <c:strCache>
                <c:ptCount val="1"/>
                <c:pt idx="0">
                  <c:v>Elevada turbidez</c:v>
                </c:pt>
              </c:strCache>
            </c:strRef>
          </c:tx>
          <c:spPr>
            <a:solidFill>
              <a:schemeClr val="accent2">
                <a:lumMod val="75000"/>
              </a:schemeClr>
            </a:solidFill>
            <a:ln>
              <a:noFill/>
            </a:ln>
            <a:effectLst/>
          </c:spPr>
          <c:invertIfNegative val="0"/>
          <c:dLbls>
            <c:delete val="1"/>
          </c:dLbls>
          <c:cat>
            <c:strRef>
              <c:f>'Tabla dinámica'!$A$137:$A$140</c:f>
              <c:strCache>
                <c:ptCount val="4"/>
                <c:pt idx="0">
                  <c:v>Alvarado</c:v>
                </c:pt>
                <c:pt idx="1">
                  <c:v>Jiménez</c:v>
                </c:pt>
                <c:pt idx="2">
                  <c:v>Oreamuno</c:v>
                </c:pt>
                <c:pt idx="3">
                  <c:v>Turrialba</c:v>
                </c:pt>
              </c:strCache>
            </c:strRef>
          </c:cat>
          <c:val>
            <c:numRef>
              <c:f>'Tabla dinámica'!$F$137:$F$140</c:f>
              <c:numCache>
                <c:formatCode>0</c:formatCode>
                <c:ptCount val="4"/>
                <c:pt idx="0">
                  <c:v>17.966903073286051</c:v>
                </c:pt>
                <c:pt idx="1">
                  <c:v>5.7581573896353166</c:v>
                </c:pt>
                <c:pt idx="2">
                  <c:v>22.76923076923077</c:v>
                </c:pt>
                <c:pt idx="3">
                  <c:v>8.8333333333333339</c:v>
                </c:pt>
              </c:numCache>
            </c:numRef>
          </c:val>
          <c:extLst>
            <c:ext xmlns:c16="http://schemas.microsoft.com/office/drawing/2014/chart" uri="{C3380CC4-5D6E-409C-BE32-E72D297353CC}">
              <c16:uniqueId val="{00000002-55CA-4FA9-8C34-5F29938425FE}"/>
            </c:ext>
          </c:extLst>
        </c:ser>
        <c:ser>
          <c:idx val="0"/>
          <c:order val="3"/>
          <c:tx>
            <c:strRef>
              <c:f>'Tabla dinámica'!$D$136</c:f>
              <c:strCache>
                <c:ptCount val="1"/>
                <c:pt idx="0">
                  <c:v>Presión insuficiente</c:v>
                </c:pt>
              </c:strCache>
            </c:strRef>
          </c:tx>
          <c:spPr>
            <a:solidFill>
              <a:srgbClr val="FFC000"/>
            </a:solidFill>
            <a:ln>
              <a:noFill/>
            </a:ln>
            <a:effectLst/>
          </c:spPr>
          <c:invertIfNegative val="0"/>
          <c:dLbls>
            <c:delete val="1"/>
          </c:dLbls>
          <c:cat>
            <c:strRef>
              <c:f>'Tabla dinámica'!$A$137:$A$140</c:f>
              <c:strCache>
                <c:ptCount val="4"/>
                <c:pt idx="0">
                  <c:v>Alvarado</c:v>
                </c:pt>
                <c:pt idx="1">
                  <c:v>Jiménez</c:v>
                </c:pt>
                <c:pt idx="2">
                  <c:v>Oreamuno</c:v>
                </c:pt>
                <c:pt idx="3">
                  <c:v>Turrialba</c:v>
                </c:pt>
              </c:strCache>
            </c:strRef>
          </c:cat>
          <c:val>
            <c:numRef>
              <c:f>'Tabla dinámica'!$D$137:$D$140</c:f>
              <c:numCache>
                <c:formatCode>0</c:formatCode>
                <c:ptCount val="4"/>
                <c:pt idx="0">
                  <c:v>14.420803782505912</c:v>
                </c:pt>
                <c:pt idx="1">
                  <c:v>3.8387715930902107</c:v>
                </c:pt>
                <c:pt idx="2">
                  <c:v>27.23076923076923</c:v>
                </c:pt>
                <c:pt idx="3">
                  <c:v>10</c:v>
                </c:pt>
              </c:numCache>
            </c:numRef>
          </c:val>
          <c:extLst>
            <c:ext xmlns:c16="http://schemas.microsoft.com/office/drawing/2014/chart" uri="{C3380CC4-5D6E-409C-BE32-E72D297353CC}">
              <c16:uniqueId val="{00000003-55CA-4FA9-8C34-5F29938425FE}"/>
            </c:ext>
          </c:extLst>
        </c:ser>
        <c:ser>
          <c:idx val="2"/>
          <c:order val="4"/>
          <c:tx>
            <c:strRef>
              <c:f>'Tabla dinámica'!$C$136</c:f>
              <c:strCache>
                <c:ptCount val="1"/>
                <c:pt idx="0">
                  <c:v>Olor a cloro</c:v>
                </c:pt>
              </c:strCache>
            </c:strRef>
          </c:tx>
          <c:spPr>
            <a:solidFill>
              <a:srgbClr val="0070C0"/>
            </a:solidFill>
            <a:ln>
              <a:noFill/>
            </a:ln>
            <a:effectLst/>
          </c:spPr>
          <c:invertIfNegative val="0"/>
          <c:dLbls>
            <c:delete val="1"/>
          </c:dLbls>
          <c:cat>
            <c:strRef>
              <c:f>'Tabla dinámica'!$A$137:$A$140</c:f>
              <c:strCache>
                <c:ptCount val="4"/>
                <c:pt idx="0">
                  <c:v>Alvarado</c:v>
                </c:pt>
                <c:pt idx="1">
                  <c:v>Jiménez</c:v>
                </c:pt>
                <c:pt idx="2">
                  <c:v>Oreamuno</c:v>
                </c:pt>
                <c:pt idx="3">
                  <c:v>Turrialba</c:v>
                </c:pt>
              </c:strCache>
            </c:strRef>
          </c:cat>
          <c:val>
            <c:numRef>
              <c:f>'Tabla dinámica'!$C$137:$C$140</c:f>
              <c:numCache>
                <c:formatCode>0</c:formatCode>
                <c:ptCount val="4"/>
                <c:pt idx="0">
                  <c:v>13.238770685579196</c:v>
                </c:pt>
                <c:pt idx="1">
                  <c:v>16.314779270633398</c:v>
                </c:pt>
                <c:pt idx="2">
                  <c:v>26.30769230769231</c:v>
                </c:pt>
                <c:pt idx="3">
                  <c:v>20.666666666666668</c:v>
                </c:pt>
              </c:numCache>
            </c:numRef>
          </c:val>
          <c:extLst>
            <c:ext xmlns:c16="http://schemas.microsoft.com/office/drawing/2014/chart" uri="{C3380CC4-5D6E-409C-BE32-E72D297353CC}">
              <c16:uniqueId val="{00000004-55CA-4FA9-8C34-5F29938425FE}"/>
            </c:ext>
          </c:extLst>
        </c:ser>
        <c:ser>
          <c:idx val="1"/>
          <c:order val="5"/>
          <c:tx>
            <c:strRef>
              <c:f>'Tabla dinámica'!$G$136</c:f>
              <c:strCache>
                <c:ptCount val="1"/>
                <c:pt idx="0">
                  <c:v>Sabor a cloro</c:v>
                </c:pt>
              </c:strCache>
            </c:strRef>
          </c:tx>
          <c:spPr>
            <a:solidFill>
              <a:schemeClr val="accent3">
                <a:lumMod val="75000"/>
              </a:schemeClr>
            </a:solidFill>
            <a:ln>
              <a:noFill/>
            </a:ln>
            <a:effectLst/>
          </c:spPr>
          <c:invertIfNegative val="0"/>
          <c:dLbls>
            <c:dLbl>
              <c:idx val="0"/>
              <c:layout>
                <c:manualLayout>
                  <c:x val="5.5555555555554534E-3"/>
                  <c:y val="5.0314465408805034E-2"/>
                </c:manualLayout>
              </c:layout>
              <c:tx>
                <c:rich>
                  <a:bodyPr/>
                  <a:lstStyle/>
                  <a:p>
                    <a:r>
                      <a:rPr lang="en-US"/>
                      <a:t>N = 423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5CA-4FA9-8C34-5F29938425FE}"/>
                </c:ext>
              </c:extLst>
            </c:dLbl>
            <c:dLbl>
              <c:idx val="1"/>
              <c:layout>
                <c:manualLayout>
                  <c:x val="-2.7777777777777779E-3"/>
                  <c:y val="4.6121593291404611E-2"/>
                </c:manualLayout>
              </c:layout>
              <c:tx>
                <c:rich>
                  <a:bodyPr/>
                  <a:lstStyle/>
                  <a:p>
                    <a:r>
                      <a:rPr lang="en-US"/>
                      <a:t>N = 521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5CA-4FA9-8C34-5F29938425FE}"/>
                </c:ext>
              </c:extLst>
            </c:dLbl>
            <c:dLbl>
              <c:idx val="2"/>
              <c:layout>
                <c:manualLayout>
                  <c:x val="-5.5555555555555558E-3"/>
                  <c:y val="4.6121593291404611E-2"/>
                </c:manualLayout>
              </c:layout>
              <c:tx>
                <c:rich>
                  <a:bodyPr/>
                  <a:lstStyle/>
                  <a:p>
                    <a:r>
                      <a:rPr lang="en-US"/>
                      <a:t>N = 650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5CA-4FA9-8C34-5F29938425FE}"/>
                </c:ext>
              </c:extLst>
            </c:dLbl>
            <c:dLbl>
              <c:idx val="3"/>
              <c:layout>
                <c:manualLayout>
                  <c:x val="1.6666666666666666E-2"/>
                  <c:y val="4.6121593291404611E-2"/>
                </c:manualLayout>
              </c:layout>
              <c:tx>
                <c:rich>
                  <a:bodyPr/>
                  <a:lstStyle/>
                  <a:p>
                    <a:r>
                      <a:rPr lang="en-US"/>
                      <a:t>N = 600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5CA-4FA9-8C34-5F29938425FE}"/>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'Tabla dinámica'!$A$137:$A$140</c:f>
              <c:strCache>
                <c:ptCount val="4"/>
                <c:pt idx="0">
                  <c:v>Alvarado</c:v>
                </c:pt>
                <c:pt idx="1">
                  <c:v>Jiménez</c:v>
                </c:pt>
                <c:pt idx="2">
                  <c:v>Oreamuno</c:v>
                </c:pt>
                <c:pt idx="3">
                  <c:v>Turrialba</c:v>
                </c:pt>
              </c:strCache>
            </c:strRef>
          </c:cat>
          <c:val>
            <c:numRef>
              <c:f>'Tabla dinámica'!$G$137:$G$140</c:f>
              <c:numCache>
                <c:formatCode>0</c:formatCode>
                <c:ptCount val="4"/>
                <c:pt idx="0">
                  <c:v>21.98581560283688</c:v>
                </c:pt>
                <c:pt idx="1">
                  <c:v>30.326295585412666</c:v>
                </c:pt>
                <c:pt idx="2">
                  <c:v>35.230769230769234</c:v>
                </c:pt>
                <c:pt idx="3">
                  <c:v>25</c:v>
                </c:pt>
              </c:numCache>
            </c:numRef>
          </c:val>
          <c:extLst>
            <c:ext xmlns:c16="http://schemas.microsoft.com/office/drawing/2014/chart" uri="{C3380CC4-5D6E-409C-BE32-E72D297353CC}">
              <c16:uniqueId val="{00000009-55CA-4FA9-8C34-5F29938425FE}"/>
            </c:ext>
          </c:extLst>
        </c:ser>
        <c:dLbls>
          <c:dLblPos val="outEnd"/>
          <c:showLegendKey val="0"/>
          <c:showVal val="1"/>
          <c:showCatName val="0"/>
          <c:showSerName val="0"/>
          <c:showPercent val="0"/>
          <c:showBubbleSize val="0"/>
        </c:dLbls>
        <c:gapWidth val="65"/>
        <c:axId val="286756656"/>
        <c:axId val="286751168"/>
      </c:barChart>
      <c:catAx>
        <c:axId val="286756656"/>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419" b="1"/>
                  <a:t>Cantón</a:t>
                </a:r>
              </a:p>
            </c:rich>
          </c:tx>
          <c:layout>
            <c:manualLayout>
              <c:xMode val="edge"/>
              <c:yMode val="edge"/>
              <c:x val="2.5000000000000001E-2"/>
              <c:y val="0.29687746578847457"/>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6751168"/>
        <c:crosses val="autoZero"/>
        <c:auto val="1"/>
        <c:lblAlgn val="ctr"/>
        <c:lblOffset val="100"/>
        <c:noMultiLvlLbl val="0"/>
      </c:catAx>
      <c:valAx>
        <c:axId val="2867511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419" b="1"/>
                  <a:t>Porcentaje de observaciones en relación al total de encuestas (%)</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6756656"/>
        <c:crosses val="autoZero"/>
        <c:crossBetween val="between"/>
      </c:valAx>
      <c:spPr>
        <a:noFill/>
        <a:ln>
          <a:noFill/>
        </a:ln>
        <a:effectLst/>
      </c:spPr>
    </c:plotArea>
    <c:legend>
      <c:legendPos val="b"/>
      <c:layout>
        <c:manualLayout>
          <c:xMode val="edge"/>
          <c:yMode val="edge"/>
          <c:x val="9.854768153980753E-2"/>
          <c:y val="0.84800739530200231"/>
          <c:w val="0.86401574803149617"/>
          <c:h val="0.1352211162283959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337584317947027"/>
          <c:y val="2.6221347754440292E-3"/>
          <c:w val="0.77063625867053276"/>
          <c:h val="0.60956205945954867"/>
        </c:manualLayout>
      </c:layout>
      <c:barChart>
        <c:barDir val="bar"/>
        <c:grouping val="clustered"/>
        <c:varyColors val="0"/>
        <c:ser>
          <c:idx val="1"/>
          <c:order val="0"/>
          <c:tx>
            <c:strRef>
              <c:f>'Tabla dinámica'!$C$153</c:f>
              <c:strCache>
                <c:ptCount val="1"/>
                <c:pt idx="0">
                  <c:v>Bomba de agua propia</c:v>
                </c:pt>
              </c:strCache>
            </c:strRef>
          </c:tx>
          <c:spPr>
            <a:solidFill>
              <a:schemeClr val="accent2">
                <a:lumMod val="75000"/>
              </a:schemeClr>
            </a:solidFill>
            <a:ln>
              <a:noFill/>
            </a:ln>
            <a:effectLst/>
          </c:spPr>
          <c:invertIfNegative val="0"/>
          <c:dLbls>
            <c:delete val="1"/>
          </c:dLbls>
          <c:cat>
            <c:strRef>
              <c:f>'Tabla dinámica'!$A$163:$A$166</c:f>
              <c:strCache>
                <c:ptCount val="4"/>
                <c:pt idx="0">
                  <c:v>Alvarado</c:v>
                </c:pt>
                <c:pt idx="1">
                  <c:v>Jiménez</c:v>
                </c:pt>
                <c:pt idx="2">
                  <c:v>Oreamuno</c:v>
                </c:pt>
                <c:pt idx="3">
                  <c:v>Turrialba</c:v>
                </c:pt>
              </c:strCache>
            </c:strRef>
          </c:cat>
          <c:val>
            <c:numRef>
              <c:f>'Tabla dinámica'!$C$163:$C$166</c:f>
              <c:numCache>
                <c:formatCode>0.0</c:formatCode>
                <c:ptCount val="4"/>
                <c:pt idx="0">
                  <c:v>2.1276595744680851</c:v>
                </c:pt>
                <c:pt idx="1">
                  <c:v>0</c:v>
                </c:pt>
                <c:pt idx="2">
                  <c:v>5.2307692307692308</c:v>
                </c:pt>
                <c:pt idx="3">
                  <c:v>2</c:v>
                </c:pt>
              </c:numCache>
            </c:numRef>
          </c:val>
          <c:extLst>
            <c:ext xmlns:c16="http://schemas.microsoft.com/office/drawing/2014/chart" uri="{C3380CC4-5D6E-409C-BE32-E72D297353CC}">
              <c16:uniqueId val="{00000000-C2AD-435B-BD6F-3E58001A049C}"/>
            </c:ext>
          </c:extLst>
        </c:ser>
        <c:ser>
          <c:idx val="2"/>
          <c:order val="1"/>
          <c:tx>
            <c:strRef>
              <c:f>'Tabla dinámica'!$D$153</c:f>
              <c:strCache>
                <c:ptCount val="1"/>
                <c:pt idx="0">
                  <c:v>Sistema de tratamiento del agua propio</c:v>
                </c:pt>
              </c:strCache>
            </c:strRef>
          </c:tx>
          <c:spPr>
            <a:solidFill>
              <a:srgbClr val="FFC000"/>
            </a:solidFill>
            <a:ln>
              <a:noFill/>
            </a:ln>
            <a:effectLst/>
          </c:spPr>
          <c:invertIfNegative val="0"/>
          <c:dLbls>
            <c:delete val="1"/>
          </c:dLbls>
          <c:cat>
            <c:strRef>
              <c:f>'Tabla dinámica'!$A$163:$A$166</c:f>
              <c:strCache>
                <c:ptCount val="4"/>
                <c:pt idx="0">
                  <c:v>Alvarado</c:v>
                </c:pt>
                <c:pt idx="1">
                  <c:v>Jiménez</c:v>
                </c:pt>
                <c:pt idx="2">
                  <c:v>Oreamuno</c:v>
                </c:pt>
                <c:pt idx="3">
                  <c:v>Turrialba</c:v>
                </c:pt>
              </c:strCache>
            </c:strRef>
          </c:cat>
          <c:val>
            <c:numRef>
              <c:f>'Tabla dinámica'!$D$163:$D$166</c:f>
              <c:numCache>
                <c:formatCode>0.0</c:formatCode>
                <c:ptCount val="4"/>
                <c:pt idx="0">
                  <c:v>8.0378250591016549</c:v>
                </c:pt>
                <c:pt idx="1">
                  <c:v>5.7581573896353166</c:v>
                </c:pt>
                <c:pt idx="2">
                  <c:v>27.076923076923077</c:v>
                </c:pt>
                <c:pt idx="3">
                  <c:v>5.3333333333333339</c:v>
                </c:pt>
              </c:numCache>
            </c:numRef>
          </c:val>
          <c:extLst>
            <c:ext xmlns:c16="http://schemas.microsoft.com/office/drawing/2014/chart" uri="{C3380CC4-5D6E-409C-BE32-E72D297353CC}">
              <c16:uniqueId val="{00000001-C2AD-435B-BD6F-3E58001A049C}"/>
            </c:ext>
          </c:extLst>
        </c:ser>
        <c:ser>
          <c:idx val="0"/>
          <c:order val="2"/>
          <c:tx>
            <c:strRef>
              <c:f>'Tabla dinámica'!$B$153</c:f>
              <c:strCache>
                <c:ptCount val="1"/>
                <c:pt idx="0">
                  <c:v>Tanque de almacenamiento propio</c:v>
                </c:pt>
              </c:strCache>
            </c:strRef>
          </c:tx>
          <c:spPr>
            <a:solidFill>
              <a:srgbClr val="0070C0"/>
            </a:solidFill>
            <a:ln>
              <a:noFill/>
            </a:ln>
            <a:effectLst/>
          </c:spPr>
          <c:invertIfNegative val="0"/>
          <c:dLbls>
            <c:delete val="1"/>
          </c:dLbls>
          <c:cat>
            <c:strRef>
              <c:f>'Tabla dinámica'!$A$163:$A$166</c:f>
              <c:strCache>
                <c:ptCount val="4"/>
                <c:pt idx="0">
                  <c:v>Alvarado</c:v>
                </c:pt>
                <c:pt idx="1">
                  <c:v>Jiménez</c:v>
                </c:pt>
                <c:pt idx="2">
                  <c:v>Oreamuno</c:v>
                </c:pt>
                <c:pt idx="3">
                  <c:v>Turrialba</c:v>
                </c:pt>
              </c:strCache>
            </c:strRef>
          </c:cat>
          <c:val>
            <c:numRef>
              <c:f>'Tabla dinámica'!$B$163:$B$166</c:f>
              <c:numCache>
                <c:formatCode>0.0</c:formatCode>
                <c:ptCount val="4"/>
                <c:pt idx="0">
                  <c:v>8.5106382978723403</c:v>
                </c:pt>
                <c:pt idx="1">
                  <c:v>3.262955854126679</c:v>
                </c:pt>
                <c:pt idx="2">
                  <c:v>9.5384615384615383</c:v>
                </c:pt>
                <c:pt idx="3">
                  <c:v>6</c:v>
                </c:pt>
              </c:numCache>
            </c:numRef>
          </c:val>
          <c:extLst>
            <c:ext xmlns:c16="http://schemas.microsoft.com/office/drawing/2014/chart" uri="{C3380CC4-5D6E-409C-BE32-E72D297353CC}">
              <c16:uniqueId val="{00000002-C2AD-435B-BD6F-3E58001A049C}"/>
            </c:ext>
          </c:extLst>
        </c:ser>
        <c:ser>
          <c:idx val="3"/>
          <c:order val="3"/>
          <c:tx>
            <c:strRef>
              <c:f>'Tabla dinámica'!$E$153</c:f>
              <c:strCache>
                <c:ptCount val="1"/>
                <c:pt idx="0">
                  <c:v>Hervir el agua antes de consumirla</c:v>
                </c:pt>
              </c:strCache>
            </c:strRef>
          </c:tx>
          <c:spPr>
            <a:solidFill>
              <a:schemeClr val="accent3">
                <a:lumMod val="75000"/>
              </a:schemeClr>
            </a:solidFill>
            <a:ln>
              <a:noFill/>
            </a:ln>
            <a:effectLst/>
          </c:spPr>
          <c:invertIfNegative val="0"/>
          <c:dLbls>
            <c:dLbl>
              <c:idx val="0"/>
              <c:layout>
                <c:manualLayout>
                  <c:x val="0"/>
                  <c:y val="2.9297457514567162E-2"/>
                </c:manualLayout>
              </c:layout>
              <c:tx>
                <c:rich>
                  <a:bodyPr/>
                  <a:lstStyle/>
                  <a:p>
                    <a:r>
                      <a:rPr lang="en-US"/>
                      <a:t>N = 423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2AD-435B-BD6F-3E58001A049C}"/>
                </c:ext>
              </c:extLst>
            </c:dLbl>
            <c:dLbl>
              <c:idx val="1"/>
              <c:layout>
                <c:manualLayout>
                  <c:x val="2.1315614366510399E-2"/>
                  <c:y val="2.5112106441057491E-2"/>
                </c:manualLayout>
              </c:layout>
              <c:tx>
                <c:rich>
                  <a:bodyPr/>
                  <a:lstStyle/>
                  <a:p>
                    <a:r>
                      <a:rPr lang="en-US"/>
                      <a:t>N = 521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2AD-435B-BD6F-3E58001A049C}"/>
                </c:ext>
              </c:extLst>
            </c:dLbl>
            <c:dLbl>
              <c:idx val="2"/>
              <c:layout>
                <c:manualLayout>
                  <c:x val="4.2477121571171447E-3"/>
                  <c:y val="3.3482808588076722E-2"/>
                </c:manualLayout>
              </c:layout>
              <c:tx>
                <c:rich>
                  <a:bodyPr/>
                  <a:lstStyle/>
                  <a:p>
                    <a:r>
                      <a:rPr lang="en-US"/>
                      <a:t>N = 650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2AD-435B-BD6F-3E58001A049C}"/>
                </c:ext>
              </c:extLst>
            </c:dLbl>
            <c:dLbl>
              <c:idx val="3"/>
              <c:layout>
                <c:manualLayout>
                  <c:x val="2.9066746863423368E-2"/>
                  <c:y val="3.7668159661586341E-2"/>
                </c:manualLayout>
              </c:layout>
              <c:tx>
                <c:rich>
                  <a:bodyPr/>
                  <a:lstStyle/>
                  <a:p>
                    <a:r>
                      <a:rPr lang="en-US"/>
                      <a:t>N = 600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2AD-435B-BD6F-3E58001A049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'Tabla dinámica'!$A$163:$A$166</c:f>
              <c:strCache>
                <c:ptCount val="4"/>
                <c:pt idx="0">
                  <c:v>Alvarado</c:v>
                </c:pt>
                <c:pt idx="1">
                  <c:v>Jiménez</c:v>
                </c:pt>
                <c:pt idx="2">
                  <c:v>Oreamuno</c:v>
                </c:pt>
                <c:pt idx="3">
                  <c:v>Turrialba</c:v>
                </c:pt>
              </c:strCache>
            </c:strRef>
          </c:cat>
          <c:val>
            <c:numRef>
              <c:f>'Tabla dinámica'!$E$163:$E$166</c:f>
              <c:numCache>
                <c:formatCode>0.0</c:formatCode>
                <c:ptCount val="4"/>
                <c:pt idx="0">
                  <c:v>21.749408983451538</c:v>
                </c:pt>
                <c:pt idx="1">
                  <c:v>12.859884836852206</c:v>
                </c:pt>
                <c:pt idx="2">
                  <c:v>29.69230769230769</c:v>
                </c:pt>
                <c:pt idx="3">
                  <c:v>8.5</c:v>
                </c:pt>
              </c:numCache>
            </c:numRef>
          </c:val>
          <c:extLst>
            <c:ext xmlns:c16="http://schemas.microsoft.com/office/drawing/2014/chart" uri="{C3380CC4-5D6E-409C-BE32-E72D297353CC}">
              <c16:uniqueId val="{00000007-C2AD-435B-BD6F-3E58001A049C}"/>
            </c:ext>
          </c:extLst>
        </c:ser>
        <c:dLbls>
          <c:dLblPos val="outEnd"/>
          <c:showLegendKey val="0"/>
          <c:showVal val="1"/>
          <c:showCatName val="0"/>
          <c:showSerName val="0"/>
          <c:showPercent val="0"/>
          <c:showBubbleSize val="0"/>
        </c:dLbls>
        <c:gapWidth val="65"/>
        <c:axId val="286751952"/>
        <c:axId val="463480832"/>
      </c:barChart>
      <c:catAx>
        <c:axId val="286751952"/>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419" b="1"/>
                  <a:t>Cantón</a:t>
                </a:r>
              </a:p>
            </c:rich>
          </c:tx>
          <c:layout>
            <c:manualLayout>
              <c:xMode val="edge"/>
              <c:yMode val="edge"/>
              <c:x val="2.5000000000000001E-2"/>
              <c:y val="0.29687746578847457"/>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3480832"/>
        <c:crosses val="autoZero"/>
        <c:auto val="1"/>
        <c:lblAlgn val="ctr"/>
        <c:lblOffset val="100"/>
        <c:noMultiLvlLbl val="0"/>
      </c:catAx>
      <c:valAx>
        <c:axId val="4634808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419" b="1"/>
                  <a:t>Porcentaje de observaciones en relación al total de encuestas (%)</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6751952"/>
        <c:crosses val="autoZero"/>
        <c:crossBetween val="between"/>
      </c:valAx>
      <c:spPr>
        <a:noFill/>
        <a:ln>
          <a:noFill/>
        </a:ln>
        <a:effectLst/>
      </c:spPr>
    </c:plotArea>
    <c:legend>
      <c:legendPos val="b"/>
      <c:layout>
        <c:manualLayout>
          <c:xMode val="edge"/>
          <c:yMode val="edge"/>
          <c:x val="2.4844733438088712E-2"/>
          <c:y val="0.84800739530200231"/>
          <c:w val="0.96847893462049328"/>
          <c:h val="0.1453372510800471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FF8CE67-CDBC-4AA6-81FF-5F79EE66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13112</Words>
  <Characters>74741</Characters>
  <Application>Microsoft Office Word</Application>
  <DocSecurity>0</DocSecurity>
  <Lines>622</Lines>
  <Paragraphs>175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87678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2019-11-22T19:06:00Z</dcterms:created>
  <dcterms:modified xsi:type="dcterms:W3CDTF">2019-11-22T20:28:00Z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3b423202-0a43-3186-84a0-6580ae8a60ab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http://www.zotero.org/styles/associacao-brasileira-de-normas-tecnicas</vt:lpwstr>
  </property>
  <property fmtid="{D5CDD505-2E9C-101B-9397-08002B2CF9AE}" pid="14" name="Mendeley Recent Style Name 4_1">
    <vt:lpwstr>Associação Brasileira de Normas Técnicas (Portuguese - Brazil)</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http://www.zotero.org/styles/environmental-science-and-pollution-research</vt:lpwstr>
  </property>
  <property fmtid="{D5CDD505-2E9C-101B-9397-08002B2CF9AE}" pid="18" name="Mendeley Recent Style Name 6_1">
    <vt:lpwstr>Environmental Science and Pollution Research</vt:lpwstr>
  </property>
  <property fmtid="{D5CDD505-2E9C-101B-9397-08002B2CF9AE}" pid="19" name="Mendeley Recent Style Id 7_1">
    <vt:lpwstr>http://www.zotero.org/styles/taylor-and-francis-apa</vt:lpwstr>
  </property>
  <property fmtid="{D5CDD505-2E9C-101B-9397-08002B2CF9AE}" pid="20" name="Mendeley Recent Style Name 7_1">
    <vt:lpwstr>Taylor &amp; Francis - APA</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http://www.zotero.org/styles/water-science-and-technology</vt:lpwstr>
  </property>
  <property fmtid="{D5CDD505-2E9C-101B-9397-08002B2CF9AE}" pid="24" name="Mendeley Recent Style Name 9_1">
    <vt:lpwstr>Water Science &amp; Technology</vt:lpwstr>
  </property>
</Properties>
</file>