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44BF" w14:textId="211285B0" w:rsidR="00F42B83" w:rsidRPr="00F42B83" w:rsidRDefault="00F42B83" w:rsidP="00D62000">
      <w:pPr>
        <w:spacing w:after="0"/>
        <w:jc w:val="center"/>
        <w:rPr>
          <w:rFonts w:eastAsia="Times New Roman"/>
          <w:b/>
          <w:sz w:val="36"/>
          <w:szCs w:val="36"/>
          <w:lang w:val="pt-BR" w:eastAsia="es-ES"/>
        </w:rPr>
      </w:pPr>
      <w:r w:rsidRPr="00F42B83">
        <w:rPr>
          <w:rFonts w:eastAsia="Times New Roman"/>
          <w:b/>
          <w:sz w:val="36"/>
          <w:szCs w:val="36"/>
          <w:lang w:val="pt-BR" w:eastAsia="es-ES"/>
        </w:rPr>
        <w:t>NOTA TÉCNICA</w:t>
      </w:r>
    </w:p>
    <w:p w14:paraId="5E9F7831" w14:textId="77777777" w:rsidR="00F42B83" w:rsidRPr="00D62000" w:rsidRDefault="00F42B83" w:rsidP="00D62000">
      <w:pPr>
        <w:spacing w:after="0"/>
        <w:jc w:val="center"/>
        <w:rPr>
          <w:rFonts w:eastAsia="Times New Roman"/>
          <w:b/>
          <w:lang w:val="pt-BR" w:eastAsia="es-ES"/>
        </w:rPr>
      </w:pPr>
    </w:p>
    <w:p w14:paraId="7D53CEDA" w14:textId="4AEF941F" w:rsidR="00396174" w:rsidRPr="00C97558" w:rsidRDefault="00396174" w:rsidP="00D62000">
      <w:pPr>
        <w:spacing w:after="0"/>
        <w:jc w:val="center"/>
        <w:rPr>
          <w:rFonts w:eastAsia="Times New Roman"/>
          <w:b/>
          <w:sz w:val="28"/>
          <w:szCs w:val="28"/>
          <w:lang w:val="pt-BR" w:eastAsia="es-ES"/>
        </w:rPr>
      </w:pPr>
      <w:r w:rsidRPr="00C97558">
        <w:rPr>
          <w:rFonts w:eastAsia="Times New Roman"/>
          <w:b/>
          <w:sz w:val="28"/>
          <w:szCs w:val="28"/>
          <w:lang w:val="pt-BR" w:eastAsia="es-ES"/>
        </w:rPr>
        <w:t xml:space="preserve">Estimación de </w:t>
      </w:r>
      <w:r w:rsidR="005034BB" w:rsidRPr="00C97558">
        <w:rPr>
          <w:rFonts w:eastAsia="Times New Roman"/>
          <w:b/>
          <w:sz w:val="28"/>
          <w:szCs w:val="28"/>
          <w:lang w:val="pt-BR" w:eastAsia="es-ES"/>
        </w:rPr>
        <w:t>m</w:t>
      </w:r>
      <w:r w:rsidRPr="00C97558">
        <w:rPr>
          <w:rFonts w:eastAsia="Times New Roman"/>
          <w:b/>
          <w:sz w:val="28"/>
          <w:szCs w:val="28"/>
          <w:lang w:val="pt-BR" w:eastAsia="es-ES"/>
        </w:rPr>
        <w:t xml:space="preserve">etano, </w:t>
      </w:r>
      <w:r w:rsidR="005034BB" w:rsidRPr="00C97558">
        <w:rPr>
          <w:rFonts w:eastAsia="Times New Roman"/>
          <w:b/>
          <w:sz w:val="28"/>
          <w:szCs w:val="28"/>
          <w:lang w:val="pt-BR" w:eastAsia="es-ES"/>
        </w:rPr>
        <w:t>d</w:t>
      </w:r>
      <w:r w:rsidRPr="00C97558">
        <w:rPr>
          <w:rFonts w:eastAsia="Times New Roman"/>
          <w:b/>
          <w:sz w:val="28"/>
          <w:szCs w:val="28"/>
          <w:lang w:val="pt-BR" w:eastAsia="es-ES"/>
        </w:rPr>
        <w:t xml:space="preserve">ióxido de </w:t>
      </w:r>
      <w:r w:rsidR="005034BB" w:rsidRPr="00C97558">
        <w:rPr>
          <w:rFonts w:eastAsia="Times New Roman"/>
          <w:b/>
          <w:sz w:val="28"/>
          <w:szCs w:val="28"/>
          <w:lang w:val="pt-BR" w:eastAsia="es-ES"/>
        </w:rPr>
        <w:t>c</w:t>
      </w:r>
      <w:r w:rsidRPr="00C97558">
        <w:rPr>
          <w:rFonts w:eastAsia="Times New Roman"/>
          <w:b/>
          <w:sz w:val="28"/>
          <w:szCs w:val="28"/>
          <w:lang w:val="pt-BR" w:eastAsia="es-ES"/>
        </w:rPr>
        <w:t xml:space="preserve">arbono y </w:t>
      </w:r>
      <w:r w:rsidR="005034BB" w:rsidRPr="00C97558">
        <w:rPr>
          <w:rFonts w:eastAsia="Times New Roman"/>
          <w:b/>
          <w:sz w:val="28"/>
          <w:szCs w:val="28"/>
          <w:lang w:val="pt-BR" w:eastAsia="es-ES"/>
        </w:rPr>
        <w:t>c</w:t>
      </w:r>
      <w:r w:rsidRPr="00C97558">
        <w:rPr>
          <w:rFonts w:eastAsia="Times New Roman"/>
          <w:b/>
          <w:sz w:val="28"/>
          <w:szCs w:val="28"/>
          <w:lang w:val="pt-BR" w:eastAsia="es-ES"/>
        </w:rPr>
        <w:t xml:space="preserve">ompuestos </w:t>
      </w:r>
      <w:r w:rsidR="005034BB" w:rsidRPr="00C97558">
        <w:rPr>
          <w:rFonts w:eastAsia="Times New Roman"/>
          <w:b/>
          <w:sz w:val="28"/>
          <w:szCs w:val="28"/>
          <w:lang w:val="pt-BR" w:eastAsia="es-ES"/>
        </w:rPr>
        <w:t>o</w:t>
      </w:r>
      <w:r w:rsidRPr="00C97558">
        <w:rPr>
          <w:rFonts w:eastAsia="Times New Roman"/>
          <w:b/>
          <w:sz w:val="28"/>
          <w:szCs w:val="28"/>
          <w:lang w:val="pt-BR" w:eastAsia="es-ES"/>
        </w:rPr>
        <w:t>rgánico</w:t>
      </w:r>
      <w:r w:rsidR="00045D3F" w:rsidRPr="00C97558">
        <w:rPr>
          <w:rFonts w:eastAsia="Times New Roman"/>
          <w:b/>
          <w:sz w:val="28"/>
          <w:szCs w:val="28"/>
          <w:lang w:val="pt-BR" w:eastAsia="es-ES"/>
        </w:rPr>
        <w:t xml:space="preserve">s </w:t>
      </w:r>
      <w:r w:rsidRPr="00C97558">
        <w:rPr>
          <w:rFonts w:eastAsia="Times New Roman"/>
          <w:b/>
          <w:sz w:val="28"/>
          <w:szCs w:val="28"/>
          <w:lang w:val="pt-BR" w:eastAsia="es-ES"/>
        </w:rPr>
        <w:t xml:space="preserve">en el </w:t>
      </w:r>
      <w:r w:rsidR="005034BB" w:rsidRPr="00C97558">
        <w:rPr>
          <w:rFonts w:eastAsia="Times New Roman"/>
          <w:b/>
          <w:sz w:val="28"/>
          <w:szCs w:val="28"/>
          <w:lang w:val="pt-BR" w:eastAsia="es-ES"/>
        </w:rPr>
        <w:t>r</w:t>
      </w:r>
      <w:r w:rsidRPr="00C97558">
        <w:rPr>
          <w:rFonts w:eastAsia="Times New Roman"/>
          <w:b/>
          <w:sz w:val="28"/>
          <w:szCs w:val="28"/>
          <w:lang w:val="pt-BR" w:eastAsia="es-ES"/>
        </w:rPr>
        <w:t xml:space="preserve">elleno </w:t>
      </w:r>
      <w:r w:rsidR="00045D3F" w:rsidRPr="00C97558">
        <w:rPr>
          <w:rFonts w:eastAsia="Times New Roman"/>
          <w:b/>
          <w:sz w:val="28"/>
          <w:szCs w:val="28"/>
          <w:lang w:val="pt-BR" w:eastAsia="es-ES"/>
        </w:rPr>
        <w:t xml:space="preserve">de </w:t>
      </w:r>
      <w:r w:rsidRPr="00C97558">
        <w:rPr>
          <w:rFonts w:eastAsia="Times New Roman"/>
          <w:b/>
          <w:sz w:val="28"/>
          <w:szCs w:val="28"/>
          <w:lang w:val="pt-BR" w:eastAsia="es-ES"/>
        </w:rPr>
        <w:t>Doña Juana en Bogotá, Colombia</w:t>
      </w:r>
    </w:p>
    <w:p w14:paraId="6BDF10F0" w14:textId="77777777" w:rsidR="000E7C33" w:rsidRPr="00D62000" w:rsidRDefault="000E7C33" w:rsidP="00D62000">
      <w:pPr>
        <w:spacing w:after="0"/>
        <w:jc w:val="center"/>
        <w:rPr>
          <w:rFonts w:eastAsia="Times New Roman"/>
          <w:b/>
          <w:lang w:val="pt-BR" w:eastAsia="es-ES"/>
        </w:rPr>
      </w:pPr>
    </w:p>
    <w:p w14:paraId="79E470C1" w14:textId="668B7E12" w:rsidR="00113C15" w:rsidRPr="00C97558" w:rsidRDefault="000E7C33" w:rsidP="00D62000">
      <w:pPr>
        <w:spacing w:after="0"/>
        <w:jc w:val="center"/>
        <w:rPr>
          <w:rFonts w:eastAsia="Times New Roman"/>
          <w:b/>
          <w:sz w:val="28"/>
          <w:szCs w:val="28"/>
          <w:lang w:val="en-US" w:eastAsia="es-ES"/>
        </w:rPr>
      </w:pPr>
      <w:r w:rsidRPr="00C97558">
        <w:rPr>
          <w:rFonts w:eastAsia="Times New Roman"/>
          <w:b/>
          <w:sz w:val="28"/>
          <w:szCs w:val="28"/>
          <w:lang w:val="en" w:eastAsia="es-ES"/>
        </w:rPr>
        <w:t xml:space="preserve">Estimation of </w:t>
      </w:r>
      <w:r w:rsidR="005034BB" w:rsidRPr="00C97558">
        <w:rPr>
          <w:rFonts w:eastAsia="Times New Roman"/>
          <w:b/>
          <w:sz w:val="28"/>
          <w:szCs w:val="28"/>
          <w:lang w:val="en" w:eastAsia="es-ES"/>
        </w:rPr>
        <w:t>m</w:t>
      </w:r>
      <w:r w:rsidRPr="00C97558">
        <w:rPr>
          <w:rFonts w:eastAsia="Times New Roman"/>
          <w:b/>
          <w:sz w:val="28"/>
          <w:szCs w:val="28"/>
          <w:lang w:val="en" w:eastAsia="es-ES"/>
        </w:rPr>
        <w:t xml:space="preserve">ethane, </w:t>
      </w:r>
      <w:r w:rsidR="005034BB" w:rsidRPr="00C97558">
        <w:rPr>
          <w:rFonts w:eastAsia="Times New Roman"/>
          <w:b/>
          <w:sz w:val="28"/>
          <w:szCs w:val="28"/>
          <w:lang w:val="en" w:eastAsia="es-ES"/>
        </w:rPr>
        <w:t>c</w:t>
      </w:r>
      <w:r w:rsidRPr="00C97558">
        <w:rPr>
          <w:rFonts w:eastAsia="Times New Roman"/>
          <w:b/>
          <w:sz w:val="28"/>
          <w:szCs w:val="28"/>
          <w:lang w:val="en" w:eastAsia="es-ES"/>
        </w:rPr>
        <w:t xml:space="preserve">arbon </w:t>
      </w:r>
      <w:r w:rsidR="005034BB" w:rsidRPr="00C97558">
        <w:rPr>
          <w:rFonts w:eastAsia="Times New Roman"/>
          <w:b/>
          <w:sz w:val="28"/>
          <w:szCs w:val="28"/>
          <w:lang w:val="en" w:eastAsia="es-ES"/>
        </w:rPr>
        <w:t>d</w:t>
      </w:r>
      <w:r w:rsidRPr="00C97558">
        <w:rPr>
          <w:rFonts w:eastAsia="Times New Roman"/>
          <w:b/>
          <w:sz w:val="28"/>
          <w:szCs w:val="28"/>
          <w:lang w:val="en" w:eastAsia="es-ES"/>
        </w:rPr>
        <w:t xml:space="preserve">ioxide and </w:t>
      </w:r>
      <w:r w:rsidR="005034BB" w:rsidRPr="00C97558">
        <w:rPr>
          <w:rFonts w:eastAsia="Times New Roman"/>
          <w:b/>
          <w:sz w:val="28"/>
          <w:szCs w:val="28"/>
          <w:lang w:val="en" w:eastAsia="es-ES"/>
        </w:rPr>
        <w:t>o</w:t>
      </w:r>
      <w:r w:rsidRPr="00C97558">
        <w:rPr>
          <w:rFonts w:eastAsia="Times New Roman"/>
          <w:b/>
          <w:sz w:val="28"/>
          <w:szCs w:val="28"/>
          <w:lang w:val="en" w:eastAsia="es-ES"/>
        </w:rPr>
        <w:t xml:space="preserve">rganic </w:t>
      </w:r>
      <w:r w:rsidR="005034BB" w:rsidRPr="00C97558">
        <w:rPr>
          <w:rFonts w:eastAsia="Times New Roman"/>
          <w:b/>
          <w:sz w:val="28"/>
          <w:szCs w:val="28"/>
          <w:lang w:val="en" w:eastAsia="es-ES"/>
        </w:rPr>
        <w:t>c</w:t>
      </w:r>
      <w:r w:rsidRPr="00C97558">
        <w:rPr>
          <w:rFonts w:eastAsia="Times New Roman"/>
          <w:b/>
          <w:sz w:val="28"/>
          <w:szCs w:val="28"/>
          <w:lang w:val="en" w:eastAsia="es-ES"/>
        </w:rPr>
        <w:t xml:space="preserve">ompounds in the Doña Juana </w:t>
      </w:r>
      <w:r w:rsidR="005034BB" w:rsidRPr="00C97558">
        <w:rPr>
          <w:rFonts w:eastAsia="Times New Roman"/>
          <w:b/>
          <w:sz w:val="28"/>
          <w:szCs w:val="28"/>
          <w:lang w:val="en" w:eastAsia="es-ES"/>
        </w:rPr>
        <w:t>l</w:t>
      </w:r>
      <w:r w:rsidRPr="00C97558">
        <w:rPr>
          <w:rFonts w:eastAsia="Times New Roman"/>
          <w:b/>
          <w:sz w:val="28"/>
          <w:szCs w:val="28"/>
          <w:lang w:val="en" w:eastAsia="es-ES"/>
        </w:rPr>
        <w:t>andfill in Bogotá, Colombia</w:t>
      </w:r>
    </w:p>
    <w:p w14:paraId="0CFCAD1F" w14:textId="77777777" w:rsidR="000E7C33" w:rsidRPr="00073D09" w:rsidRDefault="000E7C33" w:rsidP="00D62000">
      <w:pPr>
        <w:spacing w:after="0"/>
        <w:jc w:val="center"/>
        <w:rPr>
          <w:rFonts w:eastAsia="Times New Roman"/>
          <w:b/>
          <w:lang w:val="pt-BR" w:eastAsia="es-ES"/>
        </w:rPr>
      </w:pPr>
    </w:p>
    <w:p w14:paraId="45DF3147" w14:textId="6799A931" w:rsidR="00EB4865" w:rsidRPr="00073D09" w:rsidRDefault="00EB4865" w:rsidP="00D62000">
      <w:pPr>
        <w:spacing w:after="0"/>
        <w:jc w:val="center"/>
        <w:rPr>
          <w:rFonts w:eastAsia="Times New Roman"/>
          <w:b/>
          <w:lang w:val="pt-BR" w:eastAsia="es-ES"/>
        </w:rPr>
      </w:pPr>
      <w:r w:rsidRPr="00073D09">
        <w:rPr>
          <w:rFonts w:eastAsia="Times New Roman"/>
          <w:b/>
          <w:lang w:val="pt-BR" w:eastAsia="es-ES"/>
        </w:rPr>
        <w:t>Jeisson Martin-Calvo</w:t>
      </w:r>
      <w:r w:rsidRPr="00073D09">
        <w:rPr>
          <w:rFonts w:eastAsia="Times New Roman"/>
          <w:b/>
          <w:bCs/>
          <w:vertAlign w:val="superscript"/>
          <w:lang w:val="it-IT" w:eastAsia="es-ES"/>
        </w:rPr>
        <w:footnoteReference w:id="2"/>
      </w:r>
      <w:r w:rsidRPr="00073D09">
        <w:rPr>
          <w:rFonts w:eastAsia="Times New Roman"/>
          <w:b/>
          <w:lang w:val="pt-BR" w:eastAsia="es-ES"/>
        </w:rPr>
        <w:t>,</w:t>
      </w:r>
      <w:r w:rsidRPr="00073D09">
        <w:rPr>
          <w:rFonts w:eastAsia="Times New Roman"/>
          <w:b/>
          <w:bCs/>
          <w:lang w:val="it-IT" w:eastAsia="es-ES"/>
        </w:rPr>
        <w:t xml:space="preserve"> Julian Castañeda-Gomez</w:t>
      </w:r>
      <w:r w:rsidRPr="00073D09">
        <w:rPr>
          <w:rFonts w:eastAsia="Times New Roman"/>
          <w:b/>
          <w:bCs/>
          <w:vertAlign w:val="superscript"/>
          <w:lang w:eastAsia="es-ES"/>
        </w:rPr>
        <w:footnoteReference w:id="3"/>
      </w:r>
    </w:p>
    <w:p w14:paraId="03D499E4" w14:textId="3D0FF056" w:rsidR="004B42BF" w:rsidRDefault="004B42BF" w:rsidP="00D62000">
      <w:pPr>
        <w:spacing w:after="0"/>
        <w:jc w:val="center"/>
        <w:rPr>
          <w:rFonts w:eastAsia="Times New Roman"/>
          <w:b/>
          <w:lang w:val="pt-BR" w:eastAsia="es-ES"/>
        </w:rPr>
      </w:pPr>
    </w:p>
    <w:p w14:paraId="07AB3A62" w14:textId="32592D3A" w:rsidR="00004D80" w:rsidRPr="00004D80" w:rsidRDefault="00004D80" w:rsidP="00004D80">
      <w:pPr>
        <w:pBdr>
          <w:top w:val="nil"/>
          <w:left w:val="nil"/>
          <w:bottom w:val="nil"/>
          <w:right w:val="nil"/>
          <w:between w:val="nil"/>
          <w:bar w:val="nil"/>
        </w:pBdr>
        <w:spacing w:after="0"/>
        <w:jc w:val="center"/>
        <w:rPr>
          <w:rFonts w:eastAsia="Times New Roman"/>
          <w:color w:val="000000"/>
          <w:sz w:val="20"/>
          <w:szCs w:val="20"/>
          <w:u w:color="000000"/>
          <w:bdr w:val="nil"/>
          <w:lang w:val="es-CR" w:eastAsia="es-CR"/>
          <w14:textOutline w14:w="0" w14:cap="flat" w14:cmpd="sng" w14:algn="ctr">
            <w14:noFill/>
            <w14:prstDash w14:val="solid"/>
            <w14:bevel/>
          </w14:textOutline>
        </w:rPr>
      </w:pPr>
      <w:r w:rsidRPr="00004D80">
        <w:rPr>
          <w:rFonts w:eastAsia="Times New Roman"/>
          <w:color w:val="000000"/>
          <w:sz w:val="20"/>
          <w:szCs w:val="20"/>
          <w:u w:color="000000"/>
          <w:bdr w:val="nil"/>
          <w:lang w:val="es-CR" w:eastAsia="es-CR"/>
          <w14:textOutline w14:w="0" w14:cap="flat" w14:cmpd="sng" w14:algn="ctr">
            <w14:noFill/>
            <w14:prstDash w14:val="solid"/>
            <w14:bevel/>
          </w14:textOutline>
        </w:rPr>
        <w:t>[</w:t>
      </w:r>
      <w:r w:rsidRPr="00004D80">
        <w:rPr>
          <w:rFonts w:eastAsia="Times New Roman"/>
          <w:b/>
          <w:bCs/>
          <w:color w:val="000000"/>
          <w:sz w:val="20"/>
          <w:szCs w:val="20"/>
          <w:u w:color="000000"/>
          <w:bdr w:val="nil"/>
          <w:lang w:val="es-CR" w:eastAsia="es-CR"/>
          <w14:textOutline w14:w="0" w14:cap="flat" w14:cmpd="sng" w14:algn="ctr">
            <w14:noFill/>
            <w14:prstDash w14:val="solid"/>
            <w14:bevel/>
          </w14:textOutline>
        </w:rPr>
        <w:t>Recibido</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 </w:t>
      </w:r>
      <w:r w:rsidR="00EA1E63">
        <w:rPr>
          <w:rFonts w:eastAsia="Times New Roman"/>
          <w:color w:val="000000"/>
          <w:sz w:val="20"/>
          <w:szCs w:val="20"/>
          <w:u w:color="000000"/>
          <w:bdr w:val="nil"/>
          <w:lang w:val="es-CR" w:eastAsia="es-CR"/>
          <w14:textOutline w14:w="0" w14:cap="flat" w14:cmpd="sng" w14:algn="ctr">
            <w14:noFill/>
            <w14:prstDash w14:val="solid"/>
            <w14:bevel/>
          </w14:textOutline>
        </w:rPr>
        <w:t xml:space="preserve">16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de </w:t>
      </w:r>
      <w:r w:rsidR="00EA1E63">
        <w:rPr>
          <w:rFonts w:eastAsia="Times New Roman"/>
          <w:color w:val="000000"/>
          <w:sz w:val="20"/>
          <w:szCs w:val="20"/>
          <w:u w:color="000000"/>
          <w:bdr w:val="nil"/>
          <w:lang w:val="es-CR" w:eastAsia="es-CR"/>
          <w14:textOutline w14:w="0" w14:cap="flat" w14:cmpd="sng" w14:algn="ctr">
            <w14:noFill/>
            <w14:prstDash w14:val="solid"/>
            <w14:bevel/>
          </w14:textOutline>
        </w:rPr>
        <w:t xml:space="preserve">septiembre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2020, </w:t>
      </w:r>
      <w:r w:rsidRPr="00004D80">
        <w:rPr>
          <w:rFonts w:eastAsia="Times New Roman"/>
          <w:b/>
          <w:bCs/>
          <w:color w:val="000000"/>
          <w:sz w:val="20"/>
          <w:szCs w:val="20"/>
          <w:u w:color="000000"/>
          <w:bdr w:val="nil"/>
          <w:lang w:val="es-CR" w:eastAsia="es-CR"/>
          <w14:textOutline w14:w="0" w14:cap="flat" w14:cmpd="sng" w14:algn="ctr">
            <w14:noFill/>
            <w14:prstDash w14:val="solid"/>
            <w14:bevel/>
          </w14:textOutline>
        </w:rPr>
        <w:t>Aceptado</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 </w:t>
      </w:r>
      <w:r w:rsidR="000D4166">
        <w:rPr>
          <w:rFonts w:eastAsia="Times New Roman"/>
          <w:color w:val="000000"/>
          <w:sz w:val="20"/>
          <w:szCs w:val="20"/>
          <w:u w:color="000000"/>
          <w:bdr w:val="nil"/>
          <w:lang w:val="es-CR" w:eastAsia="es-CR"/>
          <w14:textOutline w14:w="0" w14:cap="flat" w14:cmpd="sng" w14:algn="ctr">
            <w14:noFill/>
            <w14:prstDash w14:val="solid"/>
            <w14:bevel/>
          </w14:textOutline>
        </w:rPr>
        <w:t xml:space="preserve">27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de </w:t>
      </w:r>
      <w:r w:rsidR="000D4166">
        <w:rPr>
          <w:rFonts w:eastAsia="Times New Roman"/>
          <w:color w:val="000000"/>
          <w:sz w:val="20"/>
          <w:szCs w:val="20"/>
          <w:u w:color="000000"/>
          <w:bdr w:val="nil"/>
          <w:lang w:val="es-CR" w:eastAsia="es-CR"/>
          <w14:textOutline w14:w="0" w14:cap="flat" w14:cmpd="sng" w14:algn="ctr">
            <w14:noFill/>
            <w14:prstDash w14:val="solid"/>
            <w14:bevel/>
          </w14:textOutline>
        </w:rPr>
        <w:t xml:space="preserve">enero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202</w:t>
      </w:r>
      <w:r w:rsidR="006460FB">
        <w:rPr>
          <w:rFonts w:eastAsia="Times New Roman"/>
          <w:color w:val="000000"/>
          <w:sz w:val="20"/>
          <w:szCs w:val="20"/>
          <w:u w:color="000000"/>
          <w:bdr w:val="nil"/>
          <w:lang w:val="es-CR" w:eastAsia="es-CR"/>
          <w14:textOutline w14:w="0" w14:cap="flat" w14:cmpd="sng" w14:algn="ctr">
            <w14:noFill/>
            <w14:prstDash w14:val="solid"/>
            <w14:bevel/>
          </w14:textOutline>
        </w:rPr>
        <w:t>1</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 </w:t>
      </w:r>
      <w:r w:rsidRPr="00004D80">
        <w:rPr>
          <w:rFonts w:eastAsia="Times New Roman"/>
          <w:b/>
          <w:bCs/>
          <w:color w:val="000000"/>
          <w:sz w:val="20"/>
          <w:szCs w:val="20"/>
          <w:u w:color="000000"/>
          <w:bdr w:val="nil"/>
          <w:lang w:val="es-CR" w:eastAsia="es-CR"/>
          <w14:textOutline w14:w="0" w14:cap="flat" w14:cmpd="sng" w14:algn="ctr">
            <w14:noFill/>
            <w14:prstDash w14:val="solid"/>
            <w14:bevel/>
          </w14:textOutline>
        </w:rPr>
        <w:t>Corregido</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 </w:t>
      </w:r>
      <w:r w:rsidR="005118B9">
        <w:rPr>
          <w:rFonts w:eastAsia="Times New Roman"/>
          <w:color w:val="000000"/>
          <w:sz w:val="20"/>
          <w:szCs w:val="20"/>
          <w:u w:color="000000"/>
          <w:bdr w:val="nil"/>
          <w:lang w:val="es-CR" w:eastAsia="es-CR"/>
          <w14:textOutline w14:w="0" w14:cap="flat" w14:cmpd="sng" w14:algn="ctr">
            <w14:noFill/>
            <w14:prstDash w14:val="solid"/>
            <w14:bevel/>
          </w14:textOutline>
        </w:rPr>
        <w:t xml:space="preserve">02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de </w:t>
      </w:r>
      <w:r w:rsidR="005118B9">
        <w:rPr>
          <w:rFonts w:eastAsia="Times New Roman"/>
          <w:color w:val="000000"/>
          <w:sz w:val="20"/>
          <w:szCs w:val="20"/>
          <w:u w:color="000000"/>
          <w:bdr w:val="nil"/>
          <w:lang w:val="es-CR" w:eastAsia="es-CR"/>
          <w14:textOutline w14:w="0" w14:cap="flat" w14:cmpd="sng" w14:algn="ctr">
            <w14:noFill/>
            <w14:prstDash w14:val="solid"/>
            <w14:bevel/>
          </w14:textOutline>
        </w:rPr>
        <w:t xml:space="preserve">marzo </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xml:space="preserve">2021, </w:t>
      </w:r>
      <w:r w:rsidRPr="00004D80">
        <w:rPr>
          <w:rFonts w:eastAsia="Times New Roman"/>
          <w:b/>
          <w:bCs/>
          <w:color w:val="000000"/>
          <w:sz w:val="20"/>
          <w:szCs w:val="20"/>
          <w:u w:color="000000"/>
          <w:bdr w:val="nil"/>
          <w:lang w:val="es-CR" w:eastAsia="es-CR"/>
          <w14:textOutline w14:w="0" w14:cap="flat" w14:cmpd="sng" w14:algn="ctr">
            <w14:noFill/>
            <w14:prstDash w14:val="solid"/>
            <w14:bevel/>
          </w14:textOutline>
        </w:rPr>
        <w:t>Publicado</w:t>
      </w:r>
      <w:r w:rsidRPr="00004D80">
        <w:rPr>
          <w:rFonts w:eastAsia="Times New Roman"/>
          <w:color w:val="000000"/>
          <w:sz w:val="20"/>
          <w:szCs w:val="20"/>
          <w:u w:color="000000"/>
          <w:bdr w:val="nil"/>
          <w:lang w:val="es-CR" w:eastAsia="es-CR"/>
          <w14:textOutline w14:w="0" w14:cap="flat" w14:cmpd="sng" w14:algn="ctr">
            <w14:noFill/>
            <w14:prstDash w14:val="solid"/>
            <w14:bevel/>
          </w14:textOutline>
        </w:rPr>
        <w:t>: 1 de julio 2021]</w:t>
      </w:r>
    </w:p>
    <w:p w14:paraId="2783F3C0" w14:textId="77777777" w:rsidR="00004D80" w:rsidRPr="00004D80" w:rsidRDefault="00004D80" w:rsidP="00004D80">
      <w:pPr>
        <w:spacing w:after="0"/>
        <w:rPr>
          <w:rFonts w:eastAsia="Times New Roman"/>
          <w:b/>
          <w:lang w:val="es-CR" w:eastAsia="es-ES"/>
        </w:rPr>
      </w:pPr>
    </w:p>
    <w:p w14:paraId="43399A62" w14:textId="2DD076F8" w:rsidR="00113C15" w:rsidRPr="00073D09" w:rsidRDefault="00012B2E" w:rsidP="00D62000">
      <w:pPr>
        <w:spacing w:after="0"/>
        <w:jc w:val="both"/>
        <w:rPr>
          <w:b/>
        </w:rPr>
      </w:pPr>
      <w:r w:rsidRPr="00073D09">
        <w:rPr>
          <w:b/>
        </w:rPr>
        <w:t>Resumen</w:t>
      </w:r>
    </w:p>
    <w:p w14:paraId="624687A4" w14:textId="00EB229B" w:rsidR="009A5053" w:rsidRPr="00073D09" w:rsidRDefault="00176097" w:rsidP="00D62000">
      <w:pPr>
        <w:spacing w:after="0"/>
        <w:jc w:val="both"/>
        <w:rPr>
          <w:iCs/>
          <w:lang w:val="es-CO"/>
        </w:rPr>
      </w:pPr>
      <w:r w:rsidRPr="00073D09">
        <w:rPr>
          <w:b/>
          <w:iCs/>
          <w:lang w:val="es-CO"/>
        </w:rPr>
        <w:t>[Introducción]</w:t>
      </w:r>
      <w:r w:rsidR="00AC1ADD" w:rsidRPr="00073D09">
        <w:rPr>
          <w:b/>
          <w:iCs/>
          <w:lang w:val="es-CO"/>
        </w:rPr>
        <w:t>:</w:t>
      </w:r>
      <w:r w:rsidRPr="00073D09">
        <w:rPr>
          <w:iCs/>
          <w:lang w:val="es-CO"/>
        </w:rPr>
        <w:t xml:space="preserve"> </w:t>
      </w:r>
      <w:r w:rsidR="009443E3" w:rsidRPr="00073D09">
        <w:rPr>
          <w:iCs/>
          <w:lang w:val="es-CO"/>
        </w:rPr>
        <w:t>En</w:t>
      </w:r>
      <w:r w:rsidR="00330CA6" w:rsidRPr="00073D09">
        <w:rPr>
          <w:iCs/>
          <w:lang w:val="es-CO"/>
        </w:rPr>
        <w:t xml:space="preserve"> </w:t>
      </w:r>
      <w:r w:rsidR="002F3289" w:rsidRPr="00073D09">
        <w:rPr>
          <w:iCs/>
          <w:lang w:val="es-CO"/>
        </w:rPr>
        <w:t xml:space="preserve">varios países </w:t>
      </w:r>
      <w:r w:rsidR="000B1920" w:rsidRPr="00073D09">
        <w:rPr>
          <w:iCs/>
          <w:lang w:val="es-CO"/>
        </w:rPr>
        <w:t xml:space="preserve">se implementan </w:t>
      </w:r>
      <w:r w:rsidR="00330CA6" w:rsidRPr="00073D09">
        <w:rPr>
          <w:iCs/>
          <w:lang w:val="es-CO"/>
        </w:rPr>
        <w:t xml:space="preserve">rellenos sanitarios </w:t>
      </w:r>
      <w:r w:rsidR="000B1920" w:rsidRPr="00073D09">
        <w:rPr>
          <w:iCs/>
          <w:lang w:val="es-CO"/>
        </w:rPr>
        <w:t xml:space="preserve">donde </w:t>
      </w:r>
      <w:r w:rsidR="009443E3" w:rsidRPr="00073D09">
        <w:rPr>
          <w:iCs/>
          <w:lang w:val="es-CO"/>
        </w:rPr>
        <w:t xml:space="preserve">se recolectan </w:t>
      </w:r>
      <w:r w:rsidR="00330CA6" w:rsidRPr="00073D09">
        <w:rPr>
          <w:iCs/>
          <w:lang w:val="es-CO"/>
        </w:rPr>
        <w:t>residuos sólidos</w:t>
      </w:r>
      <w:r w:rsidR="00573774" w:rsidRPr="00073D09">
        <w:rPr>
          <w:iCs/>
          <w:lang w:val="es-CO"/>
        </w:rPr>
        <w:t xml:space="preserve"> y</w:t>
      </w:r>
      <w:r w:rsidR="00A872C9" w:rsidRPr="00073D09">
        <w:rPr>
          <w:iCs/>
          <w:lang w:val="es-CO"/>
        </w:rPr>
        <w:t xml:space="preserve"> su</w:t>
      </w:r>
      <w:r w:rsidR="00330CA6" w:rsidRPr="00073D09">
        <w:rPr>
          <w:iCs/>
          <w:lang w:val="es-CO"/>
        </w:rPr>
        <w:t xml:space="preserve"> acumulación</w:t>
      </w:r>
      <w:r w:rsidR="00297483" w:rsidRPr="00073D09">
        <w:rPr>
          <w:iCs/>
          <w:lang w:val="es-CO"/>
        </w:rPr>
        <w:t xml:space="preserve"> genera emisiones de gases</w:t>
      </w:r>
      <w:r w:rsidR="00330CA6" w:rsidRPr="00073D09">
        <w:rPr>
          <w:iCs/>
          <w:lang w:val="es-CO"/>
        </w:rPr>
        <w:t xml:space="preserve"> de efecto invernadero. </w:t>
      </w:r>
      <w:r w:rsidR="006776CB" w:rsidRPr="00073D09">
        <w:rPr>
          <w:iCs/>
          <w:lang w:val="es-CO"/>
        </w:rPr>
        <w:t xml:space="preserve">Lo anterior se intensifica </w:t>
      </w:r>
      <w:r w:rsidR="00221553" w:rsidRPr="00073D09">
        <w:rPr>
          <w:iCs/>
          <w:lang w:val="es-CO"/>
        </w:rPr>
        <w:t xml:space="preserve">en </w:t>
      </w:r>
      <w:r w:rsidR="003A6E69" w:rsidRPr="00073D09">
        <w:rPr>
          <w:iCs/>
          <w:lang w:val="es-CO"/>
        </w:rPr>
        <w:t xml:space="preserve">países </w:t>
      </w:r>
      <w:r w:rsidR="00221553" w:rsidRPr="00073D09">
        <w:rPr>
          <w:iCs/>
          <w:lang w:val="es-CO"/>
        </w:rPr>
        <w:t>donde la creciente población</w:t>
      </w:r>
      <w:r w:rsidR="001513EA" w:rsidRPr="00073D09">
        <w:rPr>
          <w:iCs/>
          <w:lang w:val="es-CO"/>
        </w:rPr>
        <w:t xml:space="preserve"> genera </w:t>
      </w:r>
      <w:r w:rsidR="00221553" w:rsidRPr="00073D09">
        <w:rPr>
          <w:iCs/>
          <w:lang w:val="es-CO"/>
        </w:rPr>
        <w:t>acopio</w:t>
      </w:r>
      <w:r w:rsidR="009443E3" w:rsidRPr="00073D09">
        <w:rPr>
          <w:iCs/>
          <w:lang w:val="es-CO"/>
        </w:rPr>
        <w:t xml:space="preserve"> de residuos </w:t>
      </w:r>
      <w:r w:rsidR="00221553" w:rsidRPr="00073D09">
        <w:rPr>
          <w:iCs/>
          <w:lang w:val="es-CO"/>
        </w:rPr>
        <w:t xml:space="preserve">con composiciones </w:t>
      </w:r>
      <w:r w:rsidR="00E70AB0" w:rsidRPr="00073D09">
        <w:rPr>
          <w:iCs/>
          <w:lang w:val="es-CO"/>
        </w:rPr>
        <w:t>de</w:t>
      </w:r>
      <w:r w:rsidR="00221553" w:rsidRPr="00073D09">
        <w:rPr>
          <w:iCs/>
          <w:lang w:val="es-CO"/>
        </w:rPr>
        <w:t xml:space="preserve"> materia orgánica.</w:t>
      </w:r>
      <w:r w:rsidR="00C910A4" w:rsidRPr="00073D09">
        <w:rPr>
          <w:iCs/>
          <w:lang w:val="es-CO"/>
        </w:rPr>
        <w:t xml:space="preserve"> </w:t>
      </w:r>
      <w:r w:rsidR="00C910A4" w:rsidRPr="00073D09">
        <w:rPr>
          <w:b/>
          <w:iCs/>
          <w:lang w:val="es-CO"/>
        </w:rPr>
        <w:t>[Objetivo]</w:t>
      </w:r>
      <w:r w:rsidR="00AC1ADD" w:rsidRPr="00073D09">
        <w:rPr>
          <w:b/>
          <w:iCs/>
          <w:lang w:val="es-CO"/>
        </w:rPr>
        <w:t>:</w:t>
      </w:r>
      <w:r w:rsidR="000910A1" w:rsidRPr="00073D09">
        <w:t xml:space="preserve"> </w:t>
      </w:r>
      <w:r w:rsidR="000D42C0" w:rsidRPr="00073D09">
        <w:t>Estimar</w:t>
      </w:r>
      <w:r w:rsidR="00E1492C" w:rsidRPr="00073D09">
        <w:t xml:space="preserve"> </w:t>
      </w:r>
      <w:r w:rsidR="000D42C0" w:rsidRPr="00073D09">
        <w:t xml:space="preserve">las tasas de emisión de </w:t>
      </w:r>
      <w:r w:rsidR="000D42C0" w:rsidRPr="00073D09">
        <w:rPr>
          <w:iCs/>
          <w:lang w:val="es-CO"/>
        </w:rPr>
        <w:t>metano CH</w:t>
      </w:r>
      <w:r w:rsidR="000D42C0" w:rsidRPr="00073D09">
        <w:rPr>
          <w:iCs/>
          <w:vertAlign w:val="subscript"/>
          <w:lang w:val="es-CO"/>
        </w:rPr>
        <w:t>4</w:t>
      </w:r>
      <w:r w:rsidR="000D42C0" w:rsidRPr="00073D09">
        <w:rPr>
          <w:iCs/>
          <w:lang w:val="es-CO"/>
        </w:rPr>
        <w:t xml:space="preserve">, dióxido de carbono </w:t>
      </w:r>
      <w:bookmarkStart w:id="4" w:name="_Hlk51085085"/>
      <w:r w:rsidR="000D42C0" w:rsidRPr="00073D09">
        <w:rPr>
          <w:iCs/>
          <w:lang w:val="es-CO"/>
        </w:rPr>
        <w:t>CO</w:t>
      </w:r>
      <w:r w:rsidR="000D42C0" w:rsidRPr="00073D09">
        <w:rPr>
          <w:iCs/>
          <w:vertAlign w:val="subscript"/>
          <w:lang w:val="es-CO"/>
        </w:rPr>
        <w:t>2</w:t>
      </w:r>
      <w:bookmarkEnd w:id="4"/>
      <w:r w:rsidR="000D42C0" w:rsidRPr="00073D09">
        <w:rPr>
          <w:iCs/>
          <w:lang w:val="es-CO"/>
        </w:rPr>
        <w:t xml:space="preserve"> y compuestos orgánicos diferentes al metano NMOC en el relleno sanitario Doña Juana para los</w:t>
      </w:r>
      <w:r w:rsidR="003155E3" w:rsidRPr="00073D09">
        <w:rPr>
          <w:iCs/>
          <w:lang w:val="es-CO"/>
        </w:rPr>
        <w:t xml:space="preserve"> periodos de clausura</w:t>
      </w:r>
      <w:r w:rsidR="000D42C0" w:rsidRPr="00073D09">
        <w:rPr>
          <w:iCs/>
          <w:lang w:val="es-CO"/>
        </w:rPr>
        <w:t>.</w:t>
      </w:r>
      <w:r w:rsidR="000910A1" w:rsidRPr="00073D09">
        <w:rPr>
          <w:iCs/>
          <w:lang w:val="es-CO"/>
        </w:rPr>
        <w:t xml:space="preserve"> </w:t>
      </w:r>
      <w:r w:rsidRPr="00073D09">
        <w:rPr>
          <w:b/>
          <w:iCs/>
          <w:lang w:val="es-CO"/>
        </w:rPr>
        <w:t>[Metodología]</w:t>
      </w:r>
      <w:r w:rsidR="00AC1ADD" w:rsidRPr="00073D09">
        <w:rPr>
          <w:b/>
          <w:iCs/>
          <w:lang w:val="es-CO"/>
        </w:rPr>
        <w:t>:</w:t>
      </w:r>
      <w:r w:rsidR="00012B2E" w:rsidRPr="00073D09">
        <w:rPr>
          <w:iCs/>
          <w:lang w:val="es-CO"/>
        </w:rPr>
        <w:t xml:space="preserve"> </w:t>
      </w:r>
      <w:r w:rsidR="00264575" w:rsidRPr="00073D09">
        <w:rPr>
          <w:iCs/>
          <w:lang w:val="es-CO"/>
        </w:rPr>
        <w:t xml:space="preserve">La estimación se realizó mediante el software </w:t>
      </w:r>
      <w:proofErr w:type="spellStart"/>
      <w:r w:rsidR="00264575" w:rsidRPr="00073D09">
        <w:rPr>
          <w:iCs/>
          <w:lang w:val="es-CO"/>
        </w:rPr>
        <w:t>LandGEM</w:t>
      </w:r>
      <w:proofErr w:type="spellEnd"/>
      <w:r w:rsidR="00264575" w:rsidRPr="00073D09">
        <w:rPr>
          <w:iCs/>
          <w:lang w:val="es-CO"/>
        </w:rPr>
        <w:t xml:space="preserve"> </w:t>
      </w:r>
      <w:r w:rsidR="003155E3" w:rsidRPr="00073D09">
        <w:rPr>
          <w:iCs/>
          <w:lang w:val="es-CO"/>
        </w:rPr>
        <w:t xml:space="preserve">partiendo de </w:t>
      </w:r>
      <w:r w:rsidR="00264575" w:rsidRPr="00073D09">
        <w:rPr>
          <w:iCs/>
          <w:lang w:val="es-CO"/>
        </w:rPr>
        <w:t>l</w:t>
      </w:r>
      <w:r w:rsidR="006D1807" w:rsidRPr="00073D09">
        <w:rPr>
          <w:iCs/>
          <w:lang w:val="es-CO"/>
        </w:rPr>
        <w:t xml:space="preserve">os </w:t>
      </w:r>
      <w:r w:rsidR="00264575" w:rsidRPr="00073D09">
        <w:rPr>
          <w:iCs/>
          <w:lang w:val="es-CO"/>
        </w:rPr>
        <w:t>residuos sólidos que se disponen en el relleno sanitario ubicado en Bogotá Colombia</w:t>
      </w:r>
      <w:r w:rsidR="00E1492C" w:rsidRPr="00073D09">
        <w:rPr>
          <w:iCs/>
          <w:lang w:val="es-CO"/>
        </w:rPr>
        <w:t>,</w:t>
      </w:r>
      <w:r w:rsidR="00264575" w:rsidRPr="00073D09">
        <w:rPr>
          <w:iCs/>
          <w:lang w:val="es-CO"/>
        </w:rPr>
        <w:t xml:space="preserve"> </w:t>
      </w:r>
      <w:r w:rsidR="0036632F">
        <w:rPr>
          <w:iCs/>
          <w:lang w:val="es-CO"/>
        </w:rPr>
        <w:t>para</w:t>
      </w:r>
      <w:r w:rsidR="00F64B64">
        <w:rPr>
          <w:iCs/>
          <w:lang w:val="es-CO"/>
        </w:rPr>
        <w:t xml:space="preserve"> </w:t>
      </w:r>
      <w:r w:rsidR="003A6E69" w:rsidRPr="00073D09">
        <w:rPr>
          <w:iCs/>
          <w:lang w:val="es-CO"/>
        </w:rPr>
        <w:t xml:space="preserve">los años de clausura </w:t>
      </w:r>
      <w:r w:rsidR="00264575" w:rsidRPr="00073D09">
        <w:rPr>
          <w:iCs/>
          <w:lang w:val="es-CO"/>
        </w:rPr>
        <w:t xml:space="preserve">establecidos por </w:t>
      </w:r>
      <w:r w:rsidR="00220593" w:rsidRPr="00073D09">
        <w:rPr>
          <w:iCs/>
          <w:lang w:val="es-CO"/>
        </w:rPr>
        <w:t>ley</w:t>
      </w:r>
      <w:r w:rsidR="00F1365D" w:rsidRPr="00073D09">
        <w:rPr>
          <w:iCs/>
          <w:lang w:val="es-CO"/>
        </w:rPr>
        <w:t xml:space="preserve"> </w:t>
      </w:r>
      <w:r w:rsidR="003A6E69" w:rsidRPr="00073D09">
        <w:rPr>
          <w:iCs/>
          <w:lang w:val="es-CO"/>
        </w:rPr>
        <w:t>2022, 2040 y 2070</w:t>
      </w:r>
      <w:r w:rsidR="00980A32" w:rsidRPr="00073D09">
        <w:rPr>
          <w:iCs/>
          <w:lang w:val="es-CO"/>
        </w:rPr>
        <w:t>.</w:t>
      </w:r>
      <w:r w:rsidR="00256A6D" w:rsidRPr="00073D09">
        <w:rPr>
          <w:b/>
          <w:iCs/>
          <w:lang w:val="es-CO"/>
        </w:rPr>
        <w:t xml:space="preserve"> [</w:t>
      </w:r>
      <w:r w:rsidR="00D86E13" w:rsidRPr="00073D09">
        <w:rPr>
          <w:b/>
          <w:iCs/>
          <w:lang w:val="es-CO"/>
        </w:rPr>
        <w:t>Resultados]</w:t>
      </w:r>
      <w:r w:rsidR="00AC1ADD" w:rsidRPr="00073D09">
        <w:rPr>
          <w:b/>
          <w:iCs/>
          <w:lang w:val="es-CO"/>
        </w:rPr>
        <w:t>:</w:t>
      </w:r>
      <w:r w:rsidR="00D86E13" w:rsidRPr="00073D09">
        <w:rPr>
          <w:iCs/>
          <w:lang w:val="es-CO"/>
        </w:rPr>
        <w:t xml:space="preserve"> </w:t>
      </w:r>
      <w:r w:rsidR="00124AC1" w:rsidRPr="00073D09">
        <w:rPr>
          <w:iCs/>
          <w:lang w:val="es-CO"/>
        </w:rPr>
        <w:t>Se obtuvo</w:t>
      </w:r>
      <w:r w:rsidR="00256A6D" w:rsidRPr="00073D09">
        <w:rPr>
          <w:iCs/>
          <w:lang w:val="es-CO"/>
        </w:rPr>
        <w:t xml:space="preserve"> una media de 2</w:t>
      </w:r>
      <w:r w:rsidR="00750C12" w:rsidRPr="00073D09">
        <w:rPr>
          <w:iCs/>
          <w:lang w:val="es-CO"/>
        </w:rPr>
        <w:t xml:space="preserve"> </w:t>
      </w:r>
      <w:r w:rsidR="00256A6D" w:rsidRPr="00073D09">
        <w:rPr>
          <w:iCs/>
          <w:lang w:val="es-CO"/>
        </w:rPr>
        <w:t>152</w:t>
      </w:r>
      <w:r w:rsidR="00750C12" w:rsidRPr="00073D09">
        <w:rPr>
          <w:iCs/>
          <w:lang w:val="es-CO"/>
        </w:rPr>
        <w:t xml:space="preserve"> </w:t>
      </w:r>
      <w:r w:rsidR="00256A6D" w:rsidRPr="00073D09">
        <w:rPr>
          <w:iCs/>
          <w:lang w:val="es-CO"/>
        </w:rPr>
        <w:t>870 ton/año de residuos que se depositan en el relleno</w:t>
      </w:r>
      <w:r w:rsidR="00173DD2" w:rsidRPr="00073D09">
        <w:rPr>
          <w:iCs/>
          <w:lang w:val="es-CO"/>
        </w:rPr>
        <w:t>.</w:t>
      </w:r>
      <w:r w:rsidR="00256A6D" w:rsidRPr="00073D09">
        <w:rPr>
          <w:iCs/>
          <w:lang w:val="es-CO"/>
        </w:rPr>
        <w:t xml:space="preserve"> </w:t>
      </w:r>
      <w:r w:rsidR="00B14F8E" w:rsidRPr="00073D09">
        <w:rPr>
          <w:iCs/>
          <w:lang w:val="es-CO"/>
        </w:rPr>
        <w:t>La estimación arrojó</w:t>
      </w:r>
      <w:r w:rsidR="00173DD2" w:rsidRPr="00073D09">
        <w:rPr>
          <w:iCs/>
          <w:lang w:val="es-CO"/>
        </w:rPr>
        <w:t>:</w:t>
      </w:r>
      <w:r w:rsidR="009A5053" w:rsidRPr="00073D09">
        <w:rPr>
          <w:iCs/>
          <w:lang w:val="es-CO"/>
        </w:rPr>
        <w:t xml:space="preserve"> p</w:t>
      </w:r>
      <w:r w:rsidR="00B1337E" w:rsidRPr="00073D09">
        <w:rPr>
          <w:iCs/>
          <w:lang w:val="es-CO"/>
        </w:rPr>
        <w:t>ara el</w:t>
      </w:r>
      <w:r w:rsidR="008804E2" w:rsidRPr="00073D09">
        <w:rPr>
          <w:iCs/>
          <w:lang w:val="es-CO"/>
        </w:rPr>
        <w:t xml:space="preserve"> </w:t>
      </w:r>
      <w:r w:rsidR="003A6E69" w:rsidRPr="00073D09">
        <w:rPr>
          <w:iCs/>
          <w:lang w:val="es-CO"/>
        </w:rPr>
        <w:t>CH</w:t>
      </w:r>
      <w:r w:rsidR="003A6E69" w:rsidRPr="00073D09">
        <w:rPr>
          <w:iCs/>
          <w:vertAlign w:val="subscript"/>
          <w:lang w:val="es-CO"/>
        </w:rPr>
        <w:t>4</w:t>
      </w:r>
      <w:r w:rsidR="00B1337E" w:rsidRPr="00073D09">
        <w:rPr>
          <w:iCs/>
          <w:lang w:val="es-CO"/>
        </w:rPr>
        <w:t xml:space="preserve"> año </w:t>
      </w:r>
      <w:r w:rsidR="00173DD2" w:rsidRPr="00073D09">
        <w:rPr>
          <w:iCs/>
          <w:lang w:val="es-CO"/>
        </w:rPr>
        <w:t xml:space="preserve">de clausura </w:t>
      </w:r>
      <w:r w:rsidR="00B1337E" w:rsidRPr="00073D09">
        <w:rPr>
          <w:iCs/>
          <w:lang w:val="es-CO"/>
        </w:rPr>
        <w:t xml:space="preserve">2022, un máximo de 2.39E+08 </w:t>
      </w:r>
      <w:bookmarkStart w:id="5" w:name="_Hlk43915395"/>
      <w:r w:rsidR="00B1337E" w:rsidRPr="00073D09">
        <w:rPr>
          <w:iCs/>
          <w:lang w:val="es-CO"/>
        </w:rPr>
        <w:t>m</w:t>
      </w:r>
      <w:r w:rsidR="00B1337E" w:rsidRPr="00073D09">
        <w:rPr>
          <w:iCs/>
          <w:vertAlign w:val="superscript"/>
          <w:lang w:val="es-CO"/>
        </w:rPr>
        <w:t>3</w:t>
      </w:r>
      <w:r w:rsidR="00B1337E" w:rsidRPr="00073D09">
        <w:rPr>
          <w:iCs/>
          <w:lang w:val="es-CO"/>
        </w:rPr>
        <w:t xml:space="preserve">/año </w:t>
      </w:r>
      <w:bookmarkEnd w:id="5"/>
      <w:r w:rsidR="00B14F8E" w:rsidRPr="00073D09">
        <w:rPr>
          <w:iCs/>
          <w:lang w:val="es-CO"/>
        </w:rPr>
        <w:t xml:space="preserve">y la generación </w:t>
      </w:r>
      <w:r w:rsidR="00E7104E" w:rsidRPr="00073D09">
        <w:rPr>
          <w:iCs/>
          <w:lang w:val="es-CO"/>
        </w:rPr>
        <w:t xml:space="preserve">se extendería </w:t>
      </w:r>
      <w:r w:rsidR="00173DD2" w:rsidRPr="00073D09">
        <w:rPr>
          <w:iCs/>
          <w:lang w:val="es-CO"/>
        </w:rPr>
        <w:t>hasta el año 2106; p</w:t>
      </w:r>
      <w:r w:rsidR="00B1337E" w:rsidRPr="00073D09">
        <w:rPr>
          <w:iCs/>
          <w:lang w:val="es-CO"/>
        </w:rPr>
        <w:t xml:space="preserve">ara el </w:t>
      </w:r>
      <w:r w:rsidR="000B1920" w:rsidRPr="00073D09">
        <w:rPr>
          <w:iCs/>
          <w:lang w:val="es-CO"/>
        </w:rPr>
        <w:t>2040, un</w:t>
      </w:r>
      <w:r w:rsidR="00B1337E" w:rsidRPr="00073D09">
        <w:rPr>
          <w:iCs/>
          <w:lang w:val="es-CO"/>
        </w:rPr>
        <w:t xml:space="preserve"> máximo de 6.10E+05 ton/año </w:t>
      </w:r>
      <w:r w:rsidR="009A5053" w:rsidRPr="00073D09">
        <w:rPr>
          <w:iCs/>
          <w:lang w:val="es-CO"/>
        </w:rPr>
        <w:t>de CO</w:t>
      </w:r>
      <w:r w:rsidR="009A5053" w:rsidRPr="00073D09">
        <w:rPr>
          <w:iCs/>
          <w:vertAlign w:val="subscript"/>
          <w:lang w:val="es-CO"/>
        </w:rPr>
        <w:t>2</w:t>
      </w:r>
      <w:r w:rsidR="00EB72FA" w:rsidRPr="00073D09">
        <w:rPr>
          <w:iCs/>
          <w:lang w:val="es-CO"/>
        </w:rPr>
        <w:t>;</w:t>
      </w:r>
      <w:r w:rsidR="00661065" w:rsidRPr="00073D09">
        <w:rPr>
          <w:iCs/>
          <w:lang w:val="es-CO"/>
        </w:rPr>
        <w:t xml:space="preserve"> en </w:t>
      </w:r>
      <w:r w:rsidR="00B1337E" w:rsidRPr="00073D09">
        <w:rPr>
          <w:iCs/>
          <w:lang w:val="es-CO"/>
        </w:rPr>
        <w:t>el 2070 se observa un máximo de 3.07E+06 m</w:t>
      </w:r>
      <w:r w:rsidR="00B1337E" w:rsidRPr="00073D09">
        <w:rPr>
          <w:iCs/>
          <w:vertAlign w:val="superscript"/>
          <w:lang w:val="es-CO"/>
        </w:rPr>
        <w:t>3</w:t>
      </w:r>
      <w:r w:rsidR="00F46500" w:rsidRPr="00073D09">
        <w:rPr>
          <w:iCs/>
          <w:lang w:val="es-CO"/>
        </w:rPr>
        <w:t xml:space="preserve">/año de NMOC </w:t>
      </w:r>
      <w:r w:rsidR="00B1337E" w:rsidRPr="00073D09">
        <w:rPr>
          <w:iCs/>
          <w:lang w:val="es-CO"/>
        </w:rPr>
        <w:t xml:space="preserve">y su producción </w:t>
      </w:r>
      <w:r w:rsidR="009A31A6" w:rsidRPr="00073D09">
        <w:rPr>
          <w:iCs/>
          <w:lang w:val="es-CO"/>
        </w:rPr>
        <w:t xml:space="preserve">terminaría en </w:t>
      </w:r>
      <w:r w:rsidR="000B25D1" w:rsidRPr="00073D09">
        <w:rPr>
          <w:iCs/>
          <w:lang w:val="es-CO"/>
        </w:rPr>
        <w:t xml:space="preserve">el </w:t>
      </w:r>
      <w:r w:rsidR="00B1337E" w:rsidRPr="00073D09">
        <w:rPr>
          <w:iCs/>
          <w:lang w:val="es-CO"/>
        </w:rPr>
        <w:t>2142.</w:t>
      </w:r>
      <w:r w:rsidR="009A5053" w:rsidRPr="00073D09">
        <w:rPr>
          <w:iCs/>
          <w:lang w:val="es-CO"/>
        </w:rPr>
        <w:t xml:space="preserve"> </w:t>
      </w:r>
      <w:r w:rsidRPr="00073D09">
        <w:rPr>
          <w:b/>
          <w:iCs/>
          <w:lang w:val="es-CO"/>
        </w:rPr>
        <w:t>[Conclusiones]</w:t>
      </w:r>
      <w:r w:rsidRPr="00073D09">
        <w:rPr>
          <w:iCs/>
          <w:lang w:val="es-CO"/>
        </w:rPr>
        <w:t xml:space="preserve"> </w:t>
      </w:r>
      <w:r w:rsidR="009A31A6" w:rsidRPr="00073D09">
        <w:rPr>
          <w:iCs/>
          <w:lang w:val="es-CO"/>
        </w:rPr>
        <w:t>Se</w:t>
      </w:r>
      <w:r w:rsidR="009A5053" w:rsidRPr="00073D09">
        <w:rPr>
          <w:iCs/>
          <w:lang w:val="es-CO"/>
        </w:rPr>
        <w:t xml:space="preserve"> resalta el potencial energético en términos CH</w:t>
      </w:r>
      <w:r w:rsidR="009A5053" w:rsidRPr="00073D09">
        <w:rPr>
          <w:iCs/>
          <w:vertAlign w:val="subscript"/>
          <w:lang w:val="es-CO"/>
        </w:rPr>
        <w:t>4</w:t>
      </w:r>
      <w:r w:rsidR="009A5053" w:rsidRPr="00073D09">
        <w:rPr>
          <w:iCs/>
          <w:lang w:val="es-CO"/>
        </w:rPr>
        <w:t xml:space="preserve"> que se puede obtener con los años de vida útil del relleno. </w:t>
      </w:r>
      <w:r w:rsidR="00C329FE" w:rsidRPr="00073D09">
        <w:rPr>
          <w:iCs/>
          <w:lang w:val="es-CO"/>
        </w:rPr>
        <w:t>L</w:t>
      </w:r>
      <w:r w:rsidR="009A5053" w:rsidRPr="00073D09">
        <w:rPr>
          <w:iCs/>
          <w:lang w:val="es-CO"/>
        </w:rPr>
        <w:t>as estimaciones de CO</w:t>
      </w:r>
      <w:r w:rsidR="009A5053" w:rsidRPr="00073D09">
        <w:rPr>
          <w:iCs/>
          <w:vertAlign w:val="subscript"/>
          <w:lang w:val="es-CO"/>
        </w:rPr>
        <w:t>2</w:t>
      </w:r>
      <w:r w:rsidR="009A5053" w:rsidRPr="00073D09">
        <w:rPr>
          <w:iCs/>
          <w:lang w:val="es-CO"/>
        </w:rPr>
        <w:t xml:space="preserve"> y NMOC por año evidencian la importancia de complementar la disposición de residuos sólidos </w:t>
      </w:r>
      <w:r w:rsidR="00A1451C" w:rsidRPr="00073D09">
        <w:rPr>
          <w:iCs/>
          <w:lang w:val="es-CO"/>
        </w:rPr>
        <w:t>con tratamientos óptimos</w:t>
      </w:r>
      <w:r w:rsidR="00573774" w:rsidRPr="00073D09">
        <w:rPr>
          <w:iCs/>
          <w:lang w:val="es-CO"/>
        </w:rPr>
        <w:t>,</w:t>
      </w:r>
      <w:r w:rsidR="009A5053" w:rsidRPr="00073D09">
        <w:rPr>
          <w:iCs/>
          <w:lang w:val="es-CO"/>
        </w:rPr>
        <w:t xml:space="preserve"> ya que representan gases de efecto invernadero que se emiten en grandes proporciones. </w:t>
      </w:r>
    </w:p>
    <w:p w14:paraId="65F9D197" w14:textId="77777777" w:rsidR="009A5053" w:rsidRPr="00073D09" w:rsidRDefault="009A5053" w:rsidP="00D62000">
      <w:pPr>
        <w:spacing w:after="0"/>
        <w:jc w:val="both"/>
        <w:rPr>
          <w:iCs/>
          <w:lang w:val="es-CO"/>
        </w:rPr>
      </w:pPr>
    </w:p>
    <w:p w14:paraId="56F0D1D7" w14:textId="3CC79CAF" w:rsidR="00CF35FB" w:rsidRPr="00073D09" w:rsidRDefault="00113C15" w:rsidP="00D62000">
      <w:pPr>
        <w:spacing w:after="0"/>
        <w:jc w:val="both"/>
        <w:rPr>
          <w:bCs/>
          <w:lang w:val="es-CO"/>
        </w:rPr>
      </w:pPr>
      <w:r w:rsidRPr="00073D09">
        <w:rPr>
          <w:b/>
        </w:rPr>
        <w:t>Palabras clave</w:t>
      </w:r>
      <w:r w:rsidR="00C67D80" w:rsidRPr="00073D09">
        <w:rPr>
          <w:b/>
        </w:rPr>
        <w:t>:</w:t>
      </w:r>
      <w:r w:rsidR="00C67D80" w:rsidRPr="00073D09">
        <w:rPr>
          <w:bCs/>
        </w:rPr>
        <w:t xml:space="preserve"> </w:t>
      </w:r>
      <w:r w:rsidR="005034BB" w:rsidRPr="00073D09">
        <w:rPr>
          <w:rFonts w:eastAsia="Calibri"/>
          <w:color w:val="000000"/>
          <w:lang w:val="es-CL" w:eastAsia="en-US"/>
        </w:rPr>
        <w:t>Compuestos orgánicos diferentes al metano</w:t>
      </w:r>
      <w:r w:rsidR="00C97558">
        <w:rPr>
          <w:rFonts w:eastAsia="Calibri"/>
          <w:color w:val="000000"/>
          <w:lang w:val="es-CL" w:eastAsia="en-US"/>
        </w:rPr>
        <w:t>;</w:t>
      </w:r>
      <w:r w:rsidR="005034BB" w:rsidRPr="00073D09">
        <w:rPr>
          <w:rFonts w:eastAsia="Calibri"/>
          <w:color w:val="000000"/>
          <w:lang w:val="es-CL" w:eastAsia="en-US"/>
        </w:rPr>
        <w:t xml:space="preserve"> d</w:t>
      </w:r>
      <w:r w:rsidR="00396174" w:rsidRPr="00073D09">
        <w:rPr>
          <w:rFonts w:eastAsia="Calibri"/>
          <w:color w:val="000000"/>
          <w:lang w:val="es-CL" w:eastAsia="en-US"/>
        </w:rPr>
        <w:t xml:space="preserve">ióxido de </w:t>
      </w:r>
      <w:r w:rsidR="005034BB" w:rsidRPr="00073D09">
        <w:rPr>
          <w:rFonts w:eastAsia="Calibri"/>
          <w:color w:val="000000"/>
          <w:lang w:val="es-CL" w:eastAsia="en-US"/>
        </w:rPr>
        <w:t>c</w:t>
      </w:r>
      <w:r w:rsidR="00396174" w:rsidRPr="00073D09">
        <w:rPr>
          <w:rFonts w:eastAsia="Calibri"/>
          <w:color w:val="000000"/>
          <w:lang w:val="es-CL" w:eastAsia="en-US"/>
        </w:rPr>
        <w:t>arbono</w:t>
      </w:r>
      <w:r w:rsidR="00C97558">
        <w:rPr>
          <w:rFonts w:eastAsia="Calibri"/>
          <w:color w:val="000000"/>
          <w:lang w:val="es-CL" w:eastAsia="en-US"/>
        </w:rPr>
        <w:t>;</w:t>
      </w:r>
      <w:r w:rsidR="00396174" w:rsidRPr="00073D09">
        <w:rPr>
          <w:rFonts w:eastAsia="Calibri"/>
          <w:color w:val="000000"/>
          <w:lang w:val="es-CL" w:eastAsia="en-US"/>
        </w:rPr>
        <w:t xml:space="preserve"> </w:t>
      </w:r>
      <w:proofErr w:type="spellStart"/>
      <w:r w:rsidR="00396174" w:rsidRPr="00073D09">
        <w:rPr>
          <w:rFonts w:eastAsia="Calibri"/>
          <w:color w:val="000000"/>
          <w:lang w:val="es-CL" w:eastAsia="en-US"/>
        </w:rPr>
        <w:t>LandGEM</w:t>
      </w:r>
      <w:proofErr w:type="spellEnd"/>
      <w:r w:rsidR="00C97558">
        <w:rPr>
          <w:rFonts w:eastAsia="Calibri"/>
          <w:color w:val="000000"/>
          <w:lang w:val="es-CL" w:eastAsia="en-US"/>
        </w:rPr>
        <w:t>;</w:t>
      </w:r>
      <w:r w:rsidR="00396174" w:rsidRPr="00073D09">
        <w:rPr>
          <w:rFonts w:eastAsia="Calibri"/>
          <w:color w:val="000000"/>
          <w:lang w:val="es-CL" w:eastAsia="en-US"/>
        </w:rPr>
        <w:t xml:space="preserve"> </w:t>
      </w:r>
      <w:r w:rsidR="005034BB" w:rsidRPr="00073D09">
        <w:rPr>
          <w:rFonts w:eastAsia="Calibri"/>
          <w:color w:val="000000"/>
          <w:lang w:val="es-CL" w:eastAsia="en-US"/>
        </w:rPr>
        <w:t>m</w:t>
      </w:r>
      <w:r w:rsidR="00396174" w:rsidRPr="00073D09">
        <w:rPr>
          <w:rFonts w:eastAsia="Calibri"/>
          <w:color w:val="000000"/>
          <w:lang w:val="es-CL" w:eastAsia="en-US"/>
        </w:rPr>
        <w:t>etano</w:t>
      </w:r>
      <w:r w:rsidR="00C97558">
        <w:rPr>
          <w:rFonts w:eastAsia="Calibri"/>
          <w:color w:val="000000"/>
          <w:lang w:val="es-CL" w:eastAsia="en-US"/>
        </w:rPr>
        <w:t>;</w:t>
      </w:r>
      <w:r w:rsidR="00396174" w:rsidRPr="00073D09">
        <w:rPr>
          <w:rFonts w:eastAsia="Calibri"/>
          <w:color w:val="000000"/>
          <w:lang w:val="es-CL" w:eastAsia="en-US"/>
        </w:rPr>
        <w:t xml:space="preserve"> </w:t>
      </w:r>
      <w:r w:rsidR="005034BB" w:rsidRPr="00073D09">
        <w:rPr>
          <w:rFonts w:eastAsia="Calibri"/>
          <w:color w:val="000000"/>
          <w:lang w:val="es-CL" w:eastAsia="en-US"/>
        </w:rPr>
        <w:t>r</w:t>
      </w:r>
      <w:r w:rsidR="00396174" w:rsidRPr="00073D09">
        <w:rPr>
          <w:rFonts w:eastAsia="Calibri"/>
          <w:color w:val="000000"/>
          <w:lang w:val="es-CL" w:eastAsia="en-US"/>
        </w:rPr>
        <w:t>elleno sanitario.</w:t>
      </w:r>
    </w:p>
    <w:p w14:paraId="6BCAAF3D" w14:textId="77777777" w:rsidR="00113C15" w:rsidRPr="00073D09" w:rsidRDefault="00113C15" w:rsidP="00D62000">
      <w:pPr>
        <w:spacing w:after="0"/>
        <w:jc w:val="both"/>
        <w:rPr>
          <w:b/>
          <w:lang w:val="es-CO"/>
        </w:rPr>
      </w:pPr>
    </w:p>
    <w:p w14:paraId="59B1A561" w14:textId="7810D1E7" w:rsidR="00113C15" w:rsidRPr="00073D09" w:rsidRDefault="00012B2E" w:rsidP="00D62000">
      <w:pPr>
        <w:spacing w:after="0"/>
        <w:jc w:val="both"/>
        <w:rPr>
          <w:b/>
          <w:lang w:val="en-US"/>
        </w:rPr>
      </w:pPr>
      <w:r w:rsidRPr="00073D09">
        <w:rPr>
          <w:b/>
          <w:lang w:val="en-US"/>
        </w:rPr>
        <w:t>Abstract</w:t>
      </w:r>
    </w:p>
    <w:p w14:paraId="22C43B98" w14:textId="49503A23" w:rsidR="000B1920" w:rsidRPr="00073D09" w:rsidRDefault="000B1920" w:rsidP="00D62000">
      <w:pPr>
        <w:spacing w:after="0"/>
        <w:jc w:val="both"/>
        <w:rPr>
          <w:lang w:val="en-US"/>
        </w:rPr>
      </w:pPr>
      <w:r w:rsidRPr="00073D09">
        <w:rPr>
          <w:b/>
          <w:lang w:val="en-US"/>
        </w:rPr>
        <w:t>[Introduction]:</w:t>
      </w:r>
      <w:r w:rsidRPr="00073D09">
        <w:rPr>
          <w:lang w:val="en-US"/>
        </w:rPr>
        <w:t xml:space="preserve"> Several countries implement landfills where solid waste is </w:t>
      </w:r>
      <w:proofErr w:type="gramStart"/>
      <w:r w:rsidRPr="00073D09">
        <w:rPr>
          <w:lang w:val="en-US"/>
        </w:rPr>
        <w:t>collected</w:t>
      </w:r>
      <w:proofErr w:type="gramEnd"/>
      <w:r w:rsidRPr="00073D09">
        <w:rPr>
          <w:lang w:val="en-US"/>
        </w:rPr>
        <w:t xml:space="preserve"> and its accumulation generates greenhouse gas emissions. This is intensified in countries where the growing population generates waste collection with organic matter compositions. </w:t>
      </w:r>
      <w:r w:rsidRPr="00073D09">
        <w:rPr>
          <w:b/>
          <w:lang w:val="en-US"/>
        </w:rPr>
        <w:t>[Objective]:</w:t>
      </w:r>
      <w:r w:rsidRPr="00073D09">
        <w:rPr>
          <w:lang w:val="en-US"/>
        </w:rPr>
        <w:t xml:space="preserve"> To </w:t>
      </w:r>
      <w:r w:rsidRPr="00073D09">
        <w:rPr>
          <w:lang w:val="en-US"/>
        </w:rPr>
        <w:lastRenderedPageBreak/>
        <w:t xml:space="preserve">estimate the emission rates of methane </w:t>
      </w:r>
      <w:bookmarkStart w:id="6" w:name="_Hlk51085119"/>
      <w:r w:rsidR="005034BB" w:rsidRPr="00004D80">
        <w:rPr>
          <w:lang w:val="en-US"/>
        </w:rPr>
        <w:t>CH</w:t>
      </w:r>
      <w:r w:rsidR="005034BB" w:rsidRPr="00004D80">
        <w:rPr>
          <w:vertAlign w:val="subscript"/>
          <w:lang w:val="en-US"/>
        </w:rPr>
        <w:t>4</w:t>
      </w:r>
      <w:bookmarkEnd w:id="6"/>
      <w:r w:rsidRPr="00073D09">
        <w:rPr>
          <w:lang w:val="en-US"/>
        </w:rPr>
        <w:t xml:space="preserve">, carbon dioxide </w:t>
      </w:r>
      <w:r w:rsidR="005034BB" w:rsidRPr="00004D80">
        <w:rPr>
          <w:lang w:val="en-US"/>
        </w:rPr>
        <w:t>CO</w:t>
      </w:r>
      <w:r w:rsidR="005034BB" w:rsidRPr="00004D80">
        <w:rPr>
          <w:vertAlign w:val="subscript"/>
          <w:lang w:val="en-US"/>
        </w:rPr>
        <w:t>2</w:t>
      </w:r>
      <w:r w:rsidRPr="00073D09">
        <w:rPr>
          <w:lang w:val="en-US"/>
        </w:rPr>
        <w:t xml:space="preserve"> and organic compounds other than methane NMOC in the Doña Juana landfill for the closure periods. </w:t>
      </w:r>
      <w:r w:rsidRPr="00073D09">
        <w:rPr>
          <w:b/>
          <w:lang w:val="en-US"/>
        </w:rPr>
        <w:t>[Methodology]:</w:t>
      </w:r>
      <w:r w:rsidRPr="00073D09">
        <w:rPr>
          <w:lang w:val="en-US"/>
        </w:rPr>
        <w:t xml:space="preserve"> The estimate was made using </w:t>
      </w:r>
      <w:proofErr w:type="spellStart"/>
      <w:r w:rsidRPr="00073D09">
        <w:rPr>
          <w:lang w:val="en-US"/>
        </w:rPr>
        <w:t>LandGEM</w:t>
      </w:r>
      <w:proofErr w:type="spellEnd"/>
      <w:r w:rsidRPr="00073D09">
        <w:rPr>
          <w:lang w:val="en-US"/>
        </w:rPr>
        <w:t xml:space="preserve"> software from the solid waste disposed of in the landfill located in Bogotá Colombia, following the years of closure established by law 2022, 2040 and 2070. </w:t>
      </w:r>
      <w:r w:rsidRPr="00073D09">
        <w:rPr>
          <w:b/>
          <w:lang w:val="en-US"/>
        </w:rPr>
        <w:t>[Results]:</w:t>
      </w:r>
      <w:r w:rsidRPr="00073D09">
        <w:rPr>
          <w:lang w:val="en-US"/>
        </w:rPr>
        <w:t xml:space="preserve"> An average of 2</w:t>
      </w:r>
      <w:r w:rsidR="005034BB" w:rsidRPr="00073D09">
        <w:rPr>
          <w:lang w:val="en-US"/>
        </w:rPr>
        <w:t xml:space="preserve"> </w:t>
      </w:r>
      <w:r w:rsidRPr="00073D09">
        <w:rPr>
          <w:lang w:val="en-US"/>
        </w:rPr>
        <w:t>152</w:t>
      </w:r>
      <w:r w:rsidR="005034BB" w:rsidRPr="00073D09">
        <w:rPr>
          <w:lang w:val="en-US"/>
        </w:rPr>
        <w:t xml:space="preserve"> </w:t>
      </w:r>
      <w:r w:rsidRPr="00073D09">
        <w:rPr>
          <w:lang w:val="en-US"/>
        </w:rPr>
        <w:t xml:space="preserve">870.48 tons/year of waste was obtained and deposited in the landfill. The estimation showed: for </w:t>
      </w:r>
      <w:r w:rsidR="005034BB" w:rsidRPr="00004D80">
        <w:rPr>
          <w:lang w:val="en-US"/>
        </w:rPr>
        <w:t>CH</w:t>
      </w:r>
      <w:r w:rsidR="005034BB" w:rsidRPr="00004D80">
        <w:rPr>
          <w:vertAlign w:val="subscript"/>
          <w:lang w:val="en-US"/>
        </w:rPr>
        <w:t>4</w:t>
      </w:r>
      <w:r w:rsidRPr="00073D09">
        <w:rPr>
          <w:lang w:val="en-US"/>
        </w:rPr>
        <w:t xml:space="preserve"> year of closure 2022, a maximum of 2.39E+08 m3/year and the generation would be extended until the year 2106; for 2040, a maximum of 6.10E+05 ton/year of </w:t>
      </w:r>
      <w:r w:rsidR="005034BB" w:rsidRPr="00004D80">
        <w:rPr>
          <w:lang w:val="en-US"/>
        </w:rPr>
        <w:t>CO</w:t>
      </w:r>
      <w:r w:rsidR="005034BB" w:rsidRPr="00004D80">
        <w:rPr>
          <w:vertAlign w:val="subscript"/>
          <w:lang w:val="en-US"/>
        </w:rPr>
        <w:t>2</w:t>
      </w:r>
      <w:r w:rsidRPr="00073D09">
        <w:rPr>
          <w:lang w:val="en-US"/>
        </w:rPr>
        <w:t xml:space="preserve">; in 2070 a maximum of 3.07E+06 m3/year of NMOC is observed and its production would end in 2142. </w:t>
      </w:r>
      <w:r w:rsidRPr="00073D09">
        <w:rPr>
          <w:b/>
          <w:lang w:val="en-US"/>
        </w:rPr>
        <w:t>[Conclusions]</w:t>
      </w:r>
      <w:r w:rsidRPr="00073D09">
        <w:rPr>
          <w:lang w:val="en-US"/>
        </w:rPr>
        <w:t xml:space="preserve"> The energy potential in terms of </w:t>
      </w:r>
      <w:r w:rsidR="005034BB" w:rsidRPr="00004D80">
        <w:rPr>
          <w:lang w:val="en-US"/>
        </w:rPr>
        <w:t>CH</w:t>
      </w:r>
      <w:r w:rsidR="005034BB" w:rsidRPr="00004D80">
        <w:rPr>
          <w:vertAlign w:val="subscript"/>
          <w:lang w:val="en-US"/>
        </w:rPr>
        <w:t>4</w:t>
      </w:r>
      <w:r w:rsidRPr="00073D09">
        <w:rPr>
          <w:lang w:val="en-US"/>
        </w:rPr>
        <w:t xml:space="preserve"> that can be obtained with the years of useful life of the landfill is highlighted. Estimates of </w:t>
      </w:r>
      <w:r w:rsidR="005034BB" w:rsidRPr="00004D80">
        <w:rPr>
          <w:lang w:val="en-US"/>
        </w:rPr>
        <w:t>CO</w:t>
      </w:r>
      <w:r w:rsidR="005034BB" w:rsidRPr="00004D80">
        <w:rPr>
          <w:vertAlign w:val="subscript"/>
          <w:lang w:val="en-US"/>
        </w:rPr>
        <w:t>2</w:t>
      </w:r>
      <w:r w:rsidR="005034BB" w:rsidRPr="00073D09">
        <w:rPr>
          <w:lang w:val="en-US"/>
        </w:rPr>
        <w:t xml:space="preserve"> </w:t>
      </w:r>
      <w:r w:rsidRPr="00073D09">
        <w:rPr>
          <w:lang w:val="en-US"/>
        </w:rPr>
        <w:t xml:space="preserve">and NMOC per year show the importance of complementing solid waste disposal with optimal treatments, since they represent greenhouse gases that are emitted in large proportions. </w:t>
      </w:r>
    </w:p>
    <w:p w14:paraId="707516E2" w14:textId="703617DA" w:rsidR="0008686A" w:rsidRPr="00073D09" w:rsidRDefault="0008686A" w:rsidP="00D62000">
      <w:pPr>
        <w:spacing w:after="0"/>
        <w:jc w:val="both"/>
        <w:rPr>
          <w:b/>
          <w:lang w:val="en-US"/>
        </w:rPr>
      </w:pPr>
    </w:p>
    <w:p w14:paraId="5A0D3334" w14:textId="557879C5" w:rsidR="00DB41B6" w:rsidRPr="00073D09" w:rsidRDefault="00113C15" w:rsidP="00D62000">
      <w:pPr>
        <w:spacing w:after="0"/>
        <w:jc w:val="both"/>
        <w:rPr>
          <w:lang w:val="en-US"/>
        </w:rPr>
      </w:pPr>
      <w:r w:rsidRPr="00073D09">
        <w:rPr>
          <w:b/>
          <w:lang w:val="en-US"/>
        </w:rPr>
        <w:t>Keywords:</w:t>
      </w:r>
      <w:r w:rsidRPr="00073D09">
        <w:rPr>
          <w:lang w:val="en-US"/>
        </w:rPr>
        <w:t xml:space="preserve"> </w:t>
      </w:r>
      <w:r w:rsidR="00E92B96" w:rsidRPr="00073D09">
        <w:rPr>
          <w:lang w:val="en"/>
        </w:rPr>
        <w:t>Carbon dioxide</w:t>
      </w:r>
      <w:r w:rsidR="00C97558">
        <w:rPr>
          <w:lang w:val="en"/>
        </w:rPr>
        <w:t>;</w:t>
      </w:r>
      <w:r w:rsidR="00E92B96" w:rsidRPr="00073D09">
        <w:rPr>
          <w:lang w:val="en"/>
        </w:rPr>
        <w:t xml:space="preserve"> </w:t>
      </w:r>
      <w:r w:rsidR="0093046A" w:rsidRPr="00073D09">
        <w:rPr>
          <w:lang w:val="en"/>
        </w:rPr>
        <w:t>landfill</w:t>
      </w:r>
      <w:r w:rsidR="0093046A">
        <w:rPr>
          <w:lang w:val="en"/>
        </w:rPr>
        <w:t xml:space="preserve">; </w:t>
      </w:r>
      <w:proofErr w:type="spellStart"/>
      <w:r w:rsidR="00E92B96" w:rsidRPr="00073D09">
        <w:rPr>
          <w:lang w:val="en"/>
        </w:rPr>
        <w:t>LandGEM</w:t>
      </w:r>
      <w:proofErr w:type="spellEnd"/>
      <w:r w:rsidR="00C97558">
        <w:rPr>
          <w:lang w:val="en"/>
        </w:rPr>
        <w:t>;</w:t>
      </w:r>
      <w:r w:rsidR="00E92B96" w:rsidRPr="00073D09">
        <w:rPr>
          <w:lang w:val="en"/>
        </w:rPr>
        <w:t xml:space="preserve"> methane</w:t>
      </w:r>
      <w:r w:rsidR="00C97558">
        <w:rPr>
          <w:lang w:val="en"/>
        </w:rPr>
        <w:t>;</w:t>
      </w:r>
      <w:r w:rsidR="00E92B96" w:rsidRPr="00073D09">
        <w:rPr>
          <w:lang w:val="en"/>
        </w:rPr>
        <w:t xml:space="preserve"> </w:t>
      </w:r>
      <w:r w:rsidR="0093046A">
        <w:rPr>
          <w:lang w:val="en"/>
        </w:rPr>
        <w:t>o</w:t>
      </w:r>
      <w:r w:rsidR="005034BB" w:rsidRPr="00073D09">
        <w:rPr>
          <w:lang w:val="en"/>
        </w:rPr>
        <w:t>rganic compounds other than methane</w:t>
      </w:r>
      <w:r w:rsidR="00DB41B6" w:rsidRPr="00073D09">
        <w:rPr>
          <w:lang w:val="en"/>
        </w:rPr>
        <w:t>.</w:t>
      </w:r>
    </w:p>
    <w:p w14:paraId="0762D3F6" w14:textId="35172E54" w:rsidR="00CF35FB" w:rsidRPr="00AB13C5" w:rsidRDefault="00CF35FB" w:rsidP="00D62000">
      <w:pPr>
        <w:spacing w:after="0"/>
        <w:jc w:val="both"/>
        <w:rPr>
          <w:b/>
          <w:bCs/>
          <w:iCs/>
          <w:lang w:val="en-US"/>
        </w:rPr>
      </w:pPr>
    </w:p>
    <w:p w14:paraId="1F6BAE0C" w14:textId="6F036AEA" w:rsidR="00E03D2A" w:rsidRPr="009A7AAF" w:rsidRDefault="00012B2E" w:rsidP="00AB13C5">
      <w:pPr>
        <w:pStyle w:val="Prrafodelista"/>
        <w:numPr>
          <w:ilvl w:val="0"/>
          <w:numId w:val="14"/>
        </w:numPr>
        <w:spacing w:after="0"/>
        <w:ind w:left="284" w:hanging="284"/>
        <w:jc w:val="both"/>
        <w:rPr>
          <w:b/>
        </w:rPr>
      </w:pPr>
      <w:r w:rsidRPr="009A7AAF">
        <w:rPr>
          <w:b/>
        </w:rPr>
        <w:t>Introducción</w:t>
      </w:r>
    </w:p>
    <w:p w14:paraId="759BA485" w14:textId="77777777" w:rsidR="00AB13C5" w:rsidRPr="00073D09" w:rsidRDefault="00AB13C5" w:rsidP="00AB13C5">
      <w:pPr>
        <w:pStyle w:val="Prrafodelista"/>
        <w:spacing w:after="0"/>
        <w:jc w:val="both"/>
        <w:rPr>
          <w:b/>
        </w:rPr>
      </w:pPr>
    </w:p>
    <w:p w14:paraId="710FBA00" w14:textId="6042A24F" w:rsidR="008E34B5" w:rsidRDefault="00396174" w:rsidP="00D62000">
      <w:pPr>
        <w:spacing w:after="0"/>
        <w:jc w:val="both"/>
        <w:rPr>
          <w:lang w:val="es-CO"/>
        </w:rPr>
      </w:pPr>
      <w:r w:rsidRPr="00073D09">
        <w:rPr>
          <w:lang w:val="es-CO"/>
        </w:rPr>
        <w:t>Los rellenos sanitarios</w:t>
      </w:r>
      <w:r w:rsidR="00987ED2">
        <w:rPr>
          <w:lang w:val="es-CO"/>
        </w:rPr>
        <w:t>,</w:t>
      </w:r>
      <w:r w:rsidRPr="00073D09">
        <w:rPr>
          <w:lang w:val="es-CO"/>
        </w:rPr>
        <w:t xml:space="preserve"> </w:t>
      </w:r>
      <w:r w:rsidR="00E92B96" w:rsidRPr="00073D09">
        <w:rPr>
          <w:lang w:val="es-CO"/>
        </w:rPr>
        <w:t>según</w:t>
      </w:r>
      <w:r w:rsidRPr="00073D09">
        <w:rPr>
          <w:lang w:val="es-CO"/>
        </w:rPr>
        <w:t xml:space="preserve"> </w:t>
      </w:r>
      <w:r w:rsidR="003027AC" w:rsidRPr="00D62000">
        <w:rPr>
          <w:color w:val="0070C0"/>
          <w:lang w:val="es-CO"/>
        </w:rPr>
        <w:fldChar w:fldCharType="begin" w:fldLock="1"/>
      </w:r>
      <w:r w:rsidR="003027AC" w:rsidRPr="00D62000">
        <w:rPr>
          <w:color w:val="0070C0"/>
          <w:lang w:val="es-CO"/>
        </w:rPr>
        <w:instrText>ADDIN CSL_CITATION {"citationItems":[{"id":"ITEM-1","itemData":{"author":[{"dropping-particle":"","family":"Jaramillo","given":"Jorge","non-dropping-particle":"","parse-names":false,"suffix":""}],"container-title":"Centro Panamericano de Ingeniería Sanitaria y Ciencias del Ambiente","id":"ITEM-1","issued":{"date-parts":[["2002"]]},"page":"19-24","title":"Guía para el diseño, construcción y operación de rellenos sanitarios manuales","type":"article-journal"},"uris":["http://www.mendeley.com/documents/?uuid=72062c93-def1-436a-ade2-e0da2d06ebe8"]}],"mendeley":{"formattedCitation":"(Jaramillo, 2002)","manualFormatting":"Jaramillo (2002)","plainTextFormattedCitation":"(Jaramillo, 2002)","previouslyFormattedCitation":"(Jaramillo, 2002)"},"properties":{"noteIndex":0},"schema":"https://github.com/citation-style-language/schema/raw/master/csl-citation.json"}</w:instrText>
      </w:r>
      <w:r w:rsidR="003027AC" w:rsidRPr="00D62000">
        <w:rPr>
          <w:color w:val="0070C0"/>
          <w:lang w:val="es-CO"/>
        </w:rPr>
        <w:fldChar w:fldCharType="separate"/>
      </w:r>
      <w:r w:rsidR="003027AC" w:rsidRPr="00D62000">
        <w:rPr>
          <w:noProof/>
          <w:color w:val="0070C0"/>
          <w:lang w:val="es-CO"/>
        </w:rPr>
        <w:t>Jaramillo (2002)</w:t>
      </w:r>
      <w:r w:rsidR="003027AC" w:rsidRPr="00D62000">
        <w:rPr>
          <w:color w:val="0070C0"/>
          <w:lang w:val="es-CO"/>
        </w:rPr>
        <w:fldChar w:fldCharType="end"/>
      </w:r>
      <w:r w:rsidRPr="00073D09">
        <w:rPr>
          <w:lang w:val="es-CO"/>
        </w:rPr>
        <w:t>, son una alternativa para la recolección de residuos sólidos generados por la</w:t>
      </w:r>
      <w:r w:rsidR="00E41721" w:rsidRPr="00073D09">
        <w:rPr>
          <w:lang w:val="es-CO"/>
        </w:rPr>
        <w:t>s poblaciones</w:t>
      </w:r>
      <w:r w:rsidR="00821774" w:rsidRPr="00073D09">
        <w:rPr>
          <w:lang w:val="es-CO"/>
        </w:rPr>
        <w:t xml:space="preserve"> </w:t>
      </w:r>
      <w:r w:rsidR="009070EB" w:rsidRPr="00073D09">
        <w:rPr>
          <w:lang w:val="es-CO"/>
        </w:rPr>
        <w:t>y son implementados alrededor del mundo</w:t>
      </w:r>
      <w:r w:rsidR="006140E9" w:rsidRPr="00073D09">
        <w:rPr>
          <w:lang w:val="es-CO"/>
        </w:rPr>
        <w:t xml:space="preserve"> para el saneamiento básico</w:t>
      </w:r>
      <w:r w:rsidRPr="00073D09">
        <w:rPr>
          <w:lang w:val="es-CO"/>
        </w:rPr>
        <w:t xml:space="preserve">. </w:t>
      </w:r>
      <w:r w:rsidR="00A963EB" w:rsidRPr="00073D09">
        <w:rPr>
          <w:lang w:val="es-CO"/>
        </w:rPr>
        <w:t>Sin embargo, s</w:t>
      </w:r>
      <w:r w:rsidR="008C1792" w:rsidRPr="00073D09">
        <w:rPr>
          <w:lang w:val="es-CO"/>
        </w:rPr>
        <w:t xml:space="preserve">egún lo explica </w:t>
      </w:r>
      <w:r w:rsidR="003027AC" w:rsidRPr="00D62000">
        <w:rPr>
          <w:color w:val="0070C0"/>
          <w:lang w:val="es-CO"/>
        </w:rPr>
        <w:fldChar w:fldCharType="begin" w:fldLock="1"/>
      </w:r>
      <w:r w:rsidR="00403361" w:rsidRPr="00D62000">
        <w:rPr>
          <w:color w:val="0070C0"/>
          <w:lang w:val="es-CO"/>
        </w:rPr>
        <w:instrText>ADDIN CSL_CITATION {"citationItems":[{"id":"ITEM-1","itemData":{"abstract":"Resumen A nivel mundial, especialmente en las grandes ciudades de los países de América Latina y el Caribe, el manejo de los residuos sólidos ha represen-tado un problema debido, entre otras cosas, a los altos volúmenes de resi-duos sólidos generados por los ciudadanos; cuando el manejo de éstos no es el adecuado, puede afectar la salud de los ciudadanos y al medio ambiente. Ante este escenario surge la necesidad de describir la situación actual del manejo de residuos sólidos en América Latina y el Caribe, así como las accio-nes y estrategias que se están empleando para mejorarlo, para esto se realizó una revisión documental de artículos científicos y se contrastaron las reali-dades presentadas por los distintos autores en el manejo de residuos sólidos. En dicha revisión se detectaron similitudes en la manera como se manejan los residuos sólidos en la América Latina y el Caribe, observándose que el sis-tema se encuentra aún en estado incipiente para ser considerado como integral y sustentable. Para lograr mejoras en el manejo de residuos sólidos, en América Latina y el Caribe, se requiere voluntad por parte de los gobernantes, fuertes inversiones y educación continua de la ciudadanía en el tema del aprovechamiento de los residuos. Palabras clave: Residuos sólidos, manejo de residuos sólidos, América Lati-na y el Caribe.","author":[{"dropping-particle":"","family":"Sáez","given":"Alejandrina","non-dropping-particle":"","parse-names":false,"suffix":""},{"dropping-particle":"","family":"Urdaneta","given":"Joheni A","non-dropping-particle":"","parse-names":false,"suffix":""}],"container-title":"Omnia Año","id":"ITEM-1","issue":"3","issued":{"date-parts":[["2014"]]},"number-of-pages":"1315-8856","title":"Manejo de residuos sólidos en América Latina y el Caribe","type":"report","volume":"20"},"uris":["http://www.mendeley.com/documents/?uuid=4bf57b34-739f-3f8f-94cb-57beb1229ee5"]}],"mendeley":{"formattedCitation":"(Sáez &amp; Urdaneta, 2014)","manualFormatting":"Sáez &amp; Urdaneta (2014)","plainTextFormattedCitation":"(Sáez &amp; Urdaneta, 2014)","previouslyFormattedCitation":"(Sáez &amp; Urdaneta, 2014)"},"properties":{"noteIndex":0},"schema":"https://github.com/citation-style-language/schema/raw/master/csl-citation.json"}</w:instrText>
      </w:r>
      <w:r w:rsidR="003027AC" w:rsidRPr="00D62000">
        <w:rPr>
          <w:color w:val="0070C0"/>
          <w:lang w:val="es-CO"/>
        </w:rPr>
        <w:fldChar w:fldCharType="separate"/>
      </w:r>
      <w:r w:rsidR="006C7CAE" w:rsidRPr="00D62000">
        <w:rPr>
          <w:noProof/>
          <w:color w:val="0070C0"/>
          <w:lang w:val="es-CO"/>
        </w:rPr>
        <w:t>Sáez &amp; Urdaneta</w:t>
      </w:r>
      <w:r w:rsidR="003027AC" w:rsidRPr="00D62000">
        <w:rPr>
          <w:noProof/>
          <w:color w:val="0070C0"/>
          <w:lang w:val="es-CO"/>
        </w:rPr>
        <w:t xml:space="preserve"> </w:t>
      </w:r>
      <w:r w:rsidR="006C7CAE" w:rsidRPr="00D62000">
        <w:rPr>
          <w:noProof/>
          <w:color w:val="0070C0"/>
          <w:lang w:val="es-CO"/>
        </w:rPr>
        <w:t>(</w:t>
      </w:r>
      <w:r w:rsidR="003027AC" w:rsidRPr="00D62000">
        <w:rPr>
          <w:noProof/>
          <w:color w:val="0070C0"/>
          <w:lang w:val="es-CO"/>
        </w:rPr>
        <w:t>2014)</w:t>
      </w:r>
      <w:r w:rsidR="003027AC" w:rsidRPr="00D62000">
        <w:rPr>
          <w:color w:val="0070C0"/>
          <w:lang w:val="es-CO"/>
        </w:rPr>
        <w:fldChar w:fldCharType="end"/>
      </w:r>
      <w:r w:rsidR="003027AC" w:rsidRPr="00073D09">
        <w:rPr>
          <w:lang w:val="es-CO"/>
        </w:rPr>
        <w:t xml:space="preserve"> </w:t>
      </w:r>
      <w:r w:rsidR="00E41721" w:rsidRPr="00073D09">
        <w:rPr>
          <w:lang w:val="es-CO"/>
        </w:rPr>
        <w:t>complementando</w:t>
      </w:r>
      <w:r w:rsidR="003027AC" w:rsidRPr="00073D09">
        <w:rPr>
          <w:lang w:val="es-CO"/>
        </w:rPr>
        <w:t xml:space="preserve"> </w:t>
      </w:r>
      <w:r w:rsidR="00E41721" w:rsidRPr="00073D09">
        <w:rPr>
          <w:lang w:val="es-CO"/>
        </w:rPr>
        <w:t>con</w:t>
      </w:r>
      <w:r w:rsidR="00722255" w:rsidRPr="00073D09">
        <w:rPr>
          <w:lang w:val="es-CO"/>
        </w:rPr>
        <w:t xml:space="preserve"> </w:t>
      </w:r>
      <w:r w:rsidR="00722255" w:rsidRPr="00D62000">
        <w:rPr>
          <w:color w:val="0070C0"/>
          <w:lang w:val="es-CO"/>
        </w:rPr>
        <w:fldChar w:fldCharType="begin" w:fldLock="1"/>
      </w:r>
      <w:r w:rsidR="00085BF2" w:rsidRPr="00D62000">
        <w:rPr>
          <w:color w:val="0070C0"/>
          <w:lang w:val="es-CO"/>
        </w:rPr>
        <w:instrText>ADDIN CSL_CITATION {"citationItems":[{"id":"ITEM-1","itemData":{"author":[{"dropping-particle":"","family":"Noguera","given":"Katia","non-dropping-particle":"","parse-names":false,"suffix":""},{"dropping-particle":"","family":"Olivero","given":"Jesús","non-dropping-particle":"","parse-names":false,"suffix":""}],"container-title":"Revista de la Academia Colombiana de Ciencias Exactas, Físicas y Naturales","id":"ITEM-1","issue":"132","issued":{"date-parts":[["2010"]]},"page":"347-356","title":"Los rellenos sanitarios en Latinoamérica: caso colombiano","type":"article-journal","volume":"34"},"uris":["http://www.mendeley.com/documents/?uuid=d54dd6d9-9df3-4642-b95f-82e85323b518"]}],"mendeley":{"formattedCitation":"(Noguera &amp; Olivero, 2010)","manualFormatting":"Noguera &amp; Olivero (2010)","plainTextFormattedCitation":"(Noguera &amp; Olivero, 2010)","previouslyFormattedCitation":"(Noguera &amp; Olivero, 2010)"},"properties":{"noteIndex":0},"schema":"https://github.com/citation-style-language/schema/raw/master/csl-citation.json"}</w:instrText>
      </w:r>
      <w:r w:rsidR="00722255" w:rsidRPr="00D62000">
        <w:rPr>
          <w:color w:val="0070C0"/>
          <w:lang w:val="es-CO"/>
        </w:rPr>
        <w:fldChar w:fldCharType="separate"/>
      </w:r>
      <w:r w:rsidR="00722255" w:rsidRPr="00D62000">
        <w:rPr>
          <w:noProof/>
          <w:color w:val="0070C0"/>
          <w:lang w:val="es-CO"/>
        </w:rPr>
        <w:t>Noguera &amp; Olivero (2010)</w:t>
      </w:r>
      <w:r w:rsidR="00722255" w:rsidRPr="00D62000">
        <w:rPr>
          <w:color w:val="0070C0"/>
          <w:lang w:val="es-CO"/>
        </w:rPr>
        <w:fldChar w:fldCharType="end"/>
      </w:r>
      <w:r w:rsidR="00E92B96" w:rsidRPr="00073D09">
        <w:rPr>
          <w:lang w:val="es-CO"/>
        </w:rPr>
        <w:t xml:space="preserve"> y contrastando con el geo visor </w:t>
      </w:r>
      <w:proofErr w:type="spellStart"/>
      <w:r w:rsidR="00E92B96" w:rsidRPr="00073D09">
        <w:rPr>
          <w:i/>
          <w:lang w:val="es-CO"/>
        </w:rPr>
        <w:t>Waste</w:t>
      </w:r>
      <w:proofErr w:type="spellEnd"/>
      <w:r w:rsidR="00E92B96" w:rsidRPr="00073D09">
        <w:rPr>
          <w:i/>
          <w:lang w:val="es-CO"/>
        </w:rPr>
        <w:t xml:space="preserve"> </w:t>
      </w:r>
      <w:r w:rsidR="0068763D">
        <w:rPr>
          <w:i/>
          <w:lang w:val="es-CO"/>
        </w:rPr>
        <w:t>A</w:t>
      </w:r>
      <w:r w:rsidR="00E92B96" w:rsidRPr="00073D09">
        <w:rPr>
          <w:i/>
          <w:lang w:val="es-CO"/>
        </w:rPr>
        <w:t>tlas</w:t>
      </w:r>
      <w:r w:rsidR="008C1792" w:rsidRPr="00073D09">
        <w:rPr>
          <w:lang w:val="es-CO"/>
        </w:rPr>
        <w:t>,</w:t>
      </w:r>
      <w:r w:rsidR="00E92B96" w:rsidRPr="00073D09">
        <w:rPr>
          <w:lang w:val="es-CO"/>
        </w:rPr>
        <w:t xml:space="preserve"> </w:t>
      </w:r>
      <w:r w:rsidR="00A963EB" w:rsidRPr="00073D09">
        <w:rPr>
          <w:lang w:val="es-CO"/>
        </w:rPr>
        <w:t>l</w:t>
      </w:r>
      <w:r w:rsidRPr="00073D09">
        <w:rPr>
          <w:lang w:val="es-CO"/>
        </w:rPr>
        <w:t xml:space="preserve">a acumulación excesiva de basuras en rellenos sanitarios se evidencia </w:t>
      </w:r>
      <w:r w:rsidR="005034BB" w:rsidRPr="00073D09">
        <w:rPr>
          <w:lang w:val="es-CO"/>
        </w:rPr>
        <w:t>a</w:t>
      </w:r>
      <w:r w:rsidRPr="00073D09">
        <w:rPr>
          <w:lang w:val="es-CO"/>
        </w:rPr>
        <w:t xml:space="preserve"> gran escala en países latinoamericanos</w:t>
      </w:r>
      <w:r w:rsidR="00A963EB" w:rsidRPr="00073D09">
        <w:rPr>
          <w:lang w:val="es-CO"/>
        </w:rPr>
        <w:t xml:space="preserve"> y caribe</w:t>
      </w:r>
      <w:r w:rsidR="00534335">
        <w:rPr>
          <w:lang w:val="es-CO"/>
        </w:rPr>
        <w:t>ños</w:t>
      </w:r>
      <w:r w:rsidR="00E41721" w:rsidRPr="00073D09">
        <w:rPr>
          <w:lang w:val="es-CO"/>
        </w:rPr>
        <w:t>,</w:t>
      </w:r>
      <w:r w:rsidR="00BA71F7" w:rsidRPr="00073D09">
        <w:rPr>
          <w:lang w:val="es-CO"/>
        </w:rPr>
        <w:t xml:space="preserve"> </w:t>
      </w:r>
      <w:r w:rsidR="005034BB" w:rsidRPr="00073D09">
        <w:rPr>
          <w:lang w:val="es-CO"/>
        </w:rPr>
        <w:t xml:space="preserve">clasificados </w:t>
      </w:r>
      <w:r w:rsidR="00A963EB" w:rsidRPr="00073D09">
        <w:rPr>
          <w:lang w:val="es-CO"/>
        </w:rPr>
        <w:t>de mayor a menor: México con 12 000 ton/día, Perú con 8 938.5 to</w:t>
      </w:r>
      <w:r w:rsidR="00510D0C" w:rsidRPr="00073D09">
        <w:rPr>
          <w:lang w:val="es-CO"/>
        </w:rPr>
        <w:t>n/día, Chile 7 100 ton/día,</w:t>
      </w:r>
      <w:r w:rsidR="00A963EB" w:rsidRPr="00073D09">
        <w:rPr>
          <w:lang w:val="es-CO"/>
        </w:rPr>
        <w:t xml:space="preserve"> </w:t>
      </w:r>
      <w:r w:rsidR="009070EB" w:rsidRPr="00073D09">
        <w:rPr>
          <w:lang w:val="es-CO"/>
        </w:rPr>
        <w:t>Colombia 5 891.8 ton/día</w:t>
      </w:r>
      <w:r w:rsidR="00510D0C" w:rsidRPr="00073D09">
        <w:rPr>
          <w:lang w:val="es-CO"/>
        </w:rPr>
        <w:t xml:space="preserve"> y Argentina con 5 000 ton/día</w:t>
      </w:r>
      <w:r w:rsidR="009070EB" w:rsidRPr="00073D09">
        <w:rPr>
          <w:lang w:val="es-CO"/>
        </w:rPr>
        <w:t>;</w:t>
      </w:r>
      <w:r w:rsidRPr="00073D09">
        <w:rPr>
          <w:lang w:val="es-CO"/>
        </w:rPr>
        <w:t xml:space="preserve"> lo cual</w:t>
      </w:r>
      <w:r w:rsidR="006140E9" w:rsidRPr="00073D09">
        <w:rPr>
          <w:lang w:val="es-CO"/>
        </w:rPr>
        <w:t xml:space="preserve"> </w:t>
      </w:r>
      <w:r w:rsidR="009070EB" w:rsidRPr="00073D09">
        <w:rPr>
          <w:lang w:val="es-CO"/>
        </w:rPr>
        <w:t>requiere conceptos técnicos</w:t>
      </w:r>
      <w:r w:rsidR="006140E9" w:rsidRPr="00073D09">
        <w:rPr>
          <w:lang w:val="es-CO"/>
        </w:rPr>
        <w:t xml:space="preserve"> </w:t>
      </w:r>
      <w:r w:rsidR="00BA71F7" w:rsidRPr="00073D09">
        <w:rPr>
          <w:lang w:val="es-CO"/>
        </w:rPr>
        <w:t xml:space="preserve">y </w:t>
      </w:r>
      <w:r w:rsidR="006140E9" w:rsidRPr="00073D09">
        <w:rPr>
          <w:lang w:val="es-CO"/>
        </w:rPr>
        <w:t>adecuado</w:t>
      </w:r>
      <w:r w:rsidR="00D60FF2" w:rsidRPr="00073D09">
        <w:rPr>
          <w:lang w:val="es-CO"/>
        </w:rPr>
        <w:t>s</w:t>
      </w:r>
      <w:r w:rsidR="006140E9" w:rsidRPr="00073D09">
        <w:rPr>
          <w:lang w:val="es-CO"/>
        </w:rPr>
        <w:t xml:space="preserve"> tratamiento</w:t>
      </w:r>
      <w:r w:rsidR="00D60FF2" w:rsidRPr="00073D09">
        <w:rPr>
          <w:lang w:val="es-CO"/>
        </w:rPr>
        <w:t>s</w:t>
      </w:r>
      <w:r w:rsidR="00534335">
        <w:rPr>
          <w:lang w:val="es-CO"/>
        </w:rPr>
        <w:t>,</w:t>
      </w:r>
      <w:r w:rsidR="006140E9" w:rsidRPr="00073D09">
        <w:rPr>
          <w:lang w:val="es-CO"/>
        </w:rPr>
        <w:t xml:space="preserve"> ya que la acumulación excesiva genera vectores, olores y lixiviados</w:t>
      </w:r>
      <w:r w:rsidR="00E41721" w:rsidRPr="00073D09">
        <w:rPr>
          <w:lang w:val="es-CO"/>
        </w:rPr>
        <w:t xml:space="preserve"> que afectan la salud pública</w:t>
      </w:r>
      <w:r w:rsidR="006140E9" w:rsidRPr="00073D09">
        <w:rPr>
          <w:lang w:val="es-CO"/>
        </w:rPr>
        <w:t>.</w:t>
      </w:r>
      <w:r w:rsidR="00E41721" w:rsidRPr="00073D09">
        <w:rPr>
          <w:lang w:val="es-CO"/>
        </w:rPr>
        <w:t xml:space="preserve"> Lo anterior se debe a la descomposición de compuestos orgánicos</w:t>
      </w:r>
      <w:r w:rsidR="00D60FF2" w:rsidRPr="00073D09">
        <w:rPr>
          <w:lang w:val="es-CO"/>
        </w:rPr>
        <w:t xml:space="preserve"> que</w:t>
      </w:r>
      <w:r w:rsidR="00534335">
        <w:rPr>
          <w:lang w:val="es-CO"/>
        </w:rPr>
        <w:t>,</w:t>
      </w:r>
      <w:r w:rsidR="00D60FF2" w:rsidRPr="00073D09">
        <w:rPr>
          <w:lang w:val="es-CO"/>
        </w:rPr>
        <w:t xml:space="preserve"> a su vez</w:t>
      </w:r>
      <w:r w:rsidR="00534335">
        <w:rPr>
          <w:lang w:val="es-CO"/>
        </w:rPr>
        <w:t>,</w:t>
      </w:r>
      <w:r w:rsidR="00D60FF2" w:rsidRPr="00073D09">
        <w:rPr>
          <w:lang w:val="es-CO"/>
        </w:rPr>
        <w:t xml:space="preserve"> </w:t>
      </w:r>
      <w:r w:rsidR="006140E9" w:rsidRPr="00073D09">
        <w:rPr>
          <w:lang w:val="es-CO"/>
        </w:rPr>
        <w:t xml:space="preserve">genera </w:t>
      </w:r>
      <w:r w:rsidR="009070EB" w:rsidRPr="00073D09">
        <w:rPr>
          <w:lang w:val="es-CO"/>
        </w:rPr>
        <w:t xml:space="preserve">la alteración de la calidad del aire </w:t>
      </w:r>
      <w:r w:rsidR="006140E9" w:rsidRPr="00073D09">
        <w:rPr>
          <w:lang w:val="es-CO"/>
        </w:rPr>
        <w:t>por</w:t>
      </w:r>
      <w:r w:rsidR="009070EB" w:rsidRPr="00073D09">
        <w:rPr>
          <w:lang w:val="es-CO"/>
        </w:rPr>
        <w:t xml:space="preserve"> las emisiones de diversos contaminantes a la atmosfera</w:t>
      </w:r>
      <w:r w:rsidR="00BA71F7" w:rsidRPr="00073D09">
        <w:rPr>
          <w:lang w:val="es-CO"/>
        </w:rPr>
        <w:t>,</w:t>
      </w:r>
      <w:r w:rsidR="00660D7E" w:rsidRPr="00073D09">
        <w:rPr>
          <w:lang w:val="es-CO"/>
        </w:rPr>
        <w:t xml:space="preserve"> l</w:t>
      </w:r>
      <w:r w:rsidR="009070EB" w:rsidRPr="00073D09">
        <w:rPr>
          <w:lang w:val="es-CO"/>
        </w:rPr>
        <w:t>os cuales se identifican en</w:t>
      </w:r>
      <w:r w:rsidR="00085BF2" w:rsidRPr="00073D09">
        <w:rPr>
          <w:lang w:val="es-CO"/>
        </w:rPr>
        <w:t xml:space="preserve"> </w:t>
      </w:r>
      <w:r w:rsidR="00085BF2" w:rsidRPr="00D62000">
        <w:rPr>
          <w:color w:val="0070C0"/>
          <w:lang w:val="es-CO"/>
        </w:rPr>
        <w:fldChar w:fldCharType="begin" w:fldLock="1"/>
      </w:r>
      <w:r w:rsidR="00075722" w:rsidRPr="00D62000">
        <w:rPr>
          <w:color w:val="0070C0"/>
          <w:lang w:val="es-CO"/>
        </w:rPr>
        <w:instrText>ADDIN CSL_CITATION {"citationItems":[{"id":"ITEM-1","itemData":{"abstract":"El inminente cambio en la temperatura de la tierra ha activando las alarmas de los investigadores quienes han iniciado un proceso de análisis de los diferentes elementos o factores que de alguna manera pueden generar lo que se ha denominado el cambio climático. Este artículo hace referencia en uno de los tantos factores que aunque de una manera imperceptible e invisible hace un gran aporte a la generación de los denominados gases de efecto invernadero ó GEI principales generadores del cambio climático. Los rellenos sanitarios son sistemas de disposición de residuos sólidos que por su importancia dentro de la cadena de generación de gases requieren ser analizados de forma individual. Si bien este sistema de disposición de residuos sólidos es altamente dinámico en producción de GEI, son fuentes que a partir del quinto año y durante la toda su etapa de funcionamiento, tienen la capacidad de contaminar durante muchos años, en especial en lo referente al gas metano CH4 para el que se estima que ocupa el 13% de las emisiones totales a nivel mundial, y donde su actividad generadora aun perdura, después de clausurado el relleno, por un espacio estimado de 50 años.","author":[{"dropping-particle":"","family":"Pinzón Uribe","given":"Luis Felipe","non-dropping-particle":"","parse-names":false,"suffix":""}],"id":"ITEM-1","issued":{"date-parts":[["2009"]]},"number-of-pages":"1-13","publisher-place":"Bogotá","title":"Influencia de los Rellenos Sanitarios en el Cambio Climatico","type":"report"},"uris":["http://www.mendeley.com/documents/?uuid=ec62374a-ea77-3125-830d-48ff7b578751"]}],"mendeley":{"formattedCitation":"(Pinzón Uribe, 2009)","manualFormatting":"Pinzón Uribe (2009)","plainTextFormattedCitation":"(Pinzón Uribe, 2009)","previouslyFormattedCitation":"(Pinzón Uribe, 2009)"},"properties":{"noteIndex":0},"schema":"https://github.com/citation-style-language/schema/raw/master/csl-citation.json"}</w:instrText>
      </w:r>
      <w:r w:rsidR="00085BF2" w:rsidRPr="00D62000">
        <w:rPr>
          <w:color w:val="0070C0"/>
          <w:lang w:val="es-CO"/>
        </w:rPr>
        <w:fldChar w:fldCharType="separate"/>
      </w:r>
      <w:r w:rsidR="00085BF2" w:rsidRPr="00D62000">
        <w:rPr>
          <w:noProof/>
          <w:color w:val="0070C0"/>
          <w:lang w:val="es-CO"/>
        </w:rPr>
        <w:t>Pinzón (2009)</w:t>
      </w:r>
      <w:r w:rsidR="00085BF2" w:rsidRPr="00D62000">
        <w:rPr>
          <w:color w:val="0070C0"/>
          <w:lang w:val="es-CO"/>
        </w:rPr>
        <w:fldChar w:fldCharType="end"/>
      </w:r>
      <w:r w:rsidR="009070EB" w:rsidRPr="00073D09">
        <w:rPr>
          <w:lang w:val="es-CO"/>
        </w:rPr>
        <w:t xml:space="preserve"> como</w:t>
      </w:r>
      <w:r w:rsidR="008F3993" w:rsidRPr="00073D09">
        <w:rPr>
          <w:lang w:val="es-CO"/>
        </w:rPr>
        <w:t>:</w:t>
      </w:r>
      <w:r w:rsidR="00660D7E" w:rsidRPr="00073D09">
        <w:rPr>
          <w:lang w:val="es-CO"/>
        </w:rPr>
        <w:t xml:space="preserve"> </w:t>
      </w:r>
      <w:r w:rsidR="009070EB" w:rsidRPr="00073D09">
        <w:rPr>
          <w:lang w:val="es-CO"/>
        </w:rPr>
        <w:t>metano CH</w:t>
      </w:r>
      <w:r w:rsidR="009070EB" w:rsidRPr="00073D09">
        <w:rPr>
          <w:vertAlign w:val="subscript"/>
          <w:lang w:val="es-CO"/>
        </w:rPr>
        <w:t>4</w:t>
      </w:r>
      <w:r w:rsidR="009070EB" w:rsidRPr="00073D09">
        <w:rPr>
          <w:lang w:val="es-CO"/>
        </w:rPr>
        <w:t>, dióxido de carbono CO</w:t>
      </w:r>
      <w:r w:rsidR="009070EB" w:rsidRPr="00073D09">
        <w:rPr>
          <w:vertAlign w:val="subscript"/>
          <w:lang w:val="es-CO"/>
        </w:rPr>
        <w:t>2</w:t>
      </w:r>
      <w:r w:rsidR="009070EB" w:rsidRPr="00073D09">
        <w:rPr>
          <w:lang w:val="es-CO"/>
        </w:rPr>
        <w:t xml:space="preserve"> y compuestos orgánicos diferentes al metano NMOC, que están en la categoría de gases de efecto invernadero.</w:t>
      </w:r>
    </w:p>
    <w:p w14:paraId="0439697D" w14:textId="77777777" w:rsidR="008E34B5" w:rsidRDefault="008E34B5" w:rsidP="00D62000">
      <w:pPr>
        <w:spacing w:after="0"/>
        <w:jc w:val="both"/>
        <w:rPr>
          <w:lang w:val="es-CO"/>
        </w:rPr>
      </w:pPr>
    </w:p>
    <w:p w14:paraId="70BCC6B9" w14:textId="0CCF4C35" w:rsidR="00751DD7" w:rsidRPr="00073D09" w:rsidRDefault="00396174" w:rsidP="00D62000">
      <w:pPr>
        <w:spacing w:after="0"/>
        <w:jc w:val="both"/>
        <w:rPr>
          <w:lang w:val="es-CO"/>
        </w:rPr>
      </w:pPr>
      <w:r w:rsidRPr="00073D09">
        <w:rPr>
          <w:lang w:val="es-CO"/>
        </w:rPr>
        <w:t>En el caso de Bogotá</w:t>
      </w:r>
      <w:r w:rsidR="00751DD7" w:rsidRPr="00073D09">
        <w:rPr>
          <w:lang w:val="es-CO"/>
        </w:rPr>
        <w:t>-</w:t>
      </w:r>
      <w:r w:rsidRPr="00073D09">
        <w:rPr>
          <w:lang w:val="es-CO"/>
        </w:rPr>
        <w:t>Colombia, se tiene el relleno sanitario convencional de tipo zanja denominado Doña Juana</w:t>
      </w:r>
      <w:r w:rsidR="0016719A" w:rsidRPr="00073D09">
        <w:rPr>
          <w:lang w:val="es-CO"/>
        </w:rPr>
        <w:t xml:space="preserve"> donde</w:t>
      </w:r>
      <w:r w:rsidR="00534335">
        <w:rPr>
          <w:lang w:val="es-CO"/>
        </w:rPr>
        <w:t>,</w:t>
      </w:r>
      <w:r w:rsidR="00BA71F7" w:rsidRPr="00073D09">
        <w:rPr>
          <w:lang w:val="es-CO"/>
        </w:rPr>
        <w:t xml:space="preserve"> </w:t>
      </w:r>
      <w:r w:rsidR="0016719A" w:rsidRPr="00073D09">
        <w:rPr>
          <w:lang w:val="es-CO"/>
        </w:rPr>
        <w:t>s</w:t>
      </w:r>
      <w:r w:rsidR="005F6496" w:rsidRPr="00073D09">
        <w:rPr>
          <w:lang w:val="es-CO"/>
        </w:rPr>
        <w:t xml:space="preserve">egún el </w:t>
      </w:r>
      <w:r w:rsidR="00075722" w:rsidRPr="00D62000">
        <w:rPr>
          <w:color w:val="0070C0"/>
          <w:lang w:val="es-CO"/>
        </w:rPr>
        <w:fldChar w:fldCharType="begin" w:fldLock="1"/>
      </w:r>
      <w:r w:rsidR="00DC1253" w:rsidRPr="00D62000">
        <w:rPr>
          <w:color w:val="0070C0"/>
          <w:lang w:val="es-CO"/>
        </w:rPr>
        <w:instrText>ADDIN CSL_CITATION {"citationItems":[{"id":"ITEM-1","itemData":{"author":[{"dropping-particle":"","family":"Observatorio de salud ambiental","given":"","non-dropping-particle":"","parse-names":false,"suffix":""}],"id":"ITEM-1","issued":{"date-parts":[["2015"]]},"publisher-place":"Bogotá","title":"Relleno Sanitario Doña Juana, Observatorio de Salud Ambiental","type":"report"},"uris":["http://www.mendeley.com/documents/?uuid=3d25bdc7-2746-453e-a8ad-3751d96ddeed"]}],"mendeley":{"formattedCitation":"(Observatorio de salud ambiental, 2015)","manualFormatting":"Observatorio de salud ambiental (2015)","plainTextFormattedCitation":"(Observatorio de salud ambiental, 2015)","previouslyFormattedCitation":"(Observatorio de salud ambiental, 2015)"},"properties":{"noteIndex":0},"schema":"https://github.com/citation-style-language/schema/raw/master/csl-citation.json"}</w:instrText>
      </w:r>
      <w:r w:rsidR="00075722" w:rsidRPr="00D62000">
        <w:rPr>
          <w:color w:val="0070C0"/>
          <w:lang w:val="es-CO"/>
        </w:rPr>
        <w:fldChar w:fldCharType="separate"/>
      </w:r>
      <w:r w:rsidR="00075722" w:rsidRPr="00D62000">
        <w:rPr>
          <w:noProof/>
          <w:color w:val="0070C0"/>
          <w:lang w:val="es-CO"/>
        </w:rPr>
        <w:t xml:space="preserve">Observatorio de </w:t>
      </w:r>
      <w:r w:rsidR="00580BA4">
        <w:rPr>
          <w:noProof/>
          <w:color w:val="0070C0"/>
          <w:lang w:val="es-CO"/>
        </w:rPr>
        <w:t>S</w:t>
      </w:r>
      <w:r w:rsidR="00075722" w:rsidRPr="00D62000">
        <w:rPr>
          <w:noProof/>
          <w:color w:val="0070C0"/>
          <w:lang w:val="es-CO"/>
        </w:rPr>
        <w:t xml:space="preserve">alud </w:t>
      </w:r>
      <w:r w:rsidR="00580BA4">
        <w:rPr>
          <w:noProof/>
          <w:color w:val="0070C0"/>
          <w:lang w:val="es-CO"/>
        </w:rPr>
        <w:t>A</w:t>
      </w:r>
      <w:r w:rsidR="00075722" w:rsidRPr="00D62000">
        <w:rPr>
          <w:noProof/>
          <w:color w:val="0070C0"/>
          <w:lang w:val="es-CO"/>
        </w:rPr>
        <w:t>mbiental (2015)</w:t>
      </w:r>
      <w:r w:rsidR="00075722" w:rsidRPr="00D62000">
        <w:rPr>
          <w:color w:val="0070C0"/>
          <w:lang w:val="es-CO"/>
        </w:rPr>
        <w:fldChar w:fldCharType="end"/>
      </w:r>
      <w:r w:rsidR="005F6496" w:rsidRPr="00073D09">
        <w:rPr>
          <w:lang w:val="es-CO"/>
        </w:rPr>
        <w:t xml:space="preserve">, </w:t>
      </w:r>
      <w:r w:rsidRPr="00073D09">
        <w:rPr>
          <w:lang w:val="es-CO"/>
        </w:rPr>
        <w:t xml:space="preserve">se depositan residuos convencionales y hospitalarios provenientes </w:t>
      </w:r>
      <w:r w:rsidR="005F6496" w:rsidRPr="00073D09">
        <w:rPr>
          <w:lang w:val="es-CO"/>
        </w:rPr>
        <w:t>de</w:t>
      </w:r>
      <w:r w:rsidRPr="00073D09">
        <w:rPr>
          <w:lang w:val="es-CO"/>
        </w:rPr>
        <w:t xml:space="preserve"> </w:t>
      </w:r>
      <w:r w:rsidR="00750C12" w:rsidRPr="00073D09">
        <w:rPr>
          <w:lang w:val="es-CO"/>
        </w:rPr>
        <w:t>7 </w:t>
      </w:r>
      <w:r w:rsidR="005F6496" w:rsidRPr="00073D09">
        <w:rPr>
          <w:lang w:val="es-CO"/>
        </w:rPr>
        <w:t>400</w:t>
      </w:r>
      <w:r w:rsidR="00750C12" w:rsidRPr="00073D09">
        <w:rPr>
          <w:lang w:val="es-CO"/>
        </w:rPr>
        <w:t xml:space="preserve"> </w:t>
      </w:r>
      <w:r w:rsidR="005F6496" w:rsidRPr="00073D09">
        <w:rPr>
          <w:lang w:val="es-CO"/>
        </w:rPr>
        <w:t xml:space="preserve">000 personas </w:t>
      </w:r>
      <w:r w:rsidRPr="00073D09">
        <w:rPr>
          <w:lang w:val="es-CO"/>
        </w:rPr>
        <w:t>y</w:t>
      </w:r>
      <w:r w:rsidR="00732570">
        <w:rPr>
          <w:lang w:val="es-CO"/>
        </w:rPr>
        <w:t>,</w:t>
      </w:r>
      <w:r w:rsidR="001A1597" w:rsidRPr="00073D09">
        <w:rPr>
          <w:lang w:val="es-CO"/>
        </w:rPr>
        <w:t xml:space="preserve"> teniendo en cuenta</w:t>
      </w:r>
      <w:r w:rsidR="00DC1253" w:rsidRPr="00073D09">
        <w:rPr>
          <w:lang w:val="es-CO"/>
        </w:rPr>
        <w:t xml:space="preserve"> la</w:t>
      </w:r>
      <w:r w:rsidR="001A1597" w:rsidRPr="00073D09">
        <w:rPr>
          <w:lang w:val="es-CO"/>
        </w:rPr>
        <w:t xml:space="preserve"> </w:t>
      </w:r>
      <w:r w:rsidR="00DC1253" w:rsidRPr="00073D09">
        <w:rPr>
          <w:lang w:val="es-CO"/>
        </w:rPr>
        <w:fldChar w:fldCharType="begin" w:fldLock="1"/>
      </w:r>
      <w:r w:rsidR="00046C2B" w:rsidRPr="00073D09">
        <w:rPr>
          <w:lang w:val="es-CO"/>
        </w:rPr>
        <w:instrText>ADDIN CSL_CITATION {"citationItems":[{"id":"ITEM-1","itemData":{"author":[{"dropping-particle":"","family":"Resolución No. 1484.","given":"","non-dropping-particle":"","parse-names":false,"suffix":""}],"id":"ITEM-1","issued":{"date-parts":[["2018"]]},"publisher-place":"Bogotá DC","title":"Por el cual se asume la competencia del proyecto \"Relleno sanitario Doña Juana\" y se toman otras determinaciones","type":"report"},"uris":["http://www.mendeley.com/documents/?uuid=49f46f00-58ca-4606-9025-e453c9ad79f4"]}],"mendeley":{"formattedCitation":"(Resolución No. 1484., 2018)","manualFormatting":"Resolución No. 1484 (2018)","plainTextFormattedCitation":"(Resolución No. 1484., 2018)","previouslyFormattedCitation":"(Resolución No. 1484., 2018)"},"properties":{"noteIndex":0},"schema":"https://github.com/citation-style-language/schema/raw/master/csl-citation.json"}</w:instrText>
      </w:r>
      <w:r w:rsidR="00DC1253" w:rsidRPr="00073D09">
        <w:rPr>
          <w:lang w:val="es-CO"/>
        </w:rPr>
        <w:fldChar w:fldCharType="separate"/>
      </w:r>
      <w:r w:rsidR="00DC1253" w:rsidRPr="00073D09">
        <w:rPr>
          <w:noProof/>
          <w:lang w:val="es-CO"/>
        </w:rPr>
        <w:t>Resolución N</w:t>
      </w:r>
      <w:r w:rsidR="00732570">
        <w:rPr>
          <w:noProof/>
          <w:lang w:val="es-CO"/>
        </w:rPr>
        <w:t>.</w:t>
      </w:r>
      <w:r w:rsidR="00DC1253" w:rsidRPr="009A7AAF">
        <w:rPr>
          <w:noProof/>
          <w:vertAlign w:val="superscript"/>
          <w:lang w:val="es-CO"/>
        </w:rPr>
        <w:t>o</w:t>
      </w:r>
      <w:r w:rsidR="00732570">
        <w:rPr>
          <w:noProof/>
          <w:lang w:val="es-CO"/>
        </w:rPr>
        <w:t xml:space="preserve"> </w:t>
      </w:r>
      <w:r w:rsidR="00DC1253" w:rsidRPr="00073D09">
        <w:rPr>
          <w:noProof/>
          <w:lang w:val="es-CO"/>
        </w:rPr>
        <w:t>1484 (2018)</w:t>
      </w:r>
      <w:r w:rsidR="00DC1253" w:rsidRPr="00073D09">
        <w:rPr>
          <w:lang w:val="es-CO"/>
        </w:rPr>
        <w:fldChar w:fldCharType="end"/>
      </w:r>
      <w:r w:rsidRPr="00073D09">
        <w:rPr>
          <w:lang w:val="es-CO"/>
        </w:rPr>
        <w:t>, se disponen cerca de 6</w:t>
      </w:r>
      <w:r w:rsidR="00750C12" w:rsidRPr="00073D09">
        <w:rPr>
          <w:lang w:val="es-CO"/>
        </w:rPr>
        <w:t xml:space="preserve"> </w:t>
      </w:r>
      <w:r w:rsidRPr="00073D09">
        <w:rPr>
          <w:lang w:val="es-CO"/>
        </w:rPr>
        <w:t>200 ton de residuos al día lo cual representa el 25</w:t>
      </w:r>
      <w:r w:rsidR="00D62000">
        <w:rPr>
          <w:lang w:val="es-CO"/>
        </w:rPr>
        <w:t xml:space="preserve"> </w:t>
      </w:r>
      <w:r w:rsidRPr="00073D09">
        <w:rPr>
          <w:lang w:val="es-CO"/>
        </w:rPr>
        <w:t>% del total de residuos de</w:t>
      </w:r>
      <w:r w:rsidR="00751DD7" w:rsidRPr="00073D09">
        <w:rPr>
          <w:lang w:val="es-CO"/>
        </w:rPr>
        <w:t xml:space="preserve">l </w:t>
      </w:r>
      <w:r w:rsidR="001A1597" w:rsidRPr="00073D09">
        <w:rPr>
          <w:lang w:val="es-CO"/>
        </w:rPr>
        <w:t>p</w:t>
      </w:r>
      <w:r w:rsidR="00751DD7" w:rsidRPr="00073D09">
        <w:rPr>
          <w:lang w:val="es-CO"/>
        </w:rPr>
        <w:t>aís</w:t>
      </w:r>
      <w:r w:rsidRPr="00073D09">
        <w:rPr>
          <w:lang w:val="es-CO"/>
        </w:rPr>
        <w:t>. Debido a la gran cantidad de residuos que se destinan al rell</w:t>
      </w:r>
      <w:r w:rsidR="001A1597" w:rsidRPr="00073D09">
        <w:rPr>
          <w:lang w:val="es-CO"/>
        </w:rPr>
        <w:t>eno</w:t>
      </w:r>
      <w:r w:rsidR="00732570">
        <w:rPr>
          <w:lang w:val="es-CO"/>
        </w:rPr>
        <w:t>,</w:t>
      </w:r>
      <w:r w:rsidR="00862E8A" w:rsidRPr="00073D09">
        <w:rPr>
          <w:lang w:val="es-CO"/>
        </w:rPr>
        <w:t xml:space="preserve"> </w:t>
      </w:r>
      <w:r w:rsidR="001A1597" w:rsidRPr="00073D09">
        <w:rPr>
          <w:lang w:val="es-CO"/>
        </w:rPr>
        <w:t>se indica</w:t>
      </w:r>
      <w:r w:rsidR="00A33701">
        <w:rPr>
          <w:lang w:val="es-CO"/>
        </w:rPr>
        <w:t>,</w:t>
      </w:r>
      <w:r w:rsidR="001A1597" w:rsidRPr="00073D09">
        <w:rPr>
          <w:lang w:val="es-CO"/>
        </w:rPr>
        <w:t xml:space="preserve"> en la </w:t>
      </w:r>
      <w:r w:rsidR="00046C2B" w:rsidRPr="009C439F">
        <w:rPr>
          <w:color w:val="0070C0"/>
          <w:lang w:val="es-CO"/>
        </w:rPr>
        <w:fldChar w:fldCharType="begin" w:fldLock="1"/>
      </w:r>
      <w:r w:rsidR="00046C2B" w:rsidRPr="009C439F">
        <w:rPr>
          <w:color w:val="0070C0"/>
          <w:lang w:val="es-CO"/>
        </w:rPr>
        <w:instrText>ADDIN CSL_CITATION {"citationItems":[{"id":"ITEM-1","itemData":{"author":[{"dropping-particle":"","family":"Resolución Defensorial No. 61","given":"","non-dropping-particle":"","parse-names":false,"suffix":""}],"id":"ITEM-1","issued":{"date-parts":[["2010"]]},"publisher":"Bogotá","title":"Situación actual del aprovechamiento de los residuos sólidos y la disposición final en el Relleno Sanitario Doña Juana en la ciudad de Bogotá DC","type":"article"},"uris":["http://www.mendeley.com/documents/?uuid=1c90b7a4-b41d-4c6f-83dc-53b970f196c2"]}],"mendeley":{"formattedCitation":"(Resolución Defensorial No. 61, 2010)","manualFormatting":"Resolución defensorial No. 61 (2010)","plainTextFormattedCitation":"(Resolución Defensorial No. 61, 2010)","previouslyFormattedCitation":"(Resolución Defensorial No. 61, 2010)"},"properties":{"noteIndex":0},"schema":"https://github.com/citation-style-language/schema/raw/master/csl-citation.json"}</w:instrText>
      </w:r>
      <w:r w:rsidR="00046C2B" w:rsidRPr="009C439F">
        <w:rPr>
          <w:color w:val="0070C0"/>
          <w:lang w:val="es-CO"/>
        </w:rPr>
        <w:fldChar w:fldCharType="separate"/>
      </w:r>
      <w:r w:rsidR="00046C2B" w:rsidRPr="009C439F">
        <w:rPr>
          <w:noProof/>
          <w:color w:val="0070C0"/>
          <w:lang w:val="es-CO"/>
        </w:rPr>
        <w:t>Resolución defensorial N</w:t>
      </w:r>
      <w:r w:rsidR="00732570">
        <w:rPr>
          <w:noProof/>
          <w:color w:val="0070C0"/>
          <w:lang w:val="es-CO"/>
        </w:rPr>
        <w:t>.</w:t>
      </w:r>
      <w:r w:rsidR="00046C2B" w:rsidRPr="009A7AAF">
        <w:rPr>
          <w:noProof/>
          <w:color w:val="0070C0"/>
          <w:vertAlign w:val="superscript"/>
          <w:lang w:val="es-CO"/>
        </w:rPr>
        <w:t>o</w:t>
      </w:r>
      <w:r w:rsidR="00046C2B" w:rsidRPr="009C439F">
        <w:rPr>
          <w:noProof/>
          <w:color w:val="0070C0"/>
          <w:lang w:val="es-CO"/>
        </w:rPr>
        <w:t xml:space="preserve"> 61 (2010)</w:t>
      </w:r>
      <w:r w:rsidR="00046C2B" w:rsidRPr="009C439F">
        <w:rPr>
          <w:color w:val="0070C0"/>
          <w:lang w:val="es-CO"/>
        </w:rPr>
        <w:fldChar w:fldCharType="end"/>
      </w:r>
      <w:r w:rsidR="00A33701">
        <w:rPr>
          <w:color w:val="0070C0"/>
          <w:lang w:val="es-CO"/>
        </w:rPr>
        <w:t>,</w:t>
      </w:r>
      <w:r w:rsidR="00862E8A" w:rsidRPr="00073D09">
        <w:rPr>
          <w:lang w:val="es-CO"/>
        </w:rPr>
        <w:t xml:space="preserve"> que </w:t>
      </w:r>
      <w:r w:rsidRPr="00073D09">
        <w:rPr>
          <w:lang w:val="es-CO"/>
        </w:rPr>
        <w:t>se ha tenido la necesidad de ampliar el área de recolección</w:t>
      </w:r>
      <w:r w:rsidR="00862E8A" w:rsidRPr="00073D09">
        <w:rPr>
          <w:lang w:val="es-CO"/>
        </w:rPr>
        <w:t>,</w:t>
      </w:r>
      <w:r w:rsidRPr="00073D09">
        <w:rPr>
          <w:lang w:val="es-CO"/>
        </w:rPr>
        <w:t xml:space="preserve"> lo cual afecta a la población aledaña</w:t>
      </w:r>
      <w:r w:rsidR="00862E8A" w:rsidRPr="00073D09">
        <w:rPr>
          <w:lang w:val="es-CO"/>
        </w:rPr>
        <w:t xml:space="preserve"> y evidencia</w:t>
      </w:r>
      <w:r w:rsidRPr="00073D09">
        <w:rPr>
          <w:lang w:val="es-CO"/>
        </w:rPr>
        <w:t xml:space="preserve"> la gran cantidad de residuos sólidos transportados </w:t>
      </w:r>
      <w:r w:rsidR="00C859A9" w:rsidRPr="00073D09">
        <w:rPr>
          <w:lang w:val="es-CO"/>
        </w:rPr>
        <w:t xml:space="preserve">en la ciudad </w:t>
      </w:r>
      <w:r w:rsidRPr="00073D09">
        <w:rPr>
          <w:lang w:val="es-CO"/>
        </w:rPr>
        <w:t>y acumula</w:t>
      </w:r>
      <w:r w:rsidR="0016656F" w:rsidRPr="00073D09">
        <w:rPr>
          <w:lang w:val="es-CO"/>
        </w:rPr>
        <w:t>dos</w:t>
      </w:r>
      <w:r w:rsidR="00C859A9">
        <w:rPr>
          <w:lang w:val="es-CO"/>
        </w:rPr>
        <w:t xml:space="preserve"> ahí</w:t>
      </w:r>
      <w:r w:rsidR="0016656F" w:rsidRPr="00073D09">
        <w:rPr>
          <w:lang w:val="es-CO"/>
        </w:rPr>
        <w:t>.</w:t>
      </w:r>
      <w:r w:rsidR="00402F3E" w:rsidRPr="00073D09">
        <w:rPr>
          <w:lang w:val="es-CO"/>
        </w:rPr>
        <w:t xml:space="preserve"> </w:t>
      </w:r>
      <w:r w:rsidR="0016719A" w:rsidRPr="00073D09">
        <w:rPr>
          <w:lang w:val="es-CO"/>
        </w:rPr>
        <w:t>L</w:t>
      </w:r>
      <w:r w:rsidRPr="00073D09">
        <w:rPr>
          <w:lang w:val="es-CO"/>
        </w:rPr>
        <w:t xml:space="preserve">a carga orgánica que presentan los residuos sólidos que ingresan al relleno sanitario Doña Juana </w:t>
      </w:r>
      <w:r w:rsidR="00402F3E" w:rsidRPr="00073D09">
        <w:rPr>
          <w:lang w:val="es-CO"/>
        </w:rPr>
        <w:t>es elevada</w:t>
      </w:r>
      <w:r w:rsidRPr="00073D09">
        <w:rPr>
          <w:lang w:val="es-CO"/>
        </w:rPr>
        <w:t xml:space="preserve"> respecto a otros componentes, como se observa </w:t>
      </w:r>
      <w:r w:rsidR="00B60AFC" w:rsidRPr="00073D09">
        <w:rPr>
          <w:lang w:val="es-CO"/>
        </w:rPr>
        <w:t xml:space="preserve">en el </w:t>
      </w:r>
      <w:r w:rsidR="00B60AFC" w:rsidRPr="00073D09">
        <w:rPr>
          <w:b/>
          <w:lang w:val="es-CO"/>
        </w:rPr>
        <w:t>Cuadro 1</w:t>
      </w:r>
      <w:r w:rsidRPr="00073D09">
        <w:rPr>
          <w:lang w:val="es-CO"/>
        </w:rPr>
        <w:t xml:space="preserve">. </w:t>
      </w:r>
    </w:p>
    <w:p w14:paraId="59FDC2AB" w14:textId="77777777" w:rsidR="004C7648" w:rsidRPr="00073D09" w:rsidRDefault="004C7648" w:rsidP="00D62000">
      <w:pPr>
        <w:spacing w:after="0"/>
        <w:jc w:val="both"/>
        <w:rPr>
          <w:lang w:val="es-CO"/>
        </w:rPr>
      </w:pPr>
    </w:p>
    <w:p w14:paraId="22C8800B" w14:textId="1089015C" w:rsidR="005C2078" w:rsidRPr="00073D09" w:rsidRDefault="00B524B9" w:rsidP="00D62000">
      <w:pPr>
        <w:spacing w:after="0"/>
        <w:jc w:val="both"/>
        <w:rPr>
          <w:lang w:val="es-CO"/>
        </w:rPr>
      </w:pPr>
      <w:bookmarkStart w:id="7" w:name="_Hlk43045014"/>
      <w:r w:rsidRPr="00073D09">
        <w:rPr>
          <w:b/>
          <w:lang w:val="es-CO"/>
        </w:rPr>
        <w:t>Cuadro</w:t>
      </w:r>
      <w:r w:rsidR="00396174" w:rsidRPr="00073D09">
        <w:rPr>
          <w:b/>
          <w:lang w:val="es-CO"/>
        </w:rPr>
        <w:t xml:space="preserve"> 1</w:t>
      </w:r>
      <w:bookmarkEnd w:id="7"/>
      <w:r w:rsidR="00396174" w:rsidRPr="00073D09">
        <w:rPr>
          <w:i/>
          <w:lang w:val="es-CO"/>
        </w:rPr>
        <w:t>.</w:t>
      </w:r>
      <w:r w:rsidR="00396174" w:rsidRPr="00073D09">
        <w:rPr>
          <w:lang w:val="es-CO"/>
        </w:rPr>
        <w:t xml:space="preserve"> Caracterización de los residuos sólidos que ingresan al relleno sanitario Doña Juana</w:t>
      </w:r>
      <w:r w:rsidR="007F7367">
        <w:rPr>
          <w:lang w:val="es-CO"/>
        </w:rPr>
        <w:t>.</w:t>
      </w:r>
    </w:p>
    <w:p w14:paraId="79A760F1" w14:textId="7305E8E1" w:rsidR="00B60AFC" w:rsidRDefault="005C2078" w:rsidP="00D62000">
      <w:pPr>
        <w:spacing w:after="0"/>
        <w:jc w:val="both"/>
        <w:rPr>
          <w:iCs/>
          <w:lang w:val="en-US"/>
        </w:rPr>
      </w:pPr>
      <w:r w:rsidRPr="0068763D">
        <w:rPr>
          <w:b/>
          <w:iCs/>
          <w:lang w:val="en-US"/>
        </w:rPr>
        <w:t xml:space="preserve">Table 1. </w:t>
      </w:r>
      <w:r w:rsidR="00396174" w:rsidRPr="0068763D">
        <w:rPr>
          <w:iCs/>
          <w:lang w:val="en-US"/>
        </w:rPr>
        <w:t xml:space="preserve"> </w:t>
      </w:r>
      <w:r w:rsidRPr="0068763D">
        <w:rPr>
          <w:iCs/>
          <w:lang w:val="en-US"/>
        </w:rPr>
        <w:t>Characterization of solid waste entering the landfill Doña Juana</w:t>
      </w:r>
      <w:r w:rsidR="007F7367">
        <w:rPr>
          <w:iCs/>
          <w:lang w:val="en-US"/>
        </w:rPr>
        <w:t>.</w:t>
      </w:r>
    </w:p>
    <w:p w14:paraId="44DA51FD" w14:textId="77777777" w:rsidR="00D62000" w:rsidRPr="00073D09" w:rsidRDefault="00D62000" w:rsidP="00D62000">
      <w:pPr>
        <w:spacing w:after="0"/>
        <w:jc w:val="both"/>
        <w:rPr>
          <w:i/>
          <w:lang w:val="en-US"/>
        </w:rPr>
      </w:pPr>
    </w:p>
    <w:tbl>
      <w:tblPr>
        <w:tblW w:w="4241" w:type="dxa"/>
        <w:jc w:val="center"/>
        <w:tblBorders>
          <w:top w:val="single" w:sz="8" w:space="0" w:color="7F7F7F"/>
          <w:bottom w:val="single" w:sz="8" w:space="0" w:color="7F7F7F"/>
        </w:tblBorders>
        <w:tblCellMar>
          <w:left w:w="70" w:type="dxa"/>
          <w:right w:w="70" w:type="dxa"/>
        </w:tblCellMar>
        <w:tblLook w:val="04A0" w:firstRow="1" w:lastRow="0" w:firstColumn="1" w:lastColumn="0" w:noHBand="0" w:noVBand="1"/>
      </w:tblPr>
      <w:tblGrid>
        <w:gridCol w:w="2160"/>
        <w:gridCol w:w="1167"/>
        <w:gridCol w:w="914"/>
      </w:tblGrid>
      <w:tr w:rsidR="005B3C12" w:rsidRPr="000E2B39" w14:paraId="0F8A0A86" w14:textId="77777777" w:rsidTr="00C910A4">
        <w:trPr>
          <w:trHeight w:val="505"/>
          <w:jc w:val="center"/>
        </w:trPr>
        <w:tc>
          <w:tcPr>
            <w:tcW w:w="4241" w:type="dxa"/>
            <w:gridSpan w:val="3"/>
            <w:tcBorders>
              <w:top w:val="single" w:sz="8" w:space="0" w:color="7F7F7F"/>
              <w:bottom w:val="single" w:sz="8" w:space="0" w:color="7F7F7F"/>
            </w:tcBorders>
            <w:shd w:val="clear" w:color="auto" w:fill="auto"/>
            <w:vAlign w:val="center"/>
            <w:hideMark/>
          </w:tcPr>
          <w:p w14:paraId="0F0D628A" w14:textId="4B0DB608" w:rsidR="005B3C12" w:rsidRPr="000E2B39" w:rsidRDefault="005B3C12" w:rsidP="00D62000">
            <w:pPr>
              <w:spacing w:after="0"/>
              <w:rPr>
                <w:rFonts w:eastAsia="Times New Roman"/>
                <w:b/>
                <w:bCs/>
                <w:color w:val="000000"/>
                <w:sz w:val="22"/>
                <w:szCs w:val="22"/>
                <w:lang w:val="es-CO" w:eastAsia="es-CO"/>
              </w:rPr>
            </w:pPr>
            <w:r w:rsidRPr="000E2B39">
              <w:rPr>
                <w:rFonts w:eastAsia="Times New Roman"/>
                <w:b/>
                <w:bCs/>
                <w:color w:val="000000"/>
                <w:sz w:val="22"/>
                <w:szCs w:val="22"/>
                <w:lang w:val="es-CO" w:eastAsia="es-CO"/>
              </w:rPr>
              <w:t xml:space="preserve">Composición </w:t>
            </w:r>
            <w:r w:rsidR="00E92B96">
              <w:rPr>
                <w:rFonts w:eastAsia="Times New Roman"/>
                <w:b/>
                <w:bCs/>
                <w:color w:val="000000"/>
                <w:sz w:val="22"/>
                <w:szCs w:val="22"/>
                <w:lang w:val="es-CO" w:eastAsia="es-CO"/>
              </w:rPr>
              <w:t>f</w:t>
            </w:r>
            <w:r w:rsidRPr="000E2B39">
              <w:rPr>
                <w:rFonts w:eastAsia="Times New Roman"/>
                <w:b/>
                <w:bCs/>
                <w:color w:val="000000"/>
                <w:sz w:val="22"/>
                <w:szCs w:val="22"/>
                <w:lang w:val="es-CO" w:eastAsia="es-CO"/>
              </w:rPr>
              <w:t xml:space="preserve">ísica </w:t>
            </w:r>
            <w:r w:rsidR="00E92B96">
              <w:rPr>
                <w:rFonts w:eastAsia="Times New Roman"/>
                <w:b/>
                <w:bCs/>
                <w:color w:val="000000"/>
                <w:sz w:val="22"/>
                <w:szCs w:val="22"/>
                <w:lang w:val="es-CO" w:eastAsia="es-CO"/>
              </w:rPr>
              <w:t>p</w:t>
            </w:r>
            <w:r w:rsidRPr="000E2B39">
              <w:rPr>
                <w:rFonts w:eastAsia="Times New Roman"/>
                <w:b/>
                <w:bCs/>
                <w:color w:val="000000"/>
                <w:sz w:val="22"/>
                <w:szCs w:val="22"/>
                <w:lang w:val="es-CO" w:eastAsia="es-CO"/>
              </w:rPr>
              <w:t>orcentual (Residuos)</w:t>
            </w:r>
          </w:p>
        </w:tc>
      </w:tr>
      <w:tr w:rsidR="005B3C12" w:rsidRPr="000E2B39" w14:paraId="32575E00" w14:textId="77777777" w:rsidTr="007F7367">
        <w:trPr>
          <w:gridAfter w:val="1"/>
          <w:wAfter w:w="914" w:type="dxa"/>
          <w:trHeight w:val="330"/>
          <w:jc w:val="center"/>
        </w:trPr>
        <w:tc>
          <w:tcPr>
            <w:tcW w:w="2160" w:type="dxa"/>
            <w:tcBorders>
              <w:top w:val="single" w:sz="8" w:space="0" w:color="7F7F7F"/>
            </w:tcBorders>
            <w:shd w:val="clear" w:color="auto" w:fill="auto"/>
            <w:noWrap/>
            <w:vAlign w:val="center"/>
            <w:hideMark/>
          </w:tcPr>
          <w:p w14:paraId="3DC2679C" w14:textId="77777777" w:rsidR="005B3C12" w:rsidRPr="000E2B39" w:rsidRDefault="005B3C12" w:rsidP="007F7367">
            <w:pPr>
              <w:spacing w:after="0"/>
              <w:rPr>
                <w:rFonts w:eastAsia="Times New Roman"/>
                <w:b/>
                <w:color w:val="000000"/>
                <w:sz w:val="22"/>
                <w:szCs w:val="22"/>
                <w:lang w:val="es-CO" w:eastAsia="es-CO"/>
              </w:rPr>
            </w:pPr>
            <w:r w:rsidRPr="000E2B39">
              <w:rPr>
                <w:rFonts w:eastAsia="Times New Roman"/>
                <w:b/>
                <w:color w:val="000000"/>
                <w:sz w:val="22"/>
                <w:szCs w:val="22"/>
                <w:lang w:val="es-CO" w:eastAsia="es-CO"/>
              </w:rPr>
              <w:lastRenderedPageBreak/>
              <w:t xml:space="preserve">Elementos </w:t>
            </w:r>
          </w:p>
        </w:tc>
        <w:tc>
          <w:tcPr>
            <w:tcW w:w="1167" w:type="dxa"/>
            <w:tcBorders>
              <w:top w:val="single" w:sz="8" w:space="0" w:color="7F7F7F"/>
            </w:tcBorders>
            <w:shd w:val="clear" w:color="auto" w:fill="auto"/>
            <w:noWrap/>
            <w:vAlign w:val="center"/>
            <w:hideMark/>
          </w:tcPr>
          <w:p w14:paraId="660D9699" w14:textId="77777777" w:rsidR="005B3C12" w:rsidRPr="000E2B39" w:rsidRDefault="005B3C12" w:rsidP="00D62000">
            <w:pPr>
              <w:spacing w:after="0"/>
              <w:jc w:val="center"/>
              <w:rPr>
                <w:rFonts w:eastAsia="Times New Roman"/>
                <w:b/>
                <w:bCs/>
                <w:color w:val="000000"/>
                <w:sz w:val="22"/>
                <w:szCs w:val="22"/>
                <w:lang w:val="es-CO" w:eastAsia="es-CO"/>
              </w:rPr>
            </w:pPr>
            <w:r w:rsidRPr="000E2B39">
              <w:rPr>
                <w:rFonts w:eastAsia="Times New Roman"/>
                <w:b/>
                <w:bCs/>
                <w:color w:val="000000"/>
                <w:sz w:val="22"/>
                <w:szCs w:val="22"/>
                <w:lang w:val="es-CO" w:eastAsia="es-CO"/>
              </w:rPr>
              <w:t>Resultado (%)</w:t>
            </w:r>
          </w:p>
        </w:tc>
      </w:tr>
      <w:tr w:rsidR="005B3C12" w:rsidRPr="000E2B39" w14:paraId="01E8B939" w14:textId="77777777" w:rsidTr="007F7367">
        <w:trPr>
          <w:gridAfter w:val="1"/>
          <w:wAfter w:w="914" w:type="dxa"/>
          <w:trHeight w:val="330"/>
          <w:jc w:val="center"/>
        </w:trPr>
        <w:tc>
          <w:tcPr>
            <w:tcW w:w="2160" w:type="dxa"/>
            <w:shd w:val="clear" w:color="auto" w:fill="auto"/>
            <w:noWrap/>
            <w:vAlign w:val="center"/>
            <w:hideMark/>
          </w:tcPr>
          <w:p w14:paraId="5CBDE77C"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Cartón</w:t>
            </w:r>
          </w:p>
        </w:tc>
        <w:tc>
          <w:tcPr>
            <w:tcW w:w="1167" w:type="dxa"/>
            <w:shd w:val="clear" w:color="auto" w:fill="auto"/>
            <w:noWrap/>
            <w:vAlign w:val="center"/>
            <w:hideMark/>
          </w:tcPr>
          <w:p w14:paraId="7C6676CE"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5.8</w:t>
            </w:r>
          </w:p>
        </w:tc>
      </w:tr>
      <w:tr w:rsidR="005B3C12" w:rsidRPr="000E2B39" w14:paraId="5272D975" w14:textId="77777777" w:rsidTr="007F7367">
        <w:trPr>
          <w:gridAfter w:val="1"/>
          <w:wAfter w:w="914" w:type="dxa"/>
          <w:trHeight w:val="330"/>
          <w:jc w:val="center"/>
        </w:trPr>
        <w:tc>
          <w:tcPr>
            <w:tcW w:w="2160" w:type="dxa"/>
            <w:shd w:val="clear" w:color="auto" w:fill="auto"/>
            <w:noWrap/>
            <w:vAlign w:val="center"/>
            <w:hideMark/>
          </w:tcPr>
          <w:p w14:paraId="581660E6"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Caucho</w:t>
            </w:r>
          </w:p>
        </w:tc>
        <w:tc>
          <w:tcPr>
            <w:tcW w:w="1167" w:type="dxa"/>
            <w:shd w:val="clear" w:color="auto" w:fill="auto"/>
            <w:noWrap/>
            <w:vAlign w:val="center"/>
            <w:hideMark/>
          </w:tcPr>
          <w:p w14:paraId="6D90434D"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0.8</w:t>
            </w:r>
          </w:p>
        </w:tc>
      </w:tr>
      <w:tr w:rsidR="005B3C12" w:rsidRPr="000E2B39" w14:paraId="630745CE" w14:textId="77777777" w:rsidTr="007F7367">
        <w:trPr>
          <w:gridAfter w:val="1"/>
          <w:wAfter w:w="914" w:type="dxa"/>
          <w:trHeight w:val="330"/>
          <w:jc w:val="center"/>
        </w:trPr>
        <w:tc>
          <w:tcPr>
            <w:tcW w:w="2160" w:type="dxa"/>
            <w:shd w:val="clear" w:color="auto" w:fill="auto"/>
            <w:noWrap/>
            <w:vAlign w:val="center"/>
            <w:hideMark/>
          </w:tcPr>
          <w:p w14:paraId="7220986D"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Cerámica</w:t>
            </w:r>
          </w:p>
        </w:tc>
        <w:tc>
          <w:tcPr>
            <w:tcW w:w="1167" w:type="dxa"/>
            <w:shd w:val="clear" w:color="auto" w:fill="auto"/>
            <w:noWrap/>
            <w:vAlign w:val="center"/>
            <w:hideMark/>
          </w:tcPr>
          <w:p w14:paraId="67848C4D"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1.8</w:t>
            </w:r>
          </w:p>
        </w:tc>
      </w:tr>
      <w:tr w:rsidR="005B3C12" w:rsidRPr="000E2B39" w14:paraId="18ED4FEB" w14:textId="77777777" w:rsidTr="007F7367">
        <w:trPr>
          <w:gridAfter w:val="1"/>
          <w:wAfter w:w="914" w:type="dxa"/>
          <w:trHeight w:val="330"/>
          <w:jc w:val="center"/>
        </w:trPr>
        <w:tc>
          <w:tcPr>
            <w:tcW w:w="2160" w:type="dxa"/>
            <w:shd w:val="clear" w:color="auto" w:fill="auto"/>
            <w:noWrap/>
            <w:vAlign w:val="center"/>
            <w:hideMark/>
          </w:tcPr>
          <w:p w14:paraId="582F6507"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Hueso</w:t>
            </w:r>
          </w:p>
        </w:tc>
        <w:tc>
          <w:tcPr>
            <w:tcW w:w="1167" w:type="dxa"/>
            <w:shd w:val="clear" w:color="auto" w:fill="auto"/>
            <w:noWrap/>
            <w:vAlign w:val="center"/>
            <w:hideMark/>
          </w:tcPr>
          <w:p w14:paraId="2D43B115"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1.4</w:t>
            </w:r>
          </w:p>
        </w:tc>
      </w:tr>
      <w:tr w:rsidR="005B3C12" w:rsidRPr="000E2B39" w14:paraId="613666F0" w14:textId="77777777" w:rsidTr="007F7367">
        <w:trPr>
          <w:gridAfter w:val="1"/>
          <w:wAfter w:w="914" w:type="dxa"/>
          <w:trHeight w:val="330"/>
          <w:jc w:val="center"/>
        </w:trPr>
        <w:tc>
          <w:tcPr>
            <w:tcW w:w="2160" w:type="dxa"/>
            <w:shd w:val="clear" w:color="auto" w:fill="auto"/>
            <w:noWrap/>
            <w:vAlign w:val="center"/>
            <w:hideMark/>
          </w:tcPr>
          <w:p w14:paraId="2FBAB7A4"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Madera</w:t>
            </w:r>
          </w:p>
        </w:tc>
        <w:tc>
          <w:tcPr>
            <w:tcW w:w="1167" w:type="dxa"/>
            <w:shd w:val="clear" w:color="auto" w:fill="auto"/>
            <w:noWrap/>
            <w:vAlign w:val="center"/>
            <w:hideMark/>
          </w:tcPr>
          <w:p w14:paraId="2923E5DF"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7.2</w:t>
            </w:r>
          </w:p>
        </w:tc>
      </w:tr>
      <w:tr w:rsidR="005B3C12" w:rsidRPr="000E2B39" w14:paraId="12AB80A9" w14:textId="77777777" w:rsidTr="007F7367">
        <w:trPr>
          <w:gridAfter w:val="1"/>
          <w:wAfter w:w="914" w:type="dxa"/>
          <w:trHeight w:val="330"/>
          <w:jc w:val="center"/>
        </w:trPr>
        <w:tc>
          <w:tcPr>
            <w:tcW w:w="2160" w:type="dxa"/>
            <w:shd w:val="clear" w:color="auto" w:fill="auto"/>
            <w:noWrap/>
            <w:vAlign w:val="center"/>
            <w:hideMark/>
          </w:tcPr>
          <w:p w14:paraId="7F17F799" w14:textId="4909249C"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 xml:space="preserve">Materia </w:t>
            </w:r>
            <w:r w:rsidR="007F7367">
              <w:rPr>
                <w:rFonts w:eastAsia="Times New Roman"/>
                <w:bCs/>
                <w:color w:val="000000"/>
                <w:sz w:val="22"/>
                <w:szCs w:val="22"/>
                <w:lang w:val="es-CO" w:eastAsia="es-CO"/>
              </w:rPr>
              <w:t>o</w:t>
            </w:r>
            <w:r w:rsidRPr="000E2B39">
              <w:rPr>
                <w:rFonts w:eastAsia="Times New Roman"/>
                <w:bCs/>
                <w:color w:val="000000"/>
                <w:sz w:val="22"/>
                <w:szCs w:val="22"/>
                <w:lang w:val="es-CO" w:eastAsia="es-CO"/>
              </w:rPr>
              <w:t>rgánica</w:t>
            </w:r>
          </w:p>
        </w:tc>
        <w:tc>
          <w:tcPr>
            <w:tcW w:w="1167" w:type="dxa"/>
            <w:shd w:val="clear" w:color="auto" w:fill="auto"/>
            <w:noWrap/>
            <w:vAlign w:val="center"/>
            <w:hideMark/>
          </w:tcPr>
          <w:p w14:paraId="5582B6CC"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49.3</w:t>
            </w:r>
          </w:p>
        </w:tc>
      </w:tr>
      <w:tr w:rsidR="005B3C12" w:rsidRPr="000E2B39" w14:paraId="359EEC34" w14:textId="77777777" w:rsidTr="007F7367">
        <w:trPr>
          <w:gridAfter w:val="1"/>
          <w:wAfter w:w="914" w:type="dxa"/>
          <w:trHeight w:val="330"/>
          <w:jc w:val="center"/>
        </w:trPr>
        <w:tc>
          <w:tcPr>
            <w:tcW w:w="2160" w:type="dxa"/>
            <w:shd w:val="clear" w:color="auto" w:fill="auto"/>
            <w:noWrap/>
            <w:vAlign w:val="center"/>
            <w:hideMark/>
          </w:tcPr>
          <w:p w14:paraId="587390FC"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Metales</w:t>
            </w:r>
          </w:p>
        </w:tc>
        <w:tc>
          <w:tcPr>
            <w:tcW w:w="1167" w:type="dxa"/>
            <w:shd w:val="clear" w:color="auto" w:fill="auto"/>
            <w:noWrap/>
            <w:vAlign w:val="center"/>
            <w:hideMark/>
          </w:tcPr>
          <w:p w14:paraId="648DF939"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3.5</w:t>
            </w:r>
          </w:p>
        </w:tc>
      </w:tr>
      <w:tr w:rsidR="005B3C12" w:rsidRPr="000E2B39" w14:paraId="4602ED61" w14:textId="77777777" w:rsidTr="007F7367">
        <w:trPr>
          <w:gridAfter w:val="1"/>
          <w:wAfter w:w="914" w:type="dxa"/>
          <w:trHeight w:val="330"/>
          <w:jc w:val="center"/>
        </w:trPr>
        <w:tc>
          <w:tcPr>
            <w:tcW w:w="2160" w:type="dxa"/>
            <w:shd w:val="clear" w:color="auto" w:fill="auto"/>
            <w:noWrap/>
            <w:vAlign w:val="center"/>
            <w:hideMark/>
          </w:tcPr>
          <w:p w14:paraId="5A7CB8E0"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Papel</w:t>
            </w:r>
          </w:p>
        </w:tc>
        <w:tc>
          <w:tcPr>
            <w:tcW w:w="1167" w:type="dxa"/>
            <w:shd w:val="clear" w:color="auto" w:fill="auto"/>
            <w:noWrap/>
            <w:vAlign w:val="center"/>
            <w:hideMark/>
          </w:tcPr>
          <w:p w14:paraId="7DCD3F50"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5.2</w:t>
            </w:r>
          </w:p>
        </w:tc>
      </w:tr>
      <w:tr w:rsidR="005B3C12" w:rsidRPr="000E2B39" w14:paraId="19346459" w14:textId="77777777" w:rsidTr="007F7367">
        <w:trPr>
          <w:gridAfter w:val="1"/>
          <w:wAfter w:w="914" w:type="dxa"/>
          <w:trHeight w:val="330"/>
          <w:jc w:val="center"/>
        </w:trPr>
        <w:tc>
          <w:tcPr>
            <w:tcW w:w="2160" w:type="dxa"/>
            <w:shd w:val="clear" w:color="auto" w:fill="auto"/>
            <w:noWrap/>
            <w:vAlign w:val="center"/>
            <w:hideMark/>
          </w:tcPr>
          <w:p w14:paraId="79596BE4"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Plástico</w:t>
            </w:r>
          </w:p>
        </w:tc>
        <w:tc>
          <w:tcPr>
            <w:tcW w:w="1167" w:type="dxa"/>
            <w:shd w:val="clear" w:color="auto" w:fill="auto"/>
            <w:noWrap/>
            <w:vAlign w:val="center"/>
            <w:hideMark/>
          </w:tcPr>
          <w:p w14:paraId="768CF8DE"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12.4</w:t>
            </w:r>
          </w:p>
        </w:tc>
      </w:tr>
      <w:tr w:rsidR="005B3C12" w:rsidRPr="000E2B39" w14:paraId="34811A07" w14:textId="77777777" w:rsidTr="007F7367">
        <w:trPr>
          <w:gridAfter w:val="1"/>
          <w:wAfter w:w="914" w:type="dxa"/>
          <w:trHeight w:val="330"/>
          <w:jc w:val="center"/>
        </w:trPr>
        <w:tc>
          <w:tcPr>
            <w:tcW w:w="2160" w:type="dxa"/>
            <w:shd w:val="clear" w:color="auto" w:fill="auto"/>
            <w:noWrap/>
            <w:vAlign w:val="center"/>
            <w:hideMark/>
          </w:tcPr>
          <w:p w14:paraId="09FA5C03"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Textil</w:t>
            </w:r>
          </w:p>
        </w:tc>
        <w:tc>
          <w:tcPr>
            <w:tcW w:w="1167" w:type="dxa"/>
            <w:shd w:val="clear" w:color="auto" w:fill="auto"/>
            <w:noWrap/>
            <w:vAlign w:val="center"/>
            <w:hideMark/>
          </w:tcPr>
          <w:p w14:paraId="64A8A2F9"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6.2</w:t>
            </w:r>
          </w:p>
        </w:tc>
      </w:tr>
      <w:tr w:rsidR="005B3C12" w:rsidRPr="000E2B39" w14:paraId="7F248BE2" w14:textId="77777777" w:rsidTr="007F7367">
        <w:trPr>
          <w:gridAfter w:val="1"/>
          <w:wAfter w:w="914" w:type="dxa"/>
          <w:trHeight w:val="330"/>
          <w:jc w:val="center"/>
        </w:trPr>
        <w:tc>
          <w:tcPr>
            <w:tcW w:w="2160" w:type="dxa"/>
            <w:shd w:val="clear" w:color="auto" w:fill="auto"/>
            <w:noWrap/>
            <w:vAlign w:val="center"/>
            <w:hideMark/>
          </w:tcPr>
          <w:p w14:paraId="57D043C7"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Vidrio</w:t>
            </w:r>
          </w:p>
        </w:tc>
        <w:tc>
          <w:tcPr>
            <w:tcW w:w="1167" w:type="dxa"/>
            <w:shd w:val="clear" w:color="auto" w:fill="auto"/>
            <w:noWrap/>
            <w:vAlign w:val="center"/>
            <w:hideMark/>
          </w:tcPr>
          <w:p w14:paraId="6BC4FCD6"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5</w:t>
            </w:r>
          </w:p>
        </w:tc>
      </w:tr>
      <w:tr w:rsidR="005B3C12" w:rsidRPr="000E2B39" w14:paraId="3577941D" w14:textId="77777777" w:rsidTr="007F7367">
        <w:trPr>
          <w:gridAfter w:val="1"/>
          <w:wAfter w:w="914" w:type="dxa"/>
          <w:trHeight w:val="330"/>
          <w:jc w:val="center"/>
        </w:trPr>
        <w:tc>
          <w:tcPr>
            <w:tcW w:w="2160" w:type="dxa"/>
            <w:shd w:val="clear" w:color="auto" w:fill="auto"/>
            <w:noWrap/>
            <w:vAlign w:val="center"/>
            <w:hideMark/>
          </w:tcPr>
          <w:p w14:paraId="38175DE7" w14:textId="4A6D775C"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 xml:space="preserve">Otros </w:t>
            </w:r>
            <w:r w:rsidR="007F7367">
              <w:rPr>
                <w:rFonts w:eastAsia="Times New Roman"/>
                <w:bCs/>
                <w:color w:val="000000"/>
                <w:sz w:val="22"/>
                <w:szCs w:val="22"/>
                <w:lang w:val="es-CO" w:eastAsia="es-CO"/>
              </w:rPr>
              <w:t>r</w:t>
            </w:r>
            <w:r w:rsidRPr="000E2B39">
              <w:rPr>
                <w:rFonts w:eastAsia="Times New Roman"/>
                <w:bCs/>
                <w:color w:val="000000"/>
                <w:sz w:val="22"/>
                <w:szCs w:val="22"/>
                <w:lang w:val="es-CO" w:eastAsia="es-CO"/>
              </w:rPr>
              <w:t>esiduos</w:t>
            </w:r>
          </w:p>
        </w:tc>
        <w:tc>
          <w:tcPr>
            <w:tcW w:w="1167" w:type="dxa"/>
            <w:shd w:val="clear" w:color="auto" w:fill="auto"/>
            <w:noWrap/>
            <w:vAlign w:val="center"/>
            <w:hideMark/>
          </w:tcPr>
          <w:p w14:paraId="737A4A0C"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1.4</w:t>
            </w:r>
          </w:p>
        </w:tc>
      </w:tr>
      <w:tr w:rsidR="005B3C12" w:rsidRPr="000E2B39" w14:paraId="52E6609E" w14:textId="77777777" w:rsidTr="007F7367">
        <w:trPr>
          <w:gridAfter w:val="1"/>
          <w:wAfter w:w="914" w:type="dxa"/>
          <w:trHeight w:val="330"/>
          <w:jc w:val="center"/>
        </w:trPr>
        <w:tc>
          <w:tcPr>
            <w:tcW w:w="2160" w:type="dxa"/>
            <w:shd w:val="clear" w:color="auto" w:fill="auto"/>
            <w:noWrap/>
            <w:vAlign w:val="center"/>
            <w:hideMark/>
          </w:tcPr>
          <w:p w14:paraId="4779E9C9" w14:textId="77777777" w:rsidR="005B3C12" w:rsidRPr="000E2B39" w:rsidRDefault="005B3C12" w:rsidP="007F7367">
            <w:pPr>
              <w:spacing w:after="0"/>
              <w:rPr>
                <w:rFonts w:eastAsia="Times New Roman"/>
                <w:bCs/>
                <w:color w:val="000000"/>
                <w:sz w:val="22"/>
                <w:szCs w:val="22"/>
                <w:lang w:val="es-CO" w:eastAsia="es-CO"/>
              </w:rPr>
            </w:pPr>
            <w:r w:rsidRPr="000E2B39">
              <w:rPr>
                <w:rFonts w:eastAsia="Times New Roman"/>
                <w:bCs/>
                <w:color w:val="000000"/>
                <w:sz w:val="22"/>
                <w:szCs w:val="22"/>
                <w:lang w:val="es-CO" w:eastAsia="es-CO"/>
              </w:rPr>
              <w:t>Total</w:t>
            </w:r>
          </w:p>
        </w:tc>
        <w:tc>
          <w:tcPr>
            <w:tcW w:w="1167" w:type="dxa"/>
            <w:shd w:val="clear" w:color="auto" w:fill="auto"/>
            <w:noWrap/>
            <w:vAlign w:val="center"/>
            <w:hideMark/>
          </w:tcPr>
          <w:p w14:paraId="2B0AA846" w14:textId="77777777" w:rsidR="005B3C12" w:rsidRPr="000E2B39" w:rsidRDefault="005B3C12"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100</w:t>
            </w:r>
          </w:p>
        </w:tc>
      </w:tr>
    </w:tbl>
    <w:p w14:paraId="502B1169" w14:textId="623A6DD8" w:rsidR="00637DFA" w:rsidRDefault="00B60AFC" w:rsidP="00D62000">
      <w:pPr>
        <w:spacing w:after="0"/>
        <w:jc w:val="both"/>
        <w:rPr>
          <w:lang w:val="es-CO"/>
        </w:rPr>
      </w:pPr>
      <w:r w:rsidRPr="00797279">
        <w:rPr>
          <w:lang w:val="es-CO"/>
        </w:rPr>
        <w:t>Fuente:</w:t>
      </w:r>
      <w:r w:rsidR="00F06037">
        <w:rPr>
          <w:lang w:val="es-CO"/>
        </w:rPr>
        <w:t xml:space="preserve"> </w:t>
      </w:r>
      <w:r w:rsidR="00F06037" w:rsidRPr="009C439F">
        <w:rPr>
          <w:color w:val="0070C0"/>
          <w:lang w:val="es-CO"/>
        </w:rPr>
        <w:fldChar w:fldCharType="begin" w:fldLock="1"/>
      </w:r>
      <w:r w:rsidR="00F06037" w:rsidRPr="009C439F">
        <w:rPr>
          <w:color w:val="0070C0"/>
          <w:lang w:val="es-CO"/>
        </w:rPr>
        <w:instrText>ADDIN CSL_CITATION {"citationItems":[{"id":"ITEM-1","itemData":{"author":[{"dropping-particle":"","family":"Superintendencia de servicios públicos domiciliarios Bogotá DC","given":"","non-dropping-particle":"","parse-names":false,"suffix":""}],"id":"ITEM-1","issued":{"date-parts":[["2017"]]},"title":"Evaluación integral de prestadores centro de gerenciamiento de residuos doña juana S.A. E.S.P.","type":"report"},"uris":["http://www.mendeley.com/documents/?uuid=f9be0066-4d60-3efb-9a8c-e73b58b1335e"]}],"mendeley":{"formattedCitation":"(Superintendencia de servicios públicos domiciliarios Bogotá DC, 2017)","manualFormatting":"Superintendencia de servicios públicos domiciliarios Bogotá D.C, (2017)","plainTextFormattedCitation":"(Superintendencia de servicios públicos domiciliarios Bogotá DC, 2017)","previouslyFormattedCitation":"(Superintendencia de servicios públicos domiciliarios Bogotá DC, 2017)"},"properties":{"noteIndex":0},"schema":"https://github.com/citation-style-language/schema/raw/master/csl-citation.json"}</w:instrText>
      </w:r>
      <w:r w:rsidR="00F06037" w:rsidRPr="009C439F">
        <w:rPr>
          <w:color w:val="0070C0"/>
          <w:lang w:val="es-CO"/>
        </w:rPr>
        <w:fldChar w:fldCharType="separate"/>
      </w:r>
      <w:r w:rsidR="00F06037" w:rsidRPr="009C439F">
        <w:rPr>
          <w:noProof/>
          <w:color w:val="0070C0"/>
          <w:lang w:val="es-CO"/>
        </w:rPr>
        <w:t xml:space="preserve">Superintendencia de </w:t>
      </w:r>
      <w:r w:rsidR="00B779A1" w:rsidRPr="009C439F">
        <w:rPr>
          <w:noProof/>
          <w:color w:val="0070C0"/>
          <w:lang w:val="es-CO"/>
        </w:rPr>
        <w:t xml:space="preserve">Servicios Públicos Domiciliarios </w:t>
      </w:r>
      <w:r w:rsidR="00F06037" w:rsidRPr="009C439F">
        <w:rPr>
          <w:noProof/>
          <w:color w:val="0070C0"/>
          <w:lang w:val="es-CO"/>
        </w:rPr>
        <w:t>Bogotá D.C</w:t>
      </w:r>
      <w:r w:rsidR="00B779A1">
        <w:rPr>
          <w:noProof/>
          <w:color w:val="0070C0"/>
          <w:lang w:val="es-CO"/>
        </w:rPr>
        <w:t>.</w:t>
      </w:r>
      <w:r w:rsidR="00F06037" w:rsidRPr="009C439F">
        <w:rPr>
          <w:noProof/>
          <w:color w:val="0070C0"/>
          <w:lang w:val="es-CO"/>
        </w:rPr>
        <w:t xml:space="preserve"> (2017)</w:t>
      </w:r>
      <w:r w:rsidR="00F06037" w:rsidRPr="009C439F">
        <w:rPr>
          <w:color w:val="0070C0"/>
          <w:lang w:val="es-CO"/>
        </w:rPr>
        <w:fldChar w:fldCharType="end"/>
      </w:r>
      <w:r w:rsidR="007C1B58">
        <w:rPr>
          <w:lang w:val="es-CO"/>
        </w:rPr>
        <w:t>.</w:t>
      </w:r>
    </w:p>
    <w:p w14:paraId="26ED85CA" w14:textId="77777777" w:rsidR="00F06037" w:rsidRDefault="00F06037" w:rsidP="00D62000">
      <w:pPr>
        <w:spacing w:after="0"/>
        <w:jc w:val="both"/>
        <w:rPr>
          <w:lang w:val="es-CO"/>
        </w:rPr>
      </w:pPr>
    </w:p>
    <w:p w14:paraId="16AC9A9A" w14:textId="1628B18B" w:rsidR="00637DFA" w:rsidRPr="00073D09" w:rsidRDefault="00D5015D" w:rsidP="00D62000">
      <w:pPr>
        <w:spacing w:after="0"/>
        <w:jc w:val="both"/>
        <w:rPr>
          <w:lang w:val="es-CO"/>
        </w:rPr>
      </w:pPr>
      <w:r w:rsidRPr="00073D09">
        <w:rPr>
          <w:lang w:val="es-CO"/>
        </w:rPr>
        <w:t xml:space="preserve">Teniendo en cuenta que el relleno sanitario </w:t>
      </w:r>
      <w:r w:rsidR="001A1597" w:rsidRPr="00073D09">
        <w:rPr>
          <w:lang w:val="es-CO"/>
        </w:rPr>
        <w:t>D</w:t>
      </w:r>
      <w:r w:rsidRPr="00073D09">
        <w:rPr>
          <w:lang w:val="es-CO"/>
        </w:rPr>
        <w:t xml:space="preserve">oña Juana es de tipo zanja, donde se requieren excavaciones para la generación de celdas </w:t>
      </w:r>
      <w:r w:rsidR="00862E8A" w:rsidRPr="00073D09">
        <w:rPr>
          <w:lang w:val="es-CO"/>
        </w:rPr>
        <w:t>con el fin de confinar</w:t>
      </w:r>
      <w:r w:rsidRPr="00073D09">
        <w:rPr>
          <w:lang w:val="es-CO"/>
        </w:rPr>
        <w:t xml:space="preserve"> determinado volumen de residuos sólidos, existe un ambiente con poca presencia de oxígeno</w:t>
      </w:r>
      <w:r w:rsidR="003D3101">
        <w:rPr>
          <w:lang w:val="es-CO"/>
        </w:rPr>
        <w:t>. Ello</w:t>
      </w:r>
      <w:r w:rsidR="004A70F8">
        <w:rPr>
          <w:lang w:val="es-CO"/>
        </w:rPr>
        <w:t>,</w:t>
      </w:r>
      <w:r w:rsidRPr="00073D09">
        <w:rPr>
          <w:lang w:val="es-CO"/>
        </w:rPr>
        <w:t xml:space="preserve"> sumado con la materia orgánica presente en las basuras y la actividad microbiana anaeróbica, genera la producción de CH</w:t>
      </w:r>
      <w:r w:rsidRPr="00073D09">
        <w:rPr>
          <w:vertAlign w:val="subscript"/>
          <w:lang w:val="es-CO"/>
        </w:rPr>
        <w:t>4</w:t>
      </w:r>
      <w:r w:rsidRPr="00073D09">
        <w:rPr>
          <w:lang w:val="es-CO"/>
        </w:rPr>
        <w:t xml:space="preserve"> y CO</w:t>
      </w:r>
      <w:r w:rsidRPr="00073D09">
        <w:rPr>
          <w:vertAlign w:val="subscript"/>
          <w:lang w:val="es-CO"/>
        </w:rPr>
        <w:t>2</w:t>
      </w:r>
      <w:r w:rsidR="0016719A" w:rsidRPr="00073D09">
        <w:rPr>
          <w:vertAlign w:val="subscript"/>
          <w:lang w:val="es-CO"/>
        </w:rPr>
        <w:t xml:space="preserve"> </w:t>
      </w:r>
      <w:r w:rsidR="0016719A" w:rsidRPr="00073D09">
        <w:rPr>
          <w:vertAlign w:val="subscript"/>
          <w:lang w:val="es-CO"/>
        </w:rPr>
        <w:fldChar w:fldCharType="begin" w:fldLock="1"/>
      </w:r>
      <w:r w:rsidR="00F06037" w:rsidRPr="00073D09">
        <w:rPr>
          <w:vertAlign w:val="subscript"/>
          <w:lang w:val="es-CO"/>
        </w:rPr>
        <w:instrText>ADDIN CSL_CITATION {"citationItems":[{"id":"ITEM-1","itemData":{"DOI":"10.22490/24629448.1717","ISSN":"1794-2470","abstract":"&lt;p&gt;Se realiza una revision sobre los aspectos degradativos de materia organica, obtención de energia y nutrientes de las bacterias anaerobias. La importancia de estos microorganismos es el papel que desempenan en los procesos que contribuyen al mantenimiento de la vida misma. Dentro del metabolismo para la descomposicion de macromoleculas, estos microorganismos realizan varios procesos: hidrolisis, acetogenesis y metanogenesis, entre otros, cobija reacciones que se realizan dependiendo de las caracteristicas particulares de la bacteria y de las funciones que cumplen dentro del ciclo degradativo, para la obtencion de nuevos productos dependiendo de las rutas bioquimicas o procesos fermentativos que alli se desarrollan.&lt;/p&gt;","author":[{"dropping-particle":"","family":"Corrales","given":"Lucia Constanza","non-dropping-particle":"","parse-names":false,"suffix":""},{"dropping-particle":"","family":"Antolinez Romero","given":"Diana Marcela","non-dropping-particle":"","parse-names":false,"suffix":""},{"dropping-particle":"","family":"Bohórquez Macías","given":"Johanna Azucena","non-dropping-particle":"","parse-names":false,"suffix":""},{"dropping-particle":"","family":"Corredor Vargas","given":"Aura Marcela","non-dropping-particle":"","parse-names":false,"suffix":""}],"container-title":"Nova","id":"ITEM-1","issue":"24","issued":{"date-parts":[["2015","12","15"]]},"page":"55","publisher":"Universidad Nacional Abierta y a Distancia","title":"Bacterias anaerobias: procesos que realizan y contribuyen a la sostenibilidad de la vida en el planeta","type":"article-journal","volume":"13"},"uris":["http://www.mendeley.com/documents/?uuid=06396116-6f5a-3bf7-9107-7ca562f61fae"]}],"mendeley":{"formattedCitation":"(Corrales et al., 2015)","plainTextFormattedCitation":"(Corrales et al., 2015)","previouslyFormattedCitation":"(Corrales et al., 2015)"},"properties":{"noteIndex":0},"schema":"https://github.com/citation-style-language/schema/raw/master/csl-citation.json"}</w:instrText>
      </w:r>
      <w:r w:rsidR="0016719A" w:rsidRPr="00073D09">
        <w:rPr>
          <w:vertAlign w:val="subscript"/>
          <w:lang w:val="es-CO"/>
        </w:rPr>
        <w:fldChar w:fldCharType="separate"/>
      </w:r>
      <w:r w:rsidR="0016719A" w:rsidRPr="00D62000">
        <w:rPr>
          <w:noProof/>
          <w:color w:val="0070C0"/>
          <w:lang w:val="es-CO"/>
        </w:rPr>
        <w:t xml:space="preserve">(Corrales </w:t>
      </w:r>
      <w:r w:rsidR="0068763D" w:rsidRPr="00D62000">
        <w:rPr>
          <w:i/>
          <w:iCs/>
          <w:noProof/>
          <w:color w:val="0070C0"/>
          <w:lang w:val="es-CO"/>
        </w:rPr>
        <w:t>et al</w:t>
      </w:r>
      <w:r w:rsidR="0016719A" w:rsidRPr="00D62000">
        <w:rPr>
          <w:noProof/>
          <w:color w:val="0070C0"/>
          <w:lang w:val="es-CO"/>
        </w:rPr>
        <w:t>., 2015</w:t>
      </w:r>
      <w:r w:rsidR="0016719A" w:rsidRPr="00073D09">
        <w:rPr>
          <w:noProof/>
          <w:lang w:val="es-CO"/>
        </w:rPr>
        <w:t>)</w:t>
      </w:r>
      <w:r w:rsidR="0016719A" w:rsidRPr="00073D09">
        <w:rPr>
          <w:vertAlign w:val="subscript"/>
          <w:lang w:val="es-CO"/>
        </w:rPr>
        <w:fldChar w:fldCharType="end"/>
      </w:r>
      <w:r w:rsidRPr="00073D09">
        <w:rPr>
          <w:lang w:val="es-CO"/>
        </w:rPr>
        <w:t xml:space="preserve">. </w:t>
      </w:r>
      <w:r w:rsidR="000E7F37" w:rsidRPr="00073D09">
        <w:rPr>
          <w:lang w:val="es-CO"/>
        </w:rPr>
        <w:t>En relación c</w:t>
      </w:r>
      <w:r w:rsidR="00396174" w:rsidRPr="00073D09">
        <w:rPr>
          <w:lang w:val="es-CO"/>
        </w:rPr>
        <w:t xml:space="preserve">on lo anterior, los rellenos sanitarios </w:t>
      </w:r>
      <w:r w:rsidR="005B3C12" w:rsidRPr="00073D09">
        <w:rPr>
          <w:lang w:val="es-CO"/>
        </w:rPr>
        <w:t>cuenta</w:t>
      </w:r>
      <w:r w:rsidR="000E7F37" w:rsidRPr="00073D09">
        <w:rPr>
          <w:lang w:val="es-CO"/>
        </w:rPr>
        <w:t>n</w:t>
      </w:r>
      <w:r w:rsidR="005B3C12" w:rsidRPr="00073D09">
        <w:rPr>
          <w:lang w:val="es-CO"/>
        </w:rPr>
        <w:t xml:space="preserve"> con</w:t>
      </w:r>
      <w:r w:rsidR="00396174" w:rsidRPr="00073D09">
        <w:rPr>
          <w:lang w:val="es-CO"/>
        </w:rPr>
        <w:t xml:space="preserve"> un potencial de energía traducido en gases de emisión que provienen de los residuos sólidos</w:t>
      </w:r>
      <w:r w:rsidRPr="00073D09">
        <w:rPr>
          <w:lang w:val="es-CO"/>
        </w:rPr>
        <w:t>.</w:t>
      </w:r>
      <w:r w:rsidR="000E7F37" w:rsidRPr="00073D09">
        <w:rPr>
          <w:lang w:val="es-CO"/>
        </w:rPr>
        <w:t xml:space="preserve"> </w:t>
      </w:r>
      <w:r w:rsidRPr="00073D09">
        <w:rPr>
          <w:lang w:val="es-CO"/>
        </w:rPr>
        <w:t>E</w:t>
      </w:r>
      <w:r w:rsidR="00396174" w:rsidRPr="00073D09">
        <w:rPr>
          <w:lang w:val="es-CO"/>
        </w:rPr>
        <w:t xml:space="preserve">n el caso del relleno sanitario </w:t>
      </w:r>
      <w:r w:rsidR="00402F3E" w:rsidRPr="00073D09">
        <w:rPr>
          <w:lang w:val="es-CO"/>
        </w:rPr>
        <w:t xml:space="preserve">objeto de </w:t>
      </w:r>
      <w:r w:rsidR="000E7F37" w:rsidRPr="00073D09">
        <w:rPr>
          <w:lang w:val="es-CO"/>
        </w:rPr>
        <w:t xml:space="preserve">estudio, desde principios del 2016 </w:t>
      </w:r>
      <w:r w:rsidRPr="00073D09">
        <w:rPr>
          <w:lang w:val="es-CO"/>
        </w:rPr>
        <w:t xml:space="preserve">se </w:t>
      </w:r>
      <w:r w:rsidR="00396174" w:rsidRPr="00073D09">
        <w:rPr>
          <w:lang w:val="es-CO"/>
        </w:rPr>
        <w:t xml:space="preserve">tuvo la iniciativa de aprovechamiento, </w:t>
      </w:r>
      <w:r w:rsidR="00554DA5" w:rsidRPr="00073D09">
        <w:rPr>
          <w:lang w:val="es-CO"/>
        </w:rPr>
        <w:t>que se evidencia en el</w:t>
      </w:r>
      <w:r w:rsidR="006D2DFB" w:rsidRPr="00073D09">
        <w:rPr>
          <w:lang w:val="es-CO"/>
        </w:rPr>
        <w:t xml:space="preserve"> informe de gestión de relleno sanitario emitido por el</w:t>
      </w:r>
      <w:r w:rsidR="00F06037" w:rsidRPr="00073D09">
        <w:rPr>
          <w:lang w:val="es-CO"/>
        </w:rPr>
        <w:t xml:space="preserve"> </w:t>
      </w:r>
      <w:r w:rsidR="006D2DFB" w:rsidRPr="00D62000">
        <w:rPr>
          <w:color w:val="0070C0"/>
          <w:lang w:val="es-CO"/>
        </w:rPr>
        <w:fldChar w:fldCharType="begin" w:fldLock="1"/>
      </w:r>
      <w:r w:rsidR="00F67584" w:rsidRPr="00D62000">
        <w:rPr>
          <w:color w:val="0070C0"/>
          <w:lang w:val="es-CO"/>
        </w:rPr>
        <w:instrText>ADDIN CSL_CITATION {"citationItems":[{"id":"ITEM-1","itemData":{"author":[{"dropping-particle":"","family":"Concejo de Bogotá","given":"","non-dropping-particle":"","parse-names":false,"suffix":""}],"id":"ITEM-1","issued":{"date-parts":[["2017"]]},"publisher-place":"Bogotá DC","title":"Informe de Gestión de Relleno Sanitario Doña Juana. Bogotá D.C.: Concejo de Bogotá D.C.","type":"report"},"uris":["http://www.mendeley.com/documents/?uuid=7d9efe97-3dcb-4079-a922-c916891b314f"]}],"mendeley":{"formattedCitation":"(Concejo de Bogotá, 2017)","manualFormatting":"Concejo de Bogotá (2017)","plainTextFormattedCitation":"(Concejo de Bogotá, 2017)","previouslyFormattedCitation":"(Concejo de Bogotá, 2017)"},"properties":{"noteIndex":0},"schema":"https://github.com/citation-style-language/schema/raw/master/csl-citation.json"}</w:instrText>
      </w:r>
      <w:r w:rsidR="006D2DFB" w:rsidRPr="00D62000">
        <w:rPr>
          <w:color w:val="0070C0"/>
          <w:lang w:val="es-CO"/>
        </w:rPr>
        <w:fldChar w:fldCharType="separate"/>
      </w:r>
      <w:r w:rsidR="006D2DFB" w:rsidRPr="00D62000">
        <w:rPr>
          <w:noProof/>
          <w:color w:val="0070C0"/>
          <w:lang w:val="es-CO"/>
        </w:rPr>
        <w:t>Concejo de Bogotá (2017)</w:t>
      </w:r>
      <w:r w:rsidR="006D2DFB" w:rsidRPr="00D62000">
        <w:rPr>
          <w:color w:val="0070C0"/>
          <w:lang w:val="es-CO"/>
        </w:rPr>
        <w:fldChar w:fldCharType="end"/>
      </w:r>
      <w:r w:rsidR="006D2DFB" w:rsidRPr="00073D09">
        <w:rPr>
          <w:lang w:val="es-CO"/>
        </w:rPr>
        <w:t>.</w:t>
      </w:r>
      <w:r w:rsidR="001A1597" w:rsidRPr="00073D09">
        <w:rPr>
          <w:lang w:val="es-CO"/>
        </w:rPr>
        <w:t xml:space="preserve"> </w:t>
      </w:r>
      <w:r w:rsidR="006D2DFB" w:rsidRPr="00073D09">
        <w:rPr>
          <w:lang w:val="es-CO"/>
        </w:rPr>
        <w:t>S</w:t>
      </w:r>
      <w:r w:rsidR="00210608" w:rsidRPr="00073D09">
        <w:rPr>
          <w:lang w:val="es-CO"/>
        </w:rPr>
        <w:t>in embargo</w:t>
      </w:r>
      <w:r w:rsidR="004A70F8">
        <w:rPr>
          <w:lang w:val="es-CO"/>
        </w:rPr>
        <w:t>,</w:t>
      </w:r>
      <w:r w:rsidR="00210608" w:rsidRPr="00073D09">
        <w:rPr>
          <w:lang w:val="es-CO"/>
        </w:rPr>
        <w:t xml:space="preserve"> no ha sido apropiado y se busca</w:t>
      </w:r>
      <w:r w:rsidR="004A70F8">
        <w:rPr>
          <w:lang w:val="es-CO"/>
        </w:rPr>
        <w:t>,</w:t>
      </w:r>
      <w:r w:rsidR="00C012CE" w:rsidRPr="00073D09">
        <w:rPr>
          <w:lang w:val="es-CO"/>
        </w:rPr>
        <w:t xml:space="preserve"> </w:t>
      </w:r>
      <w:r w:rsidR="00210608" w:rsidRPr="00073D09">
        <w:rPr>
          <w:lang w:val="es-CO"/>
        </w:rPr>
        <w:t>s</w:t>
      </w:r>
      <w:r w:rsidR="005B3C12" w:rsidRPr="00073D09">
        <w:rPr>
          <w:lang w:val="es-CO"/>
        </w:rPr>
        <w:t>egún la</w:t>
      </w:r>
      <w:r w:rsidR="00F67584" w:rsidRPr="00073D09">
        <w:rPr>
          <w:lang w:val="es-CO"/>
        </w:rPr>
        <w:t xml:space="preserve"> </w:t>
      </w:r>
      <w:r w:rsidR="00F67584" w:rsidRPr="009C439F">
        <w:rPr>
          <w:color w:val="0070C0"/>
          <w:lang w:val="es-CO"/>
        </w:rPr>
        <w:fldChar w:fldCharType="begin" w:fldLock="1"/>
      </w:r>
      <w:r w:rsidR="00172A26" w:rsidRPr="009C439F">
        <w:rPr>
          <w:color w:val="0070C0"/>
          <w:lang w:val="es-CO"/>
        </w:rPr>
        <w:instrText>ADDIN CSL_CITATION {"citationItems":[{"id":"ITEM-1","itemData":{"author":[{"dropping-particle":"","family":"Resolución No. 1484.","given":"","non-dropping-particle":"","parse-names":false,"suffix":""}],"id":"ITEM-1","issued":{"date-parts":[["2018"]]},"publisher-place":"Bogotá DC","title":"Por el cual se asume la competencia del proyecto \"Relleno sanitario Doña Juana\" y se toman otras determinaciones","type":"report"},"uris":["http://www.mendeley.com/documents/?uuid=49f46f00-58ca-4606-9025-e453c9ad79f4"]}],"mendeley":{"formattedCitation":"(Resolución No. 1484., 2018)","manualFormatting":"Resolución No. 1484 (2018)","plainTextFormattedCitation":"(Resolución No. 1484., 2018)","previouslyFormattedCitation":"(Resolución No. 1484., 2018)"},"properties":{"noteIndex":0},"schema":"https://github.com/citation-style-language/schema/raw/master/csl-citation.json"}</w:instrText>
      </w:r>
      <w:r w:rsidR="00F67584" w:rsidRPr="009C439F">
        <w:rPr>
          <w:color w:val="0070C0"/>
          <w:lang w:val="es-CO"/>
        </w:rPr>
        <w:fldChar w:fldCharType="separate"/>
      </w:r>
      <w:r w:rsidR="00F67584" w:rsidRPr="009C439F">
        <w:rPr>
          <w:noProof/>
          <w:color w:val="0070C0"/>
          <w:lang w:val="es-CO"/>
        </w:rPr>
        <w:t>Resolución N</w:t>
      </w:r>
      <w:r w:rsidR="004A70F8">
        <w:rPr>
          <w:noProof/>
          <w:color w:val="0070C0"/>
          <w:lang w:val="es-CO"/>
        </w:rPr>
        <w:t>,</w:t>
      </w:r>
      <w:r w:rsidR="00F67584" w:rsidRPr="009A7AAF">
        <w:rPr>
          <w:noProof/>
          <w:color w:val="0070C0"/>
          <w:vertAlign w:val="superscript"/>
          <w:lang w:val="es-CO"/>
        </w:rPr>
        <w:t>o</w:t>
      </w:r>
      <w:r w:rsidR="00F67584" w:rsidRPr="009C439F">
        <w:rPr>
          <w:noProof/>
          <w:color w:val="0070C0"/>
          <w:lang w:val="es-CO"/>
        </w:rPr>
        <w:t xml:space="preserve"> 1484 (2018)</w:t>
      </w:r>
      <w:r w:rsidR="00F67584" w:rsidRPr="009C439F">
        <w:rPr>
          <w:color w:val="0070C0"/>
          <w:lang w:val="es-CO"/>
        </w:rPr>
        <w:fldChar w:fldCharType="end"/>
      </w:r>
      <w:r w:rsidR="00F67584" w:rsidRPr="00073D09">
        <w:rPr>
          <w:lang w:val="es-CO"/>
        </w:rPr>
        <w:t xml:space="preserve"> y estudios </w:t>
      </w:r>
      <w:r w:rsidR="004C69F2">
        <w:rPr>
          <w:lang w:val="es-CO"/>
        </w:rPr>
        <w:t xml:space="preserve">varios </w:t>
      </w:r>
      <w:r w:rsidR="001C71BD" w:rsidRPr="00073D09">
        <w:rPr>
          <w:lang w:val="es-CO"/>
        </w:rPr>
        <w:fldChar w:fldCharType="begin" w:fldLock="1"/>
      </w:r>
      <w:r w:rsidR="00F07370" w:rsidRPr="00073D09">
        <w:rPr>
          <w:lang w:val="es-CO"/>
        </w:rPr>
        <w:instrText>ADDIN CSL_CITATION {"citationItems":[{"id":"ITEM-1","itemData":{"author":[{"dropping-particle":"","family":"Gómez","given":"Alicia Hernández","non-dropping-particle":"","parse-names":false,"suffix":""},{"dropping-particle":"","family":"Robles","given":"Rosario Rojas","non-dropping-particle":"","parse-names":false,"suffix":""},{"dropping-particle":"","family":"Calderon","given":"Fabio Vladimir Sánchez","non-dropping-particle":"","parse-names":false,"suffix":""}],"container-title":"Cuadernos de geografía: revista Colombiana de Geografía","id":"ITEM-1","issue":"2","issued":{"date-parts":[["2013"]]},"page":"257-271","publisher":"Universidad Nacional de Colombia. Departamento de Geograf{\\'\\i}a","title":"Cambios en el uso del suelo asociados a la expansión urbana y la planeación en el corregimiento de Pasquilla, zona rural de Bogotá (Colombia)","type":"article-journal","volume":"22"},"uris":["http://www.mendeley.com/documents/?uuid=0fd260e1-8eb1-44b6-ab6d-3f26b026d1d2"]},{"id":"ITEM-2","itemData":{"author":[{"dropping-particle":"","family":"Hincapie Carrillo","given":"Rafael Antonio","non-dropping-particle":"","parse-names":false,"suffix":""},{"dropping-particle":"","family":"others","given":"","non-dropping-particle":"","parse-names":false,"suffix":""}],"id":"ITEM-2","issued":{"date-parts":[["2018"]]},"publisher":"Universidad Militar Nueva Granada","title":"Análisis multitemporal de imágenes landsat para identificar áreas habitadas afectadas por la zona de influencia del Relleno Sanitario Doña Juana (RSDJ), Bogotá DC, Colombia","type":"article-journal"},"uris":["http://www.mendeley.com/documents/?uuid=6672dc87-7039-4bfd-943f-74b72f7d9a80"]},{"id":"ITEM-3","itemData":{"DOI":"10.7440/histcrit74.2019.06","ISSN":"19006152","abstract":"Objective/Context: This article explains the formation of a toxic urban landscape around the landfill Doña Juana in Bogotá from 1998 to 2019, as a result of an exchange between sanitary engineers and the circulation of capital under a framework of neoliberal policies of refuse collection and its impact on poor urban territories. Methodology: The historical analysis results from a diverse set of documents (press, technical reports, judicial files and interviews). This enables the reconstruction of a three-decade long process that included the design and operation of the landfill in south Bogotá, which resulted in a toxic landscape. The project is not limited to a local outlook. Rather, it argues that refuse management happens under a global framework of circulation of technologies and financial resources. Originality: The article addresses several historiographic perspectives (environmental, social and urban history) to show the political, technical and environmental complexity of refuse and its management, specifically when dealing with disposing infrastructure such as landfills. Besides storing waste, these landfills evidence conflicting social and environmental situations to the extent in which these place stress on political capacities of players such as the State, the market and landfill-related citizens. Conclusions: This analysis leads to the conclusion that the landfill, once planned as a technical solution for urban waste, wound up worsening the conditions of social and environmental inequality at the poverty periphery in Bogotá, while at the same time it sparked a social struggle in defense of the territory.","author":[{"dropping-particle":"","family":"Camargo","given":"Frank Molano","non-dropping-particle":"","parse-names":false,"suffix":""}],"container-title":"Historia Critica","id":"ITEM-3","issue":"74","issued":{"date-parts":[["2019"]]},"page":"127-149","publisher":"Universidad de los Andes, Bogota Colombia","title":"Bogotá‘s doña juana landfill: The political production of a toxic landscape, 1988-2019","type":"article-journal","volume":"2019"},"uris":["http://www.mendeley.com/documents/?uuid=7110f0cc-137a-3ec4-a946-561ebace904f"]}],"mendeley":{"formattedCitation":"(Camargo, 2019; Gómez et al., 2013; Hincapie Carrillo &amp; others, 2018)","plainTextFormattedCitation":"(Camargo, 2019; Gómez et al., 2013; Hincapie Carrillo &amp; others, 2018)","previouslyFormattedCitation":"(Camargo, 2019; Gómez et al., 2013; Hincapie Carrillo &amp; others, 2018)"},"properties":{"noteIndex":0},"schema":"https://github.com/citation-style-language/schema/raw/master/csl-citation.json"}</w:instrText>
      </w:r>
      <w:r w:rsidR="001C71BD" w:rsidRPr="00073D09">
        <w:rPr>
          <w:lang w:val="es-CO"/>
        </w:rPr>
        <w:fldChar w:fldCharType="separate"/>
      </w:r>
      <w:r w:rsidR="001C71BD" w:rsidRPr="00073D09">
        <w:rPr>
          <w:noProof/>
          <w:lang w:val="es-CO"/>
        </w:rPr>
        <w:t>(</w:t>
      </w:r>
      <w:r w:rsidR="001C71BD" w:rsidRPr="00D62000">
        <w:rPr>
          <w:noProof/>
          <w:color w:val="0070C0"/>
          <w:lang w:val="es-CO"/>
        </w:rPr>
        <w:t xml:space="preserve">Camargo, 2019; Gómez </w:t>
      </w:r>
      <w:r w:rsidR="0068763D" w:rsidRPr="00D62000">
        <w:rPr>
          <w:i/>
          <w:iCs/>
          <w:noProof/>
          <w:color w:val="0070C0"/>
          <w:lang w:val="es-CO"/>
        </w:rPr>
        <w:t>et al</w:t>
      </w:r>
      <w:r w:rsidR="001C71BD" w:rsidRPr="00D62000">
        <w:rPr>
          <w:noProof/>
          <w:color w:val="0070C0"/>
          <w:lang w:val="es-CO"/>
        </w:rPr>
        <w:t>., 2013; Hincapie, 2018)</w:t>
      </w:r>
      <w:r w:rsidR="001C71BD" w:rsidRPr="00073D09">
        <w:rPr>
          <w:lang w:val="es-CO"/>
        </w:rPr>
        <w:fldChar w:fldCharType="end"/>
      </w:r>
      <w:r w:rsidR="00396174" w:rsidRPr="00073D09">
        <w:rPr>
          <w:lang w:val="es-CO"/>
        </w:rPr>
        <w:t xml:space="preserve">, </w:t>
      </w:r>
      <w:r w:rsidR="005B3C12" w:rsidRPr="00073D09">
        <w:rPr>
          <w:lang w:val="es-CO"/>
        </w:rPr>
        <w:t>rectifica</w:t>
      </w:r>
      <w:r w:rsidR="00210608" w:rsidRPr="00073D09">
        <w:rPr>
          <w:lang w:val="es-CO"/>
        </w:rPr>
        <w:t>r</w:t>
      </w:r>
      <w:r w:rsidR="005B3C12" w:rsidRPr="00073D09">
        <w:rPr>
          <w:lang w:val="es-CO"/>
        </w:rPr>
        <w:t xml:space="preserve"> la</w:t>
      </w:r>
      <w:r w:rsidR="00396174" w:rsidRPr="00073D09">
        <w:rPr>
          <w:lang w:val="es-CO"/>
        </w:rPr>
        <w:t xml:space="preserve"> clausura del relleno</w:t>
      </w:r>
      <w:r w:rsidR="000E7F37" w:rsidRPr="00073D09">
        <w:rPr>
          <w:lang w:val="es-CO"/>
        </w:rPr>
        <w:t xml:space="preserve"> para</w:t>
      </w:r>
      <w:r w:rsidR="005B3C12" w:rsidRPr="00073D09">
        <w:rPr>
          <w:lang w:val="es-CO"/>
        </w:rPr>
        <w:t xml:space="preserve"> el año 2022</w:t>
      </w:r>
      <w:r w:rsidR="001A1597" w:rsidRPr="00073D09">
        <w:rPr>
          <w:lang w:val="es-CO"/>
        </w:rPr>
        <w:t>,</w:t>
      </w:r>
      <w:r w:rsidR="00396174" w:rsidRPr="00073D09">
        <w:rPr>
          <w:lang w:val="es-CO"/>
        </w:rPr>
        <w:t xml:space="preserve"> </w:t>
      </w:r>
      <w:r w:rsidR="001A1597" w:rsidRPr="00073D09">
        <w:rPr>
          <w:lang w:val="es-CO"/>
        </w:rPr>
        <w:t>a</w:t>
      </w:r>
      <w:r w:rsidR="00396174" w:rsidRPr="00073D09">
        <w:rPr>
          <w:lang w:val="es-CO"/>
        </w:rPr>
        <w:t>sí mismo</w:t>
      </w:r>
      <w:r w:rsidR="00C012CE" w:rsidRPr="00073D09">
        <w:rPr>
          <w:lang w:val="es-CO"/>
        </w:rPr>
        <w:t>,</w:t>
      </w:r>
      <w:r w:rsidR="00396174" w:rsidRPr="00073D09">
        <w:rPr>
          <w:lang w:val="es-CO"/>
        </w:rPr>
        <w:t xml:space="preserve"> se afirma </w:t>
      </w:r>
      <w:r w:rsidR="00C012CE" w:rsidRPr="00073D09">
        <w:rPr>
          <w:lang w:val="es-CO"/>
        </w:rPr>
        <w:t xml:space="preserve">su </w:t>
      </w:r>
      <w:r w:rsidR="00396174" w:rsidRPr="00073D09">
        <w:rPr>
          <w:lang w:val="es-CO"/>
        </w:rPr>
        <w:t xml:space="preserve">posible operación hasta el año 2040 y con la expansión </w:t>
      </w:r>
      <w:r w:rsidR="00C012CE" w:rsidRPr="00073D09">
        <w:rPr>
          <w:lang w:val="es-CO"/>
        </w:rPr>
        <w:t>apropiada</w:t>
      </w:r>
      <w:r w:rsidR="00396174" w:rsidRPr="00073D09">
        <w:rPr>
          <w:lang w:val="es-CO"/>
        </w:rPr>
        <w:t xml:space="preserve"> del terreno, la vida útil del </w:t>
      </w:r>
      <w:r w:rsidR="00C012CE" w:rsidRPr="00073D09">
        <w:rPr>
          <w:lang w:val="es-CO"/>
        </w:rPr>
        <w:t>r</w:t>
      </w:r>
      <w:r w:rsidR="00396174" w:rsidRPr="00073D09">
        <w:rPr>
          <w:lang w:val="es-CO"/>
        </w:rPr>
        <w:t xml:space="preserve">elleno </w:t>
      </w:r>
      <w:r w:rsidR="00C012CE" w:rsidRPr="00073D09">
        <w:rPr>
          <w:lang w:val="es-CO"/>
        </w:rPr>
        <w:t>s</w:t>
      </w:r>
      <w:r w:rsidR="00396174" w:rsidRPr="00073D09">
        <w:rPr>
          <w:lang w:val="es-CO"/>
        </w:rPr>
        <w:t>anitario sería hasta el 2070.</w:t>
      </w:r>
    </w:p>
    <w:p w14:paraId="3A4AD5DC" w14:textId="77777777" w:rsidR="004C7648" w:rsidRPr="00073D09" w:rsidRDefault="004C7648" w:rsidP="00D62000">
      <w:pPr>
        <w:spacing w:after="0"/>
        <w:jc w:val="both"/>
        <w:rPr>
          <w:lang w:val="es-CO"/>
        </w:rPr>
      </w:pPr>
    </w:p>
    <w:p w14:paraId="0686785A" w14:textId="3F6444A9" w:rsidR="00E03D2A" w:rsidRPr="00073D09" w:rsidRDefault="00E03D2A" w:rsidP="00D62000">
      <w:pPr>
        <w:spacing w:after="0"/>
        <w:jc w:val="both"/>
        <w:rPr>
          <w:lang w:val="es-CO"/>
        </w:rPr>
      </w:pPr>
      <w:r w:rsidRPr="00073D09">
        <w:rPr>
          <w:lang w:val="es-CO"/>
        </w:rPr>
        <w:t>Si bien algunos productos generados por la descomposición son utilizados o aprovechados para la producción de energía,</w:t>
      </w:r>
      <w:r w:rsidR="00C012CE" w:rsidRPr="00073D09">
        <w:rPr>
          <w:lang w:val="es-CO"/>
        </w:rPr>
        <w:t xml:space="preserve"> </w:t>
      </w:r>
      <w:r w:rsidR="001A1597" w:rsidRPr="00073D09">
        <w:rPr>
          <w:lang w:val="es-CO"/>
        </w:rPr>
        <w:t>otros</w:t>
      </w:r>
      <w:r w:rsidR="0036632F">
        <w:rPr>
          <w:lang w:val="es-CO"/>
        </w:rPr>
        <w:t>,</w:t>
      </w:r>
      <w:r w:rsidR="001A1597" w:rsidRPr="00073D09">
        <w:rPr>
          <w:lang w:val="es-CO"/>
        </w:rPr>
        <w:t xml:space="preserve"> como</w:t>
      </w:r>
      <w:r w:rsidR="00C012CE" w:rsidRPr="00073D09">
        <w:rPr>
          <w:lang w:val="es-CO"/>
        </w:rPr>
        <w:t xml:space="preserve"> se expresa en </w:t>
      </w:r>
      <w:r w:rsidR="00F07370" w:rsidRPr="00073D09">
        <w:rPr>
          <w:lang w:val="es-CO"/>
        </w:rPr>
        <w:t xml:space="preserve">estudio de </w:t>
      </w:r>
      <w:r w:rsidR="00F07370" w:rsidRPr="00D62000">
        <w:rPr>
          <w:color w:val="0070C0"/>
          <w:lang w:val="es-CO"/>
        </w:rPr>
        <w:fldChar w:fldCharType="begin" w:fldLock="1"/>
      </w:r>
      <w:r w:rsidR="00DB702E" w:rsidRPr="00D62000">
        <w:rPr>
          <w:color w:val="0070C0"/>
          <w:lang w:val="es-CO"/>
        </w:rPr>
        <w:instrText>ADDIN CSL_CITATION {"citationItems":[{"id":"ITEM-1","itemData":{"author":[{"dropping-particle":"","family":"Yusuf","given":"R O","non-dropping-particle":"","parse-names":false,"suffix":""},{"dropping-particle":"","family":"Adeniran","given":"J A","non-dropping-particle":"","parse-names":false,"suffix":""},{"dropping-particle":"","family":"Sonibare","given":"J A","non-dropping-particle":"","parse-names":false,"suffix":""},{"dropping-particle":"","family":"Noor","given":"Z Z","non-dropping-particle":"","parse-names":false,"suffix":""}],"container-title":"Pollution","id":"ITEM-1","issue":"1","issued":{"date-parts":[["2019"]]},"page":"71-80","publisher":"University of Tehran","title":"Application of the Triangular Model in quantifying landfill gas emission from municipal solid wastes","type":"article-journal","volume":"5"},"uris":["http://www.mendeley.com/documents/?uuid=d6e788c9-fb85-4837-ad22-7f72d9df8c50"]}],"mendeley":{"formattedCitation":"(Yusuf et al., 2019)","manualFormatting":"Yusuf et al. (2019)","plainTextFormattedCitation":"(Yusuf et al., 2019)","previouslyFormattedCitation":"(Yusuf et al., 2019)"},"properties":{"noteIndex":0},"schema":"https://github.com/citation-style-language/schema/raw/master/csl-citation.json"}</w:instrText>
      </w:r>
      <w:r w:rsidR="00F07370" w:rsidRPr="00D62000">
        <w:rPr>
          <w:color w:val="0070C0"/>
          <w:lang w:val="es-CO"/>
        </w:rPr>
        <w:fldChar w:fldCharType="separate"/>
      </w:r>
      <w:r w:rsidR="00F07370" w:rsidRPr="00D62000">
        <w:rPr>
          <w:noProof/>
          <w:color w:val="0070C0"/>
          <w:lang w:val="es-CO"/>
        </w:rPr>
        <w:t xml:space="preserve">Yusuf </w:t>
      </w:r>
      <w:r w:rsidR="0068763D" w:rsidRPr="00D62000">
        <w:rPr>
          <w:i/>
          <w:iCs/>
          <w:noProof/>
          <w:color w:val="0070C0"/>
          <w:lang w:val="es-CO"/>
        </w:rPr>
        <w:t>et al</w:t>
      </w:r>
      <w:r w:rsidR="00F07370" w:rsidRPr="00D62000">
        <w:rPr>
          <w:noProof/>
          <w:color w:val="0070C0"/>
          <w:lang w:val="es-CO"/>
        </w:rPr>
        <w:t>.</w:t>
      </w:r>
      <w:r w:rsidR="00D62000" w:rsidRPr="00D62000">
        <w:rPr>
          <w:noProof/>
          <w:color w:val="0070C0"/>
          <w:lang w:val="es-CO"/>
        </w:rPr>
        <w:t>,</w:t>
      </w:r>
      <w:r w:rsidR="00F07370" w:rsidRPr="00D62000">
        <w:rPr>
          <w:noProof/>
          <w:color w:val="0070C0"/>
          <w:lang w:val="es-CO"/>
        </w:rPr>
        <w:t xml:space="preserve"> (2019)</w:t>
      </w:r>
      <w:r w:rsidR="00F07370" w:rsidRPr="00D62000">
        <w:rPr>
          <w:color w:val="0070C0"/>
          <w:lang w:val="es-CO"/>
        </w:rPr>
        <w:fldChar w:fldCharType="end"/>
      </w:r>
      <w:r w:rsidR="0036632F">
        <w:rPr>
          <w:color w:val="0070C0"/>
          <w:lang w:val="es-CO"/>
        </w:rPr>
        <w:t>,</w:t>
      </w:r>
      <w:r w:rsidR="00C012CE" w:rsidRPr="00073D09">
        <w:rPr>
          <w:lang w:val="es-CO"/>
        </w:rPr>
        <w:t xml:space="preserve"> </w:t>
      </w:r>
      <w:r w:rsidRPr="00073D09">
        <w:rPr>
          <w:lang w:val="es-CO"/>
        </w:rPr>
        <w:t>son directamente emitidos a la atmosfera sin ningún tipo de aprovechamiento o tratamiento</w:t>
      </w:r>
      <w:r w:rsidR="00E0096F" w:rsidRPr="00073D09">
        <w:rPr>
          <w:lang w:val="es-CO"/>
        </w:rPr>
        <w:t>,</w:t>
      </w:r>
      <w:r w:rsidRPr="00073D09">
        <w:rPr>
          <w:lang w:val="es-CO"/>
        </w:rPr>
        <w:t xml:space="preserve"> por lo cual</w:t>
      </w:r>
      <w:r w:rsidR="00204C7F" w:rsidRPr="00073D09">
        <w:rPr>
          <w:lang w:val="es-CO"/>
        </w:rPr>
        <w:t>, es necesaria</w:t>
      </w:r>
      <w:r w:rsidRPr="00073D09">
        <w:rPr>
          <w:lang w:val="es-CO"/>
        </w:rPr>
        <w:t xml:space="preserve"> la proyección de las tasas de generación para es</w:t>
      </w:r>
      <w:r w:rsidR="001A1597" w:rsidRPr="00073D09">
        <w:rPr>
          <w:lang w:val="es-CO"/>
        </w:rPr>
        <w:t>tablecer escenarios de beneficio;</w:t>
      </w:r>
      <w:r w:rsidRPr="00073D09">
        <w:rPr>
          <w:lang w:val="es-CO"/>
        </w:rPr>
        <w:t xml:space="preserve"> </w:t>
      </w:r>
      <w:r w:rsidR="00C012CE" w:rsidRPr="00073D09">
        <w:rPr>
          <w:lang w:val="es-CO"/>
        </w:rPr>
        <w:t>en estos términos</w:t>
      </w:r>
      <w:r w:rsidR="0036632F">
        <w:rPr>
          <w:lang w:val="es-CO"/>
        </w:rPr>
        <w:t>,</w:t>
      </w:r>
      <w:r w:rsidR="00E0096F" w:rsidRPr="00073D09">
        <w:rPr>
          <w:lang w:val="es-CO"/>
        </w:rPr>
        <w:t xml:space="preserve"> </w:t>
      </w:r>
      <w:r w:rsidR="00C012CE" w:rsidRPr="00073D09">
        <w:rPr>
          <w:lang w:val="es-CO"/>
        </w:rPr>
        <w:t>esta</w:t>
      </w:r>
      <w:r w:rsidRPr="00073D09">
        <w:rPr>
          <w:lang w:val="es-CO"/>
        </w:rPr>
        <w:t xml:space="preserve"> investigación </w:t>
      </w:r>
      <w:r w:rsidR="00E0096F" w:rsidRPr="00073D09">
        <w:rPr>
          <w:lang w:val="es-CO"/>
        </w:rPr>
        <w:t xml:space="preserve"> </w:t>
      </w:r>
      <w:bookmarkStart w:id="8" w:name="_Hlk43909353"/>
      <w:r w:rsidR="00E0096F" w:rsidRPr="00073D09">
        <w:rPr>
          <w:lang w:val="es-CO"/>
        </w:rPr>
        <w:t>realiza</w:t>
      </w:r>
      <w:r w:rsidRPr="00073D09">
        <w:rPr>
          <w:lang w:val="es-CO"/>
        </w:rPr>
        <w:t xml:space="preserve"> la estimación de gases de emisión CH</w:t>
      </w:r>
      <w:r w:rsidRPr="00073D09">
        <w:rPr>
          <w:vertAlign w:val="subscript"/>
          <w:lang w:val="es-CO"/>
        </w:rPr>
        <w:t>4</w:t>
      </w:r>
      <w:r w:rsidRPr="00073D09">
        <w:rPr>
          <w:lang w:val="es-CO"/>
        </w:rPr>
        <w:t>, CO</w:t>
      </w:r>
      <w:r w:rsidRPr="00073D09">
        <w:rPr>
          <w:vertAlign w:val="subscript"/>
          <w:lang w:val="es-CO"/>
        </w:rPr>
        <w:t>2</w:t>
      </w:r>
      <w:r w:rsidRPr="00073D09">
        <w:rPr>
          <w:lang w:val="es-CO"/>
        </w:rPr>
        <w:t xml:space="preserve"> y NMOC en el relleno sanitario Doña Juana</w:t>
      </w:r>
      <w:r w:rsidR="0036632F">
        <w:rPr>
          <w:lang w:val="es-CO"/>
        </w:rPr>
        <w:t>,</w:t>
      </w:r>
      <w:r w:rsidRPr="00073D09">
        <w:rPr>
          <w:lang w:val="es-CO"/>
        </w:rPr>
        <w:t xml:space="preserve"> mediante la herramienta </w:t>
      </w:r>
      <w:proofErr w:type="spellStart"/>
      <w:r w:rsidRPr="00073D09">
        <w:rPr>
          <w:lang w:val="es-CO"/>
        </w:rPr>
        <w:t>LandGem</w:t>
      </w:r>
      <w:proofErr w:type="spellEnd"/>
      <w:r w:rsidRPr="00073D09">
        <w:rPr>
          <w:lang w:val="es-CO"/>
        </w:rPr>
        <w:t xml:space="preserve"> proporcionada por la </w:t>
      </w:r>
      <w:r w:rsidR="00BB4261" w:rsidRPr="00BB4261">
        <w:rPr>
          <w:i/>
          <w:iCs/>
          <w:noProof/>
          <w:lang w:val="es-CO"/>
        </w:rPr>
        <w:t>United States Environmental Protection Agency</w:t>
      </w:r>
      <w:r w:rsidR="00BB4261" w:rsidRPr="003F21DD">
        <w:rPr>
          <w:noProof/>
          <w:lang w:val="es-CO"/>
        </w:rPr>
        <w:t xml:space="preserve"> </w:t>
      </w:r>
      <w:r w:rsidR="00BB4261">
        <w:rPr>
          <w:noProof/>
          <w:lang w:val="es-CR"/>
        </w:rPr>
        <w:t>(</w:t>
      </w:r>
      <w:r w:rsidR="007E7B1F">
        <w:rPr>
          <w:lang w:val="es-CO"/>
        </w:rPr>
        <w:t xml:space="preserve">U.S. </w:t>
      </w:r>
      <w:r w:rsidRPr="00073D09">
        <w:rPr>
          <w:lang w:val="es-CO"/>
        </w:rPr>
        <w:t>EPA</w:t>
      </w:r>
      <w:r w:rsidR="00BB4261">
        <w:rPr>
          <w:lang w:val="es-CO"/>
        </w:rPr>
        <w:t>)</w:t>
      </w:r>
      <w:r w:rsidRPr="00073D09">
        <w:rPr>
          <w:lang w:val="es-CO"/>
        </w:rPr>
        <w:t xml:space="preserve"> para diferentes periodos de clausura 2022, 2040 y 2070. </w:t>
      </w:r>
    </w:p>
    <w:bookmarkEnd w:id="8"/>
    <w:p w14:paraId="76DEFAC6" w14:textId="77777777" w:rsidR="008A6FDA" w:rsidRPr="00073D09" w:rsidRDefault="008A6FDA" w:rsidP="00D62000">
      <w:pPr>
        <w:spacing w:after="0"/>
        <w:jc w:val="both"/>
        <w:rPr>
          <w:b/>
        </w:rPr>
      </w:pPr>
    </w:p>
    <w:p w14:paraId="27D73C0C" w14:textId="31448D1D" w:rsidR="008E34B5" w:rsidRDefault="00D14E51" w:rsidP="00D62000">
      <w:pPr>
        <w:spacing w:after="0"/>
        <w:jc w:val="both"/>
        <w:rPr>
          <w:b/>
        </w:rPr>
      </w:pPr>
      <w:r w:rsidRPr="00073D09">
        <w:rPr>
          <w:b/>
        </w:rPr>
        <w:t xml:space="preserve">2. </w:t>
      </w:r>
      <w:r w:rsidR="00E92B96" w:rsidRPr="00073D09">
        <w:rPr>
          <w:b/>
        </w:rPr>
        <w:t>Metodología</w:t>
      </w:r>
      <w:r w:rsidRPr="00073D09">
        <w:rPr>
          <w:b/>
        </w:rPr>
        <w:t xml:space="preserve"> </w:t>
      </w:r>
    </w:p>
    <w:p w14:paraId="2DE66070" w14:textId="77777777" w:rsidR="00D62000" w:rsidRPr="00073D09" w:rsidRDefault="00D62000" w:rsidP="00D62000">
      <w:pPr>
        <w:spacing w:after="0"/>
        <w:jc w:val="both"/>
        <w:rPr>
          <w:b/>
        </w:rPr>
      </w:pPr>
    </w:p>
    <w:p w14:paraId="29080E55" w14:textId="171CA5A3" w:rsidR="002936CA" w:rsidRPr="00073D09" w:rsidRDefault="00E0096F" w:rsidP="00D62000">
      <w:pPr>
        <w:spacing w:after="0"/>
        <w:jc w:val="both"/>
        <w:rPr>
          <w:lang w:val="es-CO"/>
        </w:rPr>
      </w:pPr>
      <w:r w:rsidRPr="00073D09">
        <w:rPr>
          <w:lang w:val="es-CO"/>
        </w:rPr>
        <w:t xml:space="preserve">Esta </w:t>
      </w:r>
      <w:r w:rsidR="0046128F" w:rsidRPr="00073D09">
        <w:rPr>
          <w:lang w:val="es-CO"/>
        </w:rPr>
        <w:t xml:space="preserve">investigación es de carácter </w:t>
      </w:r>
      <w:r w:rsidRPr="00073D09">
        <w:rPr>
          <w:lang w:val="es-CO"/>
        </w:rPr>
        <w:t xml:space="preserve">mixto. Por un lado, </w:t>
      </w:r>
      <w:r w:rsidR="00D55E15" w:rsidRPr="00073D09">
        <w:rPr>
          <w:lang w:val="es-CO"/>
        </w:rPr>
        <w:t>se realizan</w:t>
      </w:r>
      <w:r w:rsidR="0046128F" w:rsidRPr="00073D09">
        <w:rPr>
          <w:lang w:val="es-CO"/>
        </w:rPr>
        <w:t xml:space="preserve"> las estimaciones de </w:t>
      </w:r>
      <w:r w:rsidR="00494B19" w:rsidRPr="00073D09">
        <w:rPr>
          <w:lang w:val="es-CO"/>
        </w:rPr>
        <w:t>tasas de emisión</w:t>
      </w:r>
      <w:r w:rsidR="0046128F" w:rsidRPr="00073D09">
        <w:rPr>
          <w:lang w:val="es-CO"/>
        </w:rPr>
        <w:t xml:space="preserve"> de gases de efecto invernadero del relleno sanitario</w:t>
      </w:r>
      <w:r w:rsidR="005D3FA8" w:rsidRPr="00073D09">
        <w:rPr>
          <w:lang w:val="es-CO"/>
        </w:rPr>
        <w:t xml:space="preserve"> Doña Juana u</w:t>
      </w:r>
      <w:r w:rsidR="0046128F" w:rsidRPr="00073D09">
        <w:rPr>
          <w:lang w:val="es-CO"/>
        </w:rPr>
        <w:t>bicado en Bogotá</w:t>
      </w:r>
      <w:r w:rsidR="0025706A" w:rsidRPr="00073D09">
        <w:rPr>
          <w:lang w:val="es-CO"/>
        </w:rPr>
        <w:t>-</w:t>
      </w:r>
      <w:r w:rsidR="0046128F" w:rsidRPr="00073D09">
        <w:rPr>
          <w:lang w:val="es-CO"/>
        </w:rPr>
        <w:t xml:space="preserve"> Colombia, para lo cual se tuv</w:t>
      </w:r>
      <w:r w:rsidR="00D15303">
        <w:rPr>
          <w:lang w:val="es-CO"/>
        </w:rPr>
        <w:t>ieron</w:t>
      </w:r>
      <w:r w:rsidR="0046128F" w:rsidRPr="00073D09">
        <w:rPr>
          <w:lang w:val="es-CO"/>
        </w:rPr>
        <w:t xml:space="preserve"> en cuenta </w:t>
      </w:r>
      <w:r w:rsidR="005D3FA8" w:rsidRPr="00073D09">
        <w:rPr>
          <w:lang w:val="es-CO"/>
        </w:rPr>
        <w:t xml:space="preserve">estudios análogos y de soporte tomados de bases de </w:t>
      </w:r>
      <w:r w:rsidR="005D3FA8" w:rsidRPr="00073D09">
        <w:rPr>
          <w:lang w:val="es-CO"/>
        </w:rPr>
        <w:lastRenderedPageBreak/>
        <w:t xml:space="preserve">datos </w:t>
      </w:r>
      <w:r w:rsidR="0008686A" w:rsidRPr="00073D09">
        <w:rPr>
          <w:lang w:val="es-CO"/>
        </w:rPr>
        <w:t xml:space="preserve">como </w:t>
      </w:r>
      <w:proofErr w:type="spellStart"/>
      <w:r w:rsidR="0008686A" w:rsidRPr="00073D09">
        <w:rPr>
          <w:lang w:val="es-CO"/>
        </w:rPr>
        <w:t>Ambientalex</w:t>
      </w:r>
      <w:proofErr w:type="spellEnd"/>
      <w:r w:rsidR="0018054D" w:rsidRPr="00073D09">
        <w:rPr>
          <w:lang w:val="es-CO"/>
        </w:rPr>
        <w:t xml:space="preserve">, </w:t>
      </w:r>
      <w:proofErr w:type="spellStart"/>
      <w:r w:rsidR="0018054D" w:rsidRPr="00073D09">
        <w:rPr>
          <w:lang w:val="es-CO"/>
        </w:rPr>
        <w:t>Science</w:t>
      </w:r>
      <w:proofErr w:type="spellEnd"/>
      <w:r w:rsidR="0018054D" w:rsidRPr="00073D09">
        <w:rPr>
          <w:lang w:val="es-CO"/>
        </w:rPr>
        <w:t xml:space="preserve"> Direct, </w:t>
      </w:r>
      <w:proofErr w:type="spellStart"/>
      <w:r w:rsidR="0018054D" w:rsidRPr="00073D09">
        <w:rPr>
          <w:lang w:val="es-CO"/>
        </w:rPr>
        <w:t>Scopus</w:t>
      </w:r>
      <w:proofErr w:type="spellEnd"/>
      <w:r w:rsidR="0018054D" w:rsidRPr="00073D09">
        <w:rPr>
          <w:lang w:val="es-CO"/>
        </w:rPr>
        <w:t xml:space="preserve">, Web </w:t>
      </w:r>
      <w:proofErr w:type="spellStart"/>
      <w:r w:rsidR="0018054D" w:rsidRPr="00073D09">
        <w:rPr>
          <w:lang w:val="es-CO"/>
        </w:rPr>
        <w:t>of</w:t>
      </w:r>
      <w:proofErr w:type="spellEnd"/>
      <w:r w:rsidR="0018054D" w:rsidRPr="00073D09">
        <w:rPr>
          <w:lang w:val="es-CO"/>
        </w:rPr>
        <w:t xml:space="preserve"> </w:t>
      </w:r>
      <w:proofErr w:type="spellStart"/>
      <w:r w:rsidR="0018054D" w:rsidRPr="00073D09">
        <w:rPr>
          <w:lang w:val="es-CO"/>
        </w:rPr>
        <w:t>Science</w:t>
      </w:r>
      <w:proofErr w:type="spellEnd"/>
      <w:r w:rsidR="0018054D" w:rsidRPr="00073D09">
        <w:rPr>
          <w:lang w:val="es-CO"/>
        </w:rPr>
        <w:t xml:space="preserve"> y </w:t>
      </w:r>
      <w:r w:rsidRPr="00073D09">
        <w:rPr>
          <w:lang w:val="es-CO"/>
        </w:rPr>
        <w:t>EBSCO</w:t>
      </w:r>
      <w:r w:rsidR="00D15303">
        <w:rPr>
          <w:lang w:val="es-CO"/>
        </w:rPr>
        <w:t>,</w:t>
      </w:r>
      <w:r w:rsidR="00B1337E" w:rsidRPr="00073D09">
        <w:rPr>
          <w:lang w:val="es-CO"/>
        </w:rPr>
        <w:t xml:space="preserve"> entre otras</w:t>
      </w:r>
      <w:r w:rsidR="006461C2" w:rsidRPr="00073D09">
        <w:rPr>
          <w:lang w:val="es-CO"/>
        </w:rPr>
        <w:t>. S</w:t>
      </w:r>
      <w:r w:rsidRPr="00073D09">
        <w:rPr>
          <w:lang w:val="es-CO"/>
        </w:rPr>
        <w:t>e</w:t>
      </w:r>
      <w:r w:rsidR="005D3FA8" w:rsidRPr="00073D09">
        <w:rPr>
          <w:lang w:val="es-CO"/>
        </w:rPr>
        <w:t xml:space="preserve"> </w:t>
      </w:r>
      <w:r w:rsidRPr="00073D09">
        <w:rPr>
          <w:lang w:val="es-CO"/>
        </w:rPr>
        <w:t>tom</w:t>
      </w:r>
      <w:r w:rsidR="00D15303">
        <w:rPr>
          <w:lang w:val="es-CO"/>
        </w:rPr>
        <w:t>aron,</w:t>
      </w:r>
      <w:r w:rsidRPr="00073D09">
        <w:rPr>
          <w:lang w:val="es-CO"/>
        </w:rPr>
        <w:t xml:space="preserve"> como referencia</w:t>
      </w:r>
      <w:r w:rsidR="00D15303">
        <w:rPr>
          <w:lang w:val="es-CO"/>
        </w:rPr>
        <w:t>,</w:t>
      </w:r>
      <w:r w:rsidRPr="00073D09">
        <w:rPr>
          <w:lang w:val="es-CO"/>
        </w:rPr>
        <w:t xml:space="preserve"> las</w:t>
      </w:r>
      <w:r w:rsidR="005D3FA8" w:rsidRPr="00073D09">
        <w:rPr>
          <w:lang w:val="es-CO"/>
        </w:rPr>
        <w:t xml:space="preserve"> </w:t>
      </w:r>
      <w:r w:rsidR="0018054D" w:rsidRPr="00073D09">
        <w:rPr>
          <w:lang w:val="es-CO"/>
        </w:rPr>
        <w:t>resoluciones emitid</w:t>
      </w:r>
      <w:r w:rsidR="005D3FA8" w:rsidRPr="00073D09">
        <w:rPr>
          <w:lang w:val="es-CO"/>
        </w:rPr>
        <w:t xml:space="preserve">as por la alcaldía de Bogotá </w:t>
      </w:r>
      <w:r w:rsidR="0018054D" w:rsidRPr="00073D09">
        <w:rPr>
          <w:lang w:val="es-CO"/>
        </w:rPr>
        <w:t>respecto al contexto general del relleno</w:t>
      </w:r>
      <w:r w:rsidR="00D15303">
        <w:rPr>
          <w:lang w:val="es-CO"/>
        </w:rPr>
        <w:t>;</w:t>
      </w:r>
      <w:r w:rsidR="00D55E15" w:rsidRPr="00073D09">
        <w:rPr>
          <w:lang w:val="es-CO"/>
        </w:rPr>
        <w:t xml:space="preserve"> </w:t>
      </w:r>
      <w:r w:rsidR="00182244" w:rsidRPr="00073D09">
        <w:rPr>
          <w:lang w:val="es-CO"/>
        </w:rPr>
        <w:t>p</w:t>
      </w:r>
      <w:r w:rsidR="00D55E15" w:rsidRPr="00073D09">
        <w:rPr>
          <w:lang w:val="es-CO"/>
        </w:rPr>
        <w:t>ara obtener</w:t>
      </w:r>
      <w:r w:rsidR="00A71BE0" w:rsidRPr="00073D09">
        <w:rPr>
          <w:lang w:val="es-CO"/>
        </w:rPr>
        <w:t xml:space="preserve"> las tasas de generación de CH</w:t>
      </w:r>
      <w:r w:rsidR="00A71BE0" w:rsidRPr="00073D09">
        <w:rPr>
          <w:vertAlign w:val="subscript"/>
          <w:lang w:val="es-CO"/>
        </w:rPr>
        <w:t>4</w:t>
      </w:r>
      <w:r w:rsidR="00A71BE0" w:rsidRPr="00073D09">
        <w:rPr>
          <w:lang w:val="es-CO"/>
        </w:rPr>
        <w:t xml:space="preserve">, </w:t>
      </w:r>
      <w:r w:rsidR="00D55E15" w:rsidRPr="00073D09">
        <w:rPr>
          <w:lang w:val="es-CO"/>
        </w:rPr>
        <w:t>CO</w:t>
      </w:r>
      <w:r w:rsidR="00D55E15" w:rsidRPr="00073D09">
        <w:rPr>
          <w:vertAlign w:val="subscript"/>
          <w:lang w:val="es-CO"/>
        </w:rPr>
        <w:t>2</w:t>
      </w:r>
      <w:r w:rsidR="00D55E15" w:rsidRPr="00073D09">
        <w:rPr>
          <w:lang w:val="es-CO"/>
        </w:rPr>
        <w:t xml:space="preserve"> y</w:t>
      </w:r>
      <w:r w:rsidR="00A71BE0" w:rsidRPr="00073D09">
        <w:rPr>
          <w:lang w:val="es-CO"/>
        </w:rPr>
        <w:t xml:space="preserve"> NMOC</w:t>
      </w:r>
      <w:r w:rsidR="007363E8" w:rsidRPr="00073D09">
        <w:rPr>
          <w:lang w:val="es-CO"/>
        </w:rPr>
        <w:t xml:space="preserve"> se </w:t>
      </w:r>
      <w:r w:rsidR="00D55E15" w:rsidRPr="00073D09">
        <w:rPr>
          <w:lang w:val="es-CO"/>
        </w:rPr>
        <w:t>utilizó</w:t>
      </w:r>
      <w:r w:rsidR="00A71BE0" w:rsidRPr="00073D09">
        <w:rPr>
          <w:lang w:val="es-CO"/>
        </w:rPr>
        <w:t xml:space="preserve"> </w:t>
      </w:r>
      <w:r w:rsidR="007363E8" w:rsidRPr="00073D09">
        <w:rPr>
          <w:lang w:val="es-CO"/>
        </w:rPr>
        <w:t>el software</w:t>
      </w:r>
      <w:r w:rsidR="00A71BE0" w:rsidRPr="00073D09">
        <w:rPr>
          <w:lang w:val="es-CO"/>
        </w:rPr>
        <w:t xml:space="preserve"> </w:t>
      </w:r>
      <w:proofErr w:type="spellStart"/>
      <w:r w:rsidR="007363E8" w:rsidRPr="00073D09">
        <w:rPr>
          <w:lang w:val="es-CO"/>
        </w:rPr>
        <w:t>Landfill</w:t>
      </w:r>
      <w:proofErr w:type="spellEnd"/>
      <w:r w:rsidR="007363E8" w:rsidRPr="00073D09">
        <w:rPr>
          <w:lang w:val="es-CO"/>
        </w:rPr>
        <w:t xml:space="preserve"> Ga</w:t>
      </w:r>
      <w:r w:rsidR="00F1365D" w:rsidRPr="00073D09">
        <w:rPr>
          <w:lang w:val="es-CO"/>
        </w:rPr>
        <w:t xml:space="preserve">s </w:t>
      </w:r>
      <w:proofErr w:type="spellStart"/>
      <w:r w:rsidR="00F1365D" w:rsidRPr="00073D09">
        <w:rPr>
          <w:lang w:val="es-CO"/>
        </w:rPr>
        <w:t>Emissions</w:t>
      </w:r>
      <w:proofErr w:type="spellEnd"/>
      <w:r w:rsidR="00F1365D" w:rsidRPr="00073D09">
        <w:rPr>
          <w:lang w:val="es-CO"/>
        </w:rPr>
        <w:t xml:space="preserve"> </w:t>
      </w:r>
      <w:proofErr w:type="spellStart"/>
      <w:r w:rsidR="00F1365D" w:rsidRPr="00073D09">
        <w:rPr>
          <w:lang w:val="es-CO"/>
        </w:rPr>
        <w:t>Model</w:t>
      </w:r>
      <w:proofErr w:type="spellEnd"/>
      <w:r w:rsidR="00F1365D" w:rsidRPr="00073D09">
        <w:rPr>
          <w:lang w:val="es-CO"/>
        </w:rPr>
        <w:t xml:space="preserve"> versión 3.02 –</w:t>
      </w:r>
      <w:proofErr w:type="spellStart"/>
      <w:r w:rsidR="00A71BE0" w:rsidRPr="00073D09">
        <w:rPr>
          <w:lang w:val="es-CO"/>
        </w:rPr>
        <w:t>LandGEM</w:t>
      </w:r>
      <w:proofErr w:type="spellEnd"/>
      <w:r w:rsidR="00F1365D" w:rsidRPr="00073D09">
        <w:rPr>
          <w:lang w:val="es-CO"/>
        </w:rPr>
        <w:t>-</w:t>
      </w:r>
      <w:r w:rsidR="007363E8" w:rsidRPr="00073D09">
        <w:rPr>
          <w:lang w:val="es-CO"/>
        </w:rPr>
        <w:t xml:space="preserve">. </w:t>
      </w:r>
      <w:r w:rsidR="00D55E15" w:rsidRPr="00073D09">
        <w:rPr>
          <w:lang w:val="es-CO"/>
        </w:rPr>
        <w:t>El diseño metodológico se desarrolló en tres fases o etapas de investigación que son</w:t>
      </w:r>
      <w:r w:rsidR="00A71BE0" w:rsidRPr="00073D09">
        <w:rPr>
          <w:lang w:val="es-CO"/>
        </w:rPr>
        <w:t xml:space="preserve">: </w:t>
      </w:r>
      <w:r w:rsidR="00E90938" w:rsidRPr="00073D09">
        <w:rPr>
          <w:lang w:val="es-CO"/>
        </w:rPr>
        <w:t>O</w:t>
      </w:r>
      <w:r w:rsidR="00C06B5B">
        <w:rPr>
          <w:lang w:val="es-CO"/>
        </w:rPr>
        <w:t>b</w:t>
      </w:r>
      <w:r w:rsidR="00E90938" w:rsidRPr="00073D09">
        <w:rPr>
          <w:lang w:val="es-CO"/>
        </w:rPr>
        <w:t>tención y determinación de datos de entrada</w:t>
      </w:r>
      <w:r w:rsidR="00A71BE0" w:rsidRPr="00073D09">
        <w:rPr>
          <w:lang w:val="es-CO"/>
        </w:rPr>
        <w:t xml:space="preserve">, </w:t>
      </w:r>
      <w:r w:rsidR="00C06B5B">
        <w:rPr>
          <w:lang w:val="es-CO"/>
        </w:rPr>
        <w:t>s</w:t>
      </w:r>
      <w:r w:rsidR="000E1C7F" w:rsidRPr="00073D09">
        <w:rPr>
          <w:lang w:val="es-CO"/>
        </w:rPr>
        <w:t xml:space="preserve">imulación </w:t>
      </w:r>
      <w:r w:rsidR="00975E86" w:rsidRPr="00073D09">
        <w:rPr>
          <w:lang w:val="es-CO"/>
        </w:rPr>
        <w:t xml:space="preserve">e interpretación </w:t>
      </w:r>
      <w:r w:rsidR="000E1C7F" w:rsidRPr="00073D09">
        <w:rPr>
          <w:lang w:val="es-CO"/>
        </w:rPr>
        <w:t xml:space="preserve">en </w:t>
      </w:r>
      <w:proofErr w:type="spellStart"/>
      <w:r w:rsidR="000E1C7F" w:rsidRPr="00073D09">
        <w:rPr>
          <w:lang w:val="es-CO"/>
        </w:rPr>
        <w:t>LandGEM</w:t>
      </w:r>
      <w:proofErr w:type="spellEnd"/>
      <w:r w:rsidR="000E1C7F" w:rsidRPr="00073D09">
        <w:rPr>
          <w:lang w:val="es-CO"/>
        </w:rPr>
        <w:t xml:space="preserve"> </w:t>
      </w:r>
      <w:r w:rsidR="007363E8" w:rsidRPr="00073D09">
        <w:rPr>
          <w:lang w:val="es-CO"/>
        </w:rPr>
        <w:t xml:space="preserve">y </w:t>
      </w:r>
      <w:r w:rsidR="00C06B5B">
        <w:rPr>
          <w:lang w:val="es-CO"/>
        </w:rPr>
        <w:t>a</w:t>
      </w:r>
      <w:r w:rsidR="000F15EB" w:rsidRPr="00073D09">
        <w:rPr>
          <w:lang w:val="es-CO"/>
        </w:rPr>
        <w:t>nálisis</w:t>
      </w:r>
      <w:r w:rsidR="0025706A" w:rsidRPr="00073D09">
        <w:rPr>
          <w:lang w:val="es-CO"/>
        </w:rPr>
        <w:t xml:space="preserve"> y divulgación </w:t>
      </w:r>
      <w:r w:rsidR="000F15EB" w:rsidRPr="00073D09">
        <w:rPr>
          <w:lang w:val="es-CO"/>
        </w:rPr>
        <w:t xml:space="preserve">de </w:t>
      </w:r>
      <w:r w:rsidR="00682671" w:rsidRPr="00073D09">
        <w:rPr>
          <w:lang w:val="es-CO"/>
        </w:rPr>
        <w:t>resultados</w:t>
      </w:r>
      <w:r w:rsidR="000F15EB" w:rsidRPr="00073D09">
        <w:rPr>
          <w:lang w:val="es-CO"/>
        </w:rPr>
        <w:t>.</w:t>
      </w:r>
    </w:p>
    <w:p w14:paraId="0AE073EB" w14:textId="77777777" w:rsidR="00182244" w:rsidRPr="00073D09" w:rsidRDefault="00182244" w:rsidP="00D62000">
      <w:pPr>
        <w:spacing w:after="0"/>
        <w:jc w:val="both"/>
        <w:rPr>
          <w:lang w:val="es-CO"/>
        </w:rPr>
      </w:pPr>
    </w:p>
    <w:p w14:paraId="52B97802" w14:textId="7A0E666D" w:rsidR="00E90938" w:rsidRDefault="00D14E51" w:rsidP="00D62000">
      <w:pPr>
        <w:spacing w:after="0"/>
        <w:jc w:val="both"/>
        <w:rPr>
          <w:b/>
          <w:lang w:val="es-CO"/>
        </w:rPr>
      </w:pPr>
      <w:r w:rsidRPr="00073D09">
        <w:rPr>
          <w:b/>
          <w:lang w:val="es-CO"/>
        </w:rPr>
        <w:t>2.1</w:t>
      </w:r>
      <w:r w:rsidR="00E90938" w:rsidRPr="00073D09">
        <w:rPr>
          <w:b/>
          <w:lang w:val="es-CO"/>
        </w:rPr>
        <w:t xml:space="preserve"> Obtención y determinación de datos de entrada</w:t>
      </w:r>
    </w:p>
    <w:p w14:paraId="157C5737" w14:textId="77777777" w:rsidR="00D62000" w:rsidRPr="00073D09" w:rsidRDefault="00D62000" w:rsidP="00D62000">
      <w:pPr>
        <w:spacing w:after="0"/>
        <w:jc w:val="both"/>
        <w:rPr>
          <w:b/>
          <w:lang w:val="es-CO"/>
        </w:rPr>
      </w:pPr>
    </w:p>
    <w:p w14:paraId="27445E9D" w14:textId="7DC29A37" w:rsidR="00E90938" w:rsidRPr="00073D09" w:rsidRDefault="006461C2" w:rsidP="00D62000">
      <w:pPr>
        <w:spacing w:after="0"/>
        <w:jc w:val="both"/>
        <w:rPr>
          <w:lang w:val="es-CO"/>
        </w:rPr>
      </w:pPr>
      <w:r w:rsidRPr="00073D09">
        <w:rPr>
          <w:lang w:val="es-CO"/>
        </w:rPr>
        <w:t>S</w:t>
      </w:r>
      <w:r w:rsidR="00E90938" w:rsidRPr="00073D09">
        <w:rPr>
          <w:lang w:val="es-CO"/>
        </w:rPr>
        <w:t xml:space="preserve">e tuvieron en cuenta los registros oficiales publicados por el </w:t>
      </w:r>
      <w:r w:rsidRPr="00073D09">
        <w:rPr>
          <w:lang w:val="es-CO"/>
        </w:rPr>
        <w:t>o</w:t>
      </w:r>
      <w:r w:rsidR="00E90938" w:rsidRPr="00073D09">
        <w:rPr>
          <w:lang w:val="es-CO"/>
        </w:rPr>
        <w:t xml:space="preserve">bservatorio </w:t>
      </w:r>
      <w:r w:rsidRPr="00073D09">
        <w:rPr>
          <w:lang w:val="es-CO"/>
        </w:rPr>
        <w:t>a</w:t>
      </w:r>
      <w:r w:rsidR="00E90938" w:rsidRPr="00073D09">
        <w:rPr>
          <w:lang w:val="es-CO"/>
        </w:rPr>
        <w:t>mbiental de Bogo</w:t>
      </w:r>
      <w:r w:rsidR="00DB702E" w:rsidRPr="00073D09">
        <w:rPr>
          <w:lang w:val="es-CO"/>
        </w:rPr>
        <w:t>tá</w:t>
      </w:r>
      <w:r w:rsidR="00D55E15" w:rsidRPr="00073D09">
        <w:rPr>
          <w:lang w:val="es-CO"/>
        </w:rPr>
        <w:t>,</w:t>
      </w:r>
      <w:r w:rsidR="00E90938" w:rsidRPr="00073D09">
        <w:rPr>
          <w:lang w:val="es-CO"/>
        </w:rPr>
        <w:t xml:space="preserve"> el cual tiene datos de disposición de </w:t>
      </w:r>
      <w:r w:rsidR="00D55E15" w:rsidRPr="00073D09">
        <w:rPr>
          <w:lang w:val="es-CO"/>
        </w:rPr>
        <w:t>r</w:t>
      </w:r>
      <w:r w:rsidR="00E90938" w:rsidRPr="00073D09">
        <w:rPr>
          <w:lang w:val="es-CO"/>
        </w:rPr>
        <w:t xml:space="preserve">esiduos al </w:t>
      </w:r>
      <w:r w:rsidR="00D55E15" w:rsidRPr="00073D09">
        <w:rPr>
          <w:lang w:val="es-CO"/>
        </w:rPr>
        <w:t>r</w:t>
      </w:r>
      <w:r w:rsidR="00E90938" w:rsidRPr="00073D09">
        <w:rPr>
          <w:lang w:val="es-CO"/>
        </w:rPr>
        <w:t xml:space="preserve">elleno </w:t>
      </w:r>
      <w:r w:rsidR="00D55E15" w:rsidRPr="00073D09">
        <w:rPr>
          <w:lang w:val="es-CO"/>
        </w:rPr>
        <w:t>s</w:t>
      </w:r>
      <w:r w:rsidR="00E90938" w:rsidRPr="00073D09">
        <w:rPr>
          <w:lang w:val="es-CO"/>
        </w:rPr>
        <w:t xml:space="preserve">anitario Doña Juana desde el 2002 hasta el 2018; cabe resaltar que el registro excluye los residuos sólidos de los municipios de Fosca, </w:t>
      </w:r>
      <w:r w:rsidR="00D55E15" w:rsidRPr="00073D09">
        <w:rPr>
          <w:lang w:val="es-CO"/>
        </w:rPr>
        <w:t>Cáqueza</w:t>
      </w:r>
      <w:r w:rsidR="00E90938" w:rsidRPr="00073D09">
        <w:rPr>
          <w:lang w:val="es-CO"/>
        </w:rPr>
        <w:t xml:space="preserve">, </w:t>
      </w:r>
      <w:r w:rsidR="00D55E15" w:rsidRPr="00073D09">
        <w:rPr>
          <w:lang w:val="es-CO"/>
        </w:rPr>
        <w:t>Choachí</w:t>
      </w:r>
      <w:r w:rsidR="00E90938" w:rsidRPr="00073D09">
        <w:rPr>
          <w:lang w:val="es-CO"/>
        </w:rPr>
        <w:t xml:space="preserve">, Chipaque, Une y Ubaque. Se </w:t>
      </w:r>
      <w:r w:rsidR="00E92B96" w:rsidRPr="00073D09">
        <w:rPr>
          <w:lang w:val="es-CO"/>
        </w:rPr>
        <w:t>analizaron</w:t>
      </w:r>
      <w:r w:rsidR="00E90938" w:rsidRPr="00073D09">
        <w:rPr>
          <w:lang w:val="es-CO"/>
        </w:rPr>
        <w:t xml:space="preserve"> estadística</w:t>
      </w:r>
      <w:r w:rsidR="00E92B96" w:rsidRPr="00073D09">
        <w:rPr>
          <w:lang w:val="es-CO"/>
        </w:rPr>
        <w:t>mente</w:t>
      </w:r>
      <w:r w:rsidR="00E90938" w:rsidRPr="00073D09">
        <w:rPr>
          <w:lang w:val="es-CO"/>
        </w:rPr>
        <w:t xml:space="preserve"> </w:t>
      </w:r>
      <w:r w:rsidR="00E92B96" w:rsidRPr="00073D09">
        <w:rPr>
          <w:lang w:val="es-CO"/>
        </w:rPr>
        <w:t>y</w:t>
      </w:r>
      <w:r w:rsidR="00C06B5B">
        <w:rPr>
          <w:lang w:val="es-CO"/>
        </w:rPr>
        <w:t>,</w:t>
      </w:r>
      <w:r w:rsidR="00E92B96" w:rsidRPr="00073D09">
        <w:rPr>
          <w:lang w:val="es-CO"/>
        </w:rPr>
        <w:t xml:space="preserve"> </w:t>
      </w:r>
      <w:r w:rsidR="00D55E15" w:rsidRPr="00073D09">
        <w:rPr>
          <w:lang w:val="es-CO"/>
        </w:rPr>
        <w:t>posteriormente</w:t>
      </w:r>
      <w:r w:rsidR="00C06B5B">
        <w:rPr>
          <w:lang w:val="es-CO"/>
        </w:rPr>
        <w:t>,</w:t>
      </w:r>
      <w:r w:rsidR="00D55E15" w:rsidRPr="00073D09">
        <w:rPr>
          <w:lang w:val="es-CO"/>
        </w:rPr>
        <w:t xml:space="preserve"> </w:t>
      </w:r>
      <w:r w:rsidR="00E90938" w:rsidRPr="00073D09">
        <w:rPr>
          <w:lang w:val="es-CO"/>
        </w:rPr>
        <w:t xml:space="preserve">se utilizó la prueba de </w:t>
      </w:r>
      <w:proofErr w:type="spellStart"/>
      <w:r w:rsidR="00E90938" w:rsidRPr="00073D09">
        <w:rPr>
          <w:lang w:val="es-CO"/>
        </w:rPr>
        <w:t>Grubbs</w:t>
      </w:r>
      <w:proofErr w:type="spellEnd"/>
      <w:r w:rsidR="00E90938" w:rsidRPr="00073D09">
        <w:rPr>
          <w:lang w:val="es-CO"/>
        </w:rPr>
        <w:t xml:space="preserve"> para la identificación de datos atípicos y se ajustó un modelo matemático mediante regresión lineal.</w:t>
      </w:r>
      <w:r w:rsidR="00D55E15" w:rsidRPr="00073D09">
        <w:rPr>
          <w:lang w:val="es-CO"/>
        </w:rPr>
        <w:t xml:space="preserve"> </w:t>
      </w:r>
      <w:r w:rsidR="00E90938" w:rsidRPr="00073D09">
        <w:rPr>
          <w:lang w:val="es-CO"/>
        </w:rPr>
        <w:t xml:space="preserve">En cuanto a los datos de entrada de propiedades intrínsecas del </w:t>
      </w:r>
      <w:r w:rsidR="003535BB" w:rsidRPr="00073D09">
        <w:rPr>
          <w:lang w:val="es-CO"/>
        </w:rPr>
        <w:t>r</w:t>
      </w:r>
      <w:r w:rsidR="00E90938" w:rsidRPr="00073D09">
        <w:rPr>
          <w:lang w:val="es-CO"/>
        </w:rPr>
        <w:t>elleno</w:t>
      </w:r>
      <w:r w:rsidR="003535BB" w:rsidRPr="00073D09">
        <w:rPr>
          <w:lang w:val="es-CO"/>
        </w:rPr>
        <w:t xml:space="preserve"> en</w:t>
      </w:r>
      <w:r w:rsidR="00E90938" w:rsidRPr="00073D09">
        <w:rPr>
          <w:lang w:val="es-CO"/>
        </w:rPr>
        <w:t xml:space="preserve"> la interfaz de </w:t>
      </w:r>
      <w:proofErr w:type="spellStart"/>
      <w:r w:rsidR="00E90938" w:rsidRPr="00073D09">
        <w:rPr>
          <w:lang w:val="es-CO"/>
        </w:rPr>
        <w:t>LandGEM</w:t>
      </w:r>
      <w:proofErr w:type="spellEnd"/>
      <w:r w:rsidR="003535BB" w:rsidRPr="00073D09">
        <w:rPr>
          <w:lang w:val="es-CO"/>
        </w:rPr>
        <w:t>,</w:t>
      </w:r>
      <w:r w:rsidR="00E90938" w:rsidRPr="00073D09">
        <w:rPr>
          <w:lang w:val="es-CO"/>
        </w:rPr>
        <w:t xml:space="preserve"> se tuvieron en cuenta los informes, evaluaciones y monitoreo</w:t>
      </w:r>
      <w:r w:rsidRPr="00073D09">
        <w:rPr>
          <w:lang w:val="es-CO"/>
        </w:rPr>
        <w:t xml:space="preserve"> para establecer</w:t>
      </w:r>
      <w:r w:rsidR="00E90938" w:rsidRPr="00073D09">
        <w:rPr>
          <w:lang w:val="es-CO"/>
        </w:rPr>
        <w:t xml:space="preserve">: </w:t>
      </w:r>
      <w:r w:rsidR="00182244" w:rsidRPr="00073D09">
        <w:rPr>
          <w:lang w:val="es-CO"/>
        </w:rPr>
        <w:t>t</w:t>
      </w:r>
      <w:r w:rsidR="00E90938" w:rsidRPr="00073D09">
        <w:rPr>
          <w:lang w:val="es-CO"/>
        </w:rPr>
        <w:t xml:space="preserve">ipo de relleno sanitario convencional mediante </w:t>
      </w:r>
      <w:proofErr w:type="spellStart"/>
      <w:r w:rsidR="003535BB" w:rsidRPr="00073D09">
        <w:rPr>
          <w:lang w:val="es-CO"/>
        </w:rPr>
        <w:t>Clean</w:t>
      </w:r>
      <w:proofErr w:type="spellEnd"/>
      <w:r w:rsidR="003535BB" w:rsidRPr="00073D09">
        <w:rPr>
          <w:lang w:val="es-CO"/>
        </w:rPr>
        <w:t xml:space="preserve"> Air </w:t>
      </w:r>
      <w:proofErr w:type="spellStart"/>
      <w:r w:rsidR="003535BB" w:rsidRPr="00073D09">
        <w:rPr>
          <w:lang w:val="es-CO"/>
        </w:rPr>
        <w:t>Act</w:t>
      </w:r>
      <w:proofErr w:type="spellEnd"/>
      <w:r w:rsidR="003535BB" w:rsidRPr="00073D09">
        <w:rPr>
          <w:lang w:val="es-CO"/>
        </w:rPr>
        <w:t xml:space="preserve"> –CAA-.</w:t>
      </w:r>
      <w:r w:rsidR="00E90938" w:rsidRPr="00073D09">
        <w:rPr>
          <w:lang w:val="es-CO"/>
        </w:rPr>
        <w:t xml:space="preserve"> Así mismo, se realizó el análisis de generación de emisiones de </w:t>
      </w:r>
      <w:r w:rsidR="00163304">
        <w:rPr>
          <w:lang w:val="es-CO"/>
        </w:rPr>
        <w:t>m</w:t>
      </w:r>
      <w:r w:rsidR="00E90938" w:rsidRPr="00073D09">
        <w:rPr>
          <w:lang w:val="es-CO"/>
        </w:rPr>
        <w:t xml:space="preserve">etano, </w:t>
      </w:r>
      <w:proofErr w:type="spellStart"/>
      <w:r w:rsidR="00E90938" w:rsidRPr="00073D09">
        <w:rPr>
          <w:lang w:val="es-CO"/>
        </w:rPr>
        <w:t>i</w:t>
      </w:r>
      <w:r w:rsidR="00163304">
        <w:rPr>
          <w:lang w:val="es-CO"/>
        </w:rPr>
        <w:t>d</w:t>
      </w:r>
      <w:r w:rsidR="00E90938" w:rsidRPr="00073D09">
        <w:rPr>
          <w:lang w:val="es-CO"/>
        </w:rPr>
        <w:t>óxido</w:t>
      </w:r>
      <w:proofErr w:type="spellEnd"/>
      <w:r w:rsidR="00E90938" w:rsidRPr="00073D09">
        <w:rPr>
          <w:lang w:val="es-CO"/>
        </w:rPr>
        <w:t xml:space="preserve"> de </w:t>
      </w:r>
      <w:r w:rsidR="00163304">
        <w:rPr>
          <w:lang w:val="es-CO"/>
        </w:rPr>
        <w:t>c</w:t>
      </w:r>
      <w:r w:rsidR="00E90938" w:rsidRPr="00073D09">
        <w:rPr>
          <w:lang w:val="es-CO"/>
        </w:rPr>
        <w:t xml:space="preserve">arbono y NMOC de los tres años de clausura 2022, 2040 y 2070 del relleno </w:t>
      </w:r>
      <w:r w:rsidR="003535BB" w:rsidRPr="00073D09">
        <w:rPr>
          <w:lang w:val="es-CO"/>
        </w:rPr>
        <w:t xml:space="preserve">de </w:t>
      </w:r>
      <w:r w:rsidR="00E90938" w:rsidRPr="00073D09">
        <w:rPr>
          <w:lang w:val="es-CO"/>
        </w:rPr>
        <w:t>Doña Juana establecidos por la resolución 1484 de 2018.</w:t>
      </w:r>
    </w:p>
    <w:p w14:paraId="351AA2D4" w14:textId="77777777" w:rsidR="002936CA" w:rsidRPr="00073D09" w:rsidRDefault="002936CA" w:rsidP="00D62000">
      <w:pPr>
        <w:spacing w:after="0"/>
        <w:jc w:val="both"/>
        <w:rPr>
          <w:lang w:val="es-CO"/>
        </w:rPr>
      </w:pPr>
    </w:p>
    <w:p w14:paraId="49EEC75F" w14:textId="5E2A96F2" w:rsidR="00E90938" w:rsidRDefault="002936CA" w:rsidP="00D62000">
      <w:pPr>
        <w:pStyle w:val="Prrafodelista"/>
        <w:numPr>
          <w:ilvl w:val="1"/>
          <w:numId w:val="10"/>
        </w:numPr>
        <w:spacing w:after="0"/>
        <w:jc w:val="both"/>
        <w:rPr>
          <w:b/>
          <w:lang w:val="es-CO"/>
        </w:rPr>
      </w:pPr>
      <w:r w:rsidRPr="00073D09">
        <w:rPr>
          <w:b/>
          <w:lang w:val="es-CO"/>
        </w:rPr>
        <w:t>S</w:t>
      </w:r>
      <w:r w:rsidR="002373A8" w:rsidRPr="00073D09">
        <w:rPr>
          <w:b/>
          <w:lang w:val="es-CO"/>
        </w:rPr>
        <w:t xml:space="preserve">imulación </w:t>
      </w:r>
      <w:r w:rsidR="00975E86" w:rsidRPr="00073D09">
        <w:rPr>
          <w:b/>
          <w:lang w:val="es-CO"/>
        </w:rPr>
        <w:t xml:space="preserve">e interpretación </w:t>
      </w:r>
      <w:r w:rsidR="002373A8" w:rsidRPr="00073D09">
        <w:rPr>
          <w:b/>
          <w:lang w:val="es-CO"/>
        </w:rPr>
        <w:t xml:space="preserve">en </w:t>
      </w:r>
      <w:proofErr w:type="spellStart"/>
      <w:r w:rsidR="002373A8" w:rsidRPr="00073D09">
        <w:rPr>
          <w:b/>
          <w:lang w:val="es-CO"/>
        </w:rPr>
        <w:t>LandGEM</w:t>
      </w:r>
      <w:proofErr w:type="spellEnd"/>
      <w:r w:rsidR="00682671" w:rsidRPr="00073D09">
        <w:rPr>
          <w:b/>
          <w:lang w:val="es-CO"/>
        </w:rPr>
        <w:t xml:space="preserve"> </w:t>
      </w:r>
    </w:p>
    <w:p w14:paraId="22EDA412" w14:textId="77777777" w:rsidR="00D62000" w:rsidRPr="00073D09" w:rsidRDefault="00D62000" w:rsidP="00D62000">
      <w:pPr>
        <w:pStyle w:val="Prrafodelista"/>
        <w:spacing w:after="0"/>
        <w:ind w:left="360"/>
        <w:jc w:val="both"/>
        <w:rPr>
          <w:b/>
          <w:lang w:val="es-CO"/>
        </w:rPr>
      </w:pPr>
    </w:p>
    <w:p w14:paraId="5C54B0D6" w14:textId="6920255F" w:rsidR="00A71BE0" w:rsidRPr="00073D09" w:rsidRDefault="002936CA" w:rsidP="00D62000">
      <w:pPr>
        <w:spacing w:after="0"/>
        <w:jc w:val="both"/>
        <w:rPr>
          <w:lang w:val="es-CO"/>
        </w:rPr>
      </w:pPr>
      <w:r w:rsidRPr="00073D09">
        <w:rPr>
          <w:lang w:val="es-CO"/>
        </w:rPr>
        <w:t xml:space="preserve">Siguiendo a </w:t>
      </w:r>
      <w:r w:rsidR="00EE4661" w:rsidRPr="00D62000">
        <w:rPr>
          <w:color w:val="0070C0"/>
          <w:lang w:val="es-CO"/>
        </w:rPr>
        <w:fldChar w:fldCharType="begin" w:fldLock="1"/>
      </w:r>
      <w:r w:rsidR="006735CB" w:rsidRPr="00D62000">
        <w:rPr>
          <w:color w:val="0070C0"/>
          <w:lang w:val="es-CO"/>
        </w:rPr>
        <w:instrText>ADDIN CSL_CITATION {"citationItems":[{"id":"ITEM-1","itemData":{"author":[{"dropping-particle":"","family":"United States Environmental Protection Agency","given":"","non-dropping-particle":"","parse-names":false,"suffix":""}],"id":"ITEM-1","issued":{"date-parts":[["2005"]]},"title":"US EPA - Landfill Gas Emissions Model (LandGEM) Version 3.02 User’s Guide","type":"report"},"uris":["http://www.mendeley.com/documents/?uuid=284efe4c-3fe0-3874-b7a7-53ea2c03f1a0"]}],"mendeley":{"formattedCitation":"(United States Environmental Protection Agency, 2005)","manualFormatting":"United States Environmental Protection Agency (2005)","plainTextFormattedCitation":"(United States Environmental Protection Agency, 2005)","previouslyFormattedCitation":"(United States Environmental Protection Agency, 2005)"},"properties":{"noteIndex":0},"schema":"https://github.com/citation-style-language/schema/raw/master/csl-citation.json"}</w:instrText>
      </w:r>
      <w:r w:rsidR="00EE4661" w:rsidRPr="00D62000">
        <w:rPr>
          <w:color w:val="0070C0"/>
          <w:lang w:val="es-CO"/>
        </w:rPr>
        <w:fldChar w:fldCharType="separate"/>
      </w:r>
      <w:r w:rsidR="00EE4661" w:rsidRPr="003F21DD">
        <w:rPr>
          <w:noProof/>
          <w:lang w:val="es-CO"/>
        </w:rPr>
        <w:t xml:space="preserve"> </w:t>
      </w:r>
      <w:r w:rsidR="007E7B1F">
        <w:rPr>
          <w:noProof/>
          <w:color w:val="0070C0"/>
          <w:lang w:val="es-CO"/>
        </w:rPr>
        <w:t xml:space="preserve">U.S. </w:t>
      </w:r>
      <w:r w:rsidR="003F21DD">
        <w:rPr>
          <w:noProof/>
          <w:color w:val="0070C0"/>
          <w:lang w:val="es-CO"/>
        </w:rPr>
        <w:t>EPA</w:t>
      </w:r>
      <w:r w:rsidR="00163304">
        <w:rPr>
          <w:noProof/>
          <w:color w:val="0070C0"/>
          <w:lang w:val="es-CO"/>
        </w:rPr>
        <w:t xml:space="preserve"> (</w:t>
      </w:r>
      <w:r w:rsidR="00EE4661" w:rsidRPr="00D62000">
        <w:rPr>
          <w:noProof/>
          <w:color w:val="0070C0"/>
          <w:lang w:val="es-CO"/>
        </w:rPr>
        <w:t>2005)</w:t>
      </w:r>
      <w:r w:rsidR="00EE4661" w:rsidRPr="00D62000">
        <w:rPr>
          <w:color w:val="0070C0"/>
          <w:lang w:val="es-CO"/>
        </w:rPr>
        <w:fldChar w:fldCharType="end"/>
      </w:r>
      <w:r w:rsidR="00EE4661" w:rsidRPr="00073D09">
        <w:rPr>
          <w:lang w:val="es-CO"/>
        </w:rPr>
        <w:t xml:space="preserve">, </w:t>
      </w:r>
      <w:r w:rsidRPr="00073D09">
        <w:rPr>
          <w:lang w:val="es-CO"/>
        </w:rPr>
        <w:t>l</w:t>
      </w:r>
      <w:r w:rsidR="00A71BE0" w:rsidRPr="00073D09">
        <w:rPr>
          <w:lang w:val="es-CO"/>
        </w:rPr>
        <w:t xml:space="preserve">os modelos simulados por </w:t>
      </w:r>
      <w:proofErr w:type="spellStart"/>
      <w:r w:rsidR="00A71BE0" w:rsidRPr="00073D09">
        <w:rPr>
          <w:lang w:val="es-CO"/>
        </w:rPr>
        <w:t>LandGEM</w:t>
      </w:r>
      <w:proofErr w:type="spellEnd"/>
      <w:r w:rsidR="00A71BE0" w:rsidRPr="00073D09">
        <w:rPr>
          <w:lang w:val="es-CO"/>
        </w:rPr>
        <w:t xml:space="preserve"> utilizan valores prede</w:t>
      </w:r>
      <w:r w:rsidRPr="00073D09">
        <w:rPr>
          <w:lang w:val="es-CO"/>
        </w:rPr>
        <w:t>terminados de la</w:t>
      </w:r>
      <w:bookmarkStart w:id="9" w:name="_Hlk43033333"/>
      <w:r w:rsidRPr="00073D09">
        <w:rPr>
          <w:lang w:val="es-CO"/>
        </w:rPr>
        <w:t xml:space="preserve"> </w:t>
      </w:r>
      <w:r w:rsidR="00A71BE0" w:rsidRPr="00073D09">
        <w:rPr>
          <w:lang w:val="es-CO"/>
        </w:rPr>
        <w:t>CAA</w:t>
      </w:r>
      <w:bookmarkEnd w:id="9"/>
      <w:r w:rsidR="00A71BE0" w:rsidRPr="00073D09">
        <w:rPr>
          <w:lang w:val="es-CO"/>
        </w:rPr>
        <w:t xml:space="preserve">, los cuales están basados en la regulación federal para rellenos sanitarios, y ocupa factores de emisión de la </w:t>
      </w:r>
      <w:proofErr w:type="spellStart"/>
      <w:r w:rsidR="00A71BE0" w:rsidRPr="00073D09">
        <w:rPr>
          <w:lang w:val="es-CO"/>
        </w:rPr>
        <w:t>compilation</w:t>
      </w:r>
      <w:proofErr w:type="spellEnd"/>
      <w:r w:rsidR="00A71BE0" w:rsidRPr="00073D09">
        <w:rPr>
          <w:lang w:val="es-CO"/>
        </w:rPr>
        <w:t xml:space="preserve"> </w:t>
      </w:r>
      <w:proofErr w:type="spellStart"/>
      <w:r w:rsidR="00A71BE0" w:rsidRPr="00073D09">
        <w:rPr>
          <w:lang w:val="es-CO"/>
        </w:rPr>
        <w:t>of</w:t>
      </w:r>
      <w:proofErr w:type="spellEnd"/>
      <w:r w:rsidR="00A71BE0" w:rsidRPr="00073D09">
        <w:rPr>
          <w:lang w:val="es-CO"/>
        </w:rPr>
        <w:t xml:space="preserve"> Air </w:t>
      </w:r>
      <w:proofErr w:type="spellStart"/>
      <w:r w:rsidR="00A71BE0" w:rsidRPr="00073D09">
        <w:rPr>
          <w:lang w:val="es-CO"/>
        </w:rPr>
        <w:t>Poll</w:t>
      </w:r>
      <w:r w:rsidRPr="00073D09">
        <w:rPr>
          <w:lang w:val="es-CO"/>
        </w:rPr>
        <w:t>utant</w:t>
      </w:r>
      <w:proofErr w:type="spellEnd"/>
      <w:r w:rsidRPr="00073D09">
        <w:rPr>
          <w:lang w:val="es-CO"/>
        </w:rPr>
        <w:t xml:space="preserve"> </w:t>
      </w:r>
      <w:proofErr w:type="spellStart"/>
      <w:r w:rsidRPr="00073D09">
        <w:rPr>
          <w:lang w:val="es-CO"/>
        </w:rPr>
        <w:t>Emission</w:t>
      </w:r>
      <w:proofErr w:type="spellEnd"/>
      <w:r w:rsidRPr="00073D09">
        <w:rPr>
          <w:lang w:val="es-CO"/>
        </w:rPr>
        <w:t xml:space="preserve"> </w:t>
      </w:r>
      <w:proofErr w:type="spellStart"/>
      <w:r w:rsidRPr="00073D09">
        <w:rPr>
          <w:lang w:val="es-CO"/>
        </w:rPr>
        <w:t>Factors</w:t>
      </w:r>
      <w:proofErr w:type="spellEnd"/>
      <w:r w:rsidRPr="00073D09">
        <w:rPr>
          <w:lang w:val="es-CO"/>
        </w:rPr>
        <w:t xml:space="preserve"> -AP-42-</w:t>
      </w:r>
      <w:r w:rsidR="002373A8" w:rsidRPr="00073D09">
        <w:rPr>
          <w:lang w:val="es-CO"/>
        </w:rPr>
        <w:t xml:space="preserve">. </w:t>
      </w:r>
      <w:r w:rsidR="00A71BE0" w:rsidRPr="00073D09">
        <w:rPr>
          <w:lang w:val="es-CO"/>
        </w:rPr>
        <w:t xml:space="preserve">Para determinar la generación de metano </w:t>
      </w:r>
      <m:oMath>
        <m:sSub>
          <m:sSubPr>
            <m:ctrlPr>
              <w:rPr>
                <w:rFonts w:ascii="Cambria Math" w:hAnsi="Cambria Math"/>
                <w:bCs/>
                <w:i/>
                <w:lang w:val="es-CO"/>
              </w:rPr>
            </m:ctrlPr>
          </m:sSubPr>
          <m:e>
            <m:r>
              <w:rPr>
                <w:rFonts w:ascii="Cambria Math" w:hAnsi="Cambria Math"/>
                <w:lang w:val="es-CO"/>
              </w:rPr>
              <m:t>Q</m:t>
            </m:r>
          </m:e>
          <m:sub>
            <m:r>
              <w:rPr>
                <w:rFonts w:ascii="Cambria Math" w:hAnsi="Cambria Math"/>
                <w:lang w:val="es-CO"/>
              </w:rPr>
              <m:t>C</m:t>
            </m:r>
            <m:sSub>
              <m:sSubPr>
                <m:ctrlPr>
                  <w:rPr>
                    <w:rFonts w:ascii="Cambria Math" w:hAnsi="Cambria Math"/>
                    <w:bCs/>
                    <w:i/>
                    <w:lang w:val="es-CO"/>
                  </w:rPr>
                </m:ctrlPr>
              </m:sSubPr>
              <m:e>
                <m:r>
                  <w:rPr>
                    <w:rFonts w:ascii="Cambria Math" w:hAnsi="Cambria Math"/>
                    <w:lang w:val="es-CO"/>
                  </w:rPr>
                  <m:t>H</m:t>
                </m:r>
              </m:e>
              <m:sub>
                <m:r>
                  <w:rPr>
                    <w:rFonts w:ascii="Cambria Math" w:hAnsi="Cambria Math"/>
                    <w:lang w:val="es-CO"/>
                  </w:rPr>
                  <m:t>4</m:t>
                </m:r>
              </m:sub>
            </m:sSub>
          </m:sub>
        </m:sSub>
      </m:oMath>
      <w:r w:rsidR="00A71BE0" w:rsidRPr="00073D09">
        <w:rPr>
          <w:lang w:val="es-CO"/>
        </w:rPr>
        <w:t xml:space="preserve">, LandGEM se basa en la </w:t>
      </w:r>
      <w:r w:rsidR="003E0E6B" w:rsidRPr="00073D09">
        <w:rPr>
          <w:b/>
          <w:lang w:val="es-CO"/>
        </w:rPr>
        <w:t>E</w:t>
      </w:r>
      <w:r w:rsidR="00A71BE0" w:rsidRPr="00073D09">
        <w:rPr>
          <w:b/>
          <w:lang w:val="es-CO"/>
        </w:rPr>
        <w:t>cuación</w:t>
      </w:r>
      <w:r w:rsidR="003E0E6B" w:rsidRPr="00073D09">
        <w:rPr>
          <w:b/>
          <w:lang w:val="es-CO"/>
        </w:rPr>
        <w:t xml:space="preserve"> 1</w:t>
      </w:r>
      <w:r w:rsidR="00A71BE0" w:rsidRPr="00073D09">
        <w:rPr>
          <w:lang w:val="es-CO"/>
        </w:rPr>
        <w:t xml:space="preserve"> de primer orden de tasa de descomposición:</w:t>
      </w:r>
    </w:p>
    <w:p w14:paraId="63FB2040" w14:textId="77777777" w:rsidR="004C7648" w:rsidRPr="00073D09" w:rsidRDefault="004C7648" w:rsidP="00D62000">
      <w:pPr>
        <w:spacing w:after="0"/>
        <w:jc w:val="both"/>
        <w:rPr>
          <w:lang w:val="es-CO"/>
        </w:rPr>
      </w:pPr>
    </w:p>
    <w:p w14:paraId="173B26BB" w14:textId="263B8992" w:rsidR="002936CA" w:rsidRPr="00073D09" w:rsidRDefault="00D43B40" w:rsidP="00D62000">
      <w:pPr>
        <w:spacing w:after="0"/>
        <w:ind w:right="616"/>
        <w:rPr>
          <w:lang w:val="es-CO"/>
        </w:rPr>
      </w:pPr>
      <m:oMathPara>
        <m:oMathParaPr>
          <m:jc m:val="center"/>
        </m:oMathParaPr>
        <m:oMath>
          <m:sSub>
            <m:sSubPr>
              <m:ctrlPr>
                <w:rPr>
                  <w:rFonts w:ascii="Cambria Math" w:hAnsi="Cambria Math"/>
                  <w:bCs/>
                  <w:i/>
                  <w:lang w:val="es-CO"/>
                </w:rPr>
              </m:ctrlPr>
            </m:sSubPr>
            <m:e>
              <m:r>
                <w:rPr>
                  <w:rFonts w:ascii="Cambria Math" w:hAnsi="Cambria Math"/>
                  <w:lang w:val="es-CO"/>
                </w:rPr>
                <m:t>Q</m:t>
              </m:r>
            </m:e>
            <m:sub>
              <m:r>
                <w:rPr>
                  <w:rFonts w:ascii="Cambria Math" w:hAnsi="Cambria Math"/>
                  <w:lang w:val="es-CO"/>
                </w:rPr>
                <m:t>C</m:t>
              </m:r>
              <m:sSub>
                <m:sSubPr>
                  <m:ctrlPr>
                    <w:rPr>
                      <w:rFonts w:ascii="Cambria Math" w:hAnsi="Cambria Math"/>
                      <w:bCs/>
                      <w:i/>
                      <w:lang w:val="es-CO"/>
                    </w:rPr>
                  </m:ctrlPr>
                </m:sSubPr>
                <m:e>
                  <m:r>
                    <w:rPr>
                      <w:rFonts w:ascii="Cambria Math" w:hAnsi="Cambria Math"/>
                      <w:lang w:val="es-CO"/>
                    </w:rPr>
                    <m:t>H</m:t>
                  </m:r>
                </m:e>
                <m:sub>
                  <m:r>
                    <w:rPr>
                      <w:rFonts w:ascii="Cambria Math" w:hAnsi="Cambria Math"/>
                      <w:lang w:val="es-CO"/>
                    </w:rPr>
                    <m:t>4</m:t>
                  </m:r>
                </m:sub>
              </m:sSub>
            </m:sub>
          </m:sSub>
          <m:r>
            <w:rPr>
              <w:rFonts w:ascii="Cambria Math" w:hAnsi="Cambria Math"/>
              <w:lang w:val="es-CO"/>
            </w:rPr>
            <m:t>=</m:t>
          </m:r>
          <m:nary>
            <m:naryPr>
              <m:chr m:val="∑"/>
              <m:limLoc m:val="undOvr"/>
              <m:ctrlPr>
                <w:rPr>
                  <w:rFonts w:ascii="Cambria Math" w:hAnsi="Cambria Math"/>
                  <w:bCs/>
                  <w:i/>
                  <w:lang w:val="es-CO"/>
                </w:rPr>
              </m:ctrlPr>
            </m:naryPr>
            <m:sub>
              <m:r>
                <w:rPr>
                  <w:rFonts w:ascii="Cambria Math" w:hAnsi="Cambria Math"/>
                  <w:lang w:val="es-CO"/>
                </w:rPr>
                <m:t>i=1</m:t>
              </m:r>
            </m:sub>
            <m:sup>
              <m:r>
                <w:rPr>
                  <w:rFonts w:ascii="Cambria Math" w:hAnsi="Cambria Math"/>
                  <w:lang w:val="es-CO"/>
                </w:rPr>
                <m:t>n</m:t>
              </m:r>
            </m:sup>
            <m:e>
              <m:nary>
                <m:naryPr>
                  <m:chr m:val="∑"/>
                  <m:limLoc m:val="undOvr"/>
                  <m:ctrlPr>
                    <w:rPr>
                      <w:rFonts w:ascii="Cambria Math" w:hAnsi="Cambria Math"/>
                      <w:bCs/>
                      <w:i/>
                      <w:lang w:val="es-CO"/>
                    </w:rPr>
                  </m:ctrlPr>
                </m:naryPr>
                <m:sub>
                  <m:r>
                    <w:rPr>
                      <w:rFonts w:ascii="Cambria Math" w:hAnsi="Cambria Math"/>
                      <w:lang w:val="es-CO"/>
                    </w:rPr>
                    <m:t>j=0.1</m:t>
                  </m:r>
                </m:sub>
                <m:sup>
                  <m:r>
                    <w:rPr>
                      <w:rFonts w:ascii="Cambria Math" w:hAnsi="Cambria Math"/>
                      <w:lang w:val="es-CO"/>
                    </w:rPr>
                    <m:t>1</m:t>
                  </m:r>
                </m:sup>
                <m:e>
                  <m:r>
                    <w:rPr>
                      <w:rFonts w:ascii="Cambria Math" w:hAnsi="Cambria Math"/>
                      <w:lang w:val="es-CO"/>
                    </w:rPr>
                    <m:t>k</m:t>
                  </m:r>
                  <m:sSub>
                    <m:sSubPr>
                      <m:ctrlPr>
                        <w:rPr>
                          <w:rFonts w:ascii="Cambria Math" w:hAnsi="Cambria Math"/>
                          <w:bCs/>
                          <w:i/>
                          <w:lang w:val="es-CO"/>
                        </w:rPr>
                      </m:ctrlPr>
                    </m:sSubPr>
                    <m:e>
                      <m:r>
                        <w:rPr>
                          <w:rFonts w:ascii="Cambria Math" w:hAnsi="Cambria Math"/>
                          <w:lang w:val="es-CO"/>
                        </w:rPr>
                        <m:t>L</m:t>
                      </m:r>
                    </m:e>
                    <m:sub>
                      <m:r>
                        <w:rPr>
                          <w:rFonts w:ascii="Cambria Math" w:hAnsi="Cambria Math"/>
                          <w:lang w:val="es-CO"/>
                        </w:rPr>
                        <m:t>0</m:t>
                      </m:r>
                    </m:sub>
                  </m:sSub>
                  <m:d>
                    <m:dPr>
                      <m:ctrlPr>
                        <w:rPr>
                          <w:rFonts w:ascii="Cambria Math" w:hAnsi="Cambria Math"/>
                          <w:bCs/>
                          <w:i/>
                          <w:lang w:val="es-CO"/>
                        </w:rPr>
                      </m:ctrlPr>
                    </m:dPr>
                    <m:e>
                      <m:f>
                        <m:fPr>
                          <m:ctrlPr>
                            <w:rPr>
                              <w:rFonts w:ascii="Cambria Math" w:hAnsi="Cambria Math"/>
                              <w:bCs/>
                              <w:i/>
                              <w:lang w:val="es-CO"/>
                            </w:rPr>
                          </m:ctrlPr>
                        </m:fPr>
                        <m:num>
                          <m:sSub>
                            <m:sSubPr>
                              <m:ctrlPr>
                                <w:rPr>
                                  <w:rFonts w:ascii="Cambria Math" w:hAnsi="Cambria Math"/>
                                  <w:bCs/>
                                  <w:i/>
                                  <w:lang w:val="es-CO"/>
                                </w:rPr>
                              </m:ctrlPr>
                            </m:sSubPr>
                            <m:e>
                              <m:r>
                                <w:rPr>
                                  <w:rFonts w:ascii="Cambria Math" w:hAnsi="Cambria Math"/>
                                  <w:lang w:val="es-CO"/>
                                </w:rPr>
                                <m:t>M</m:t>
                              </m:r>
                            </m:e>
                            <m:sub>
                              <m:r>
                                <w:rPr>
                                  <w:rFonts w:ascii="Cambria Math" w:hAnsi="Cambria Math"/>
                                  <w:lang w:val="es-CO"/>
                                </w:rPr>
                                <m:t>i</m:t>
                              </m:r>
                            </m:sub>
                          </m:sSub>
                        </m:num>
                        <m:den>
                          <m:r>
                            <w:rPr>
                              <w:rFonts w:ascii="Cambria Math" w:hAnsi="Cambria Math"/>
                              <w:lang w:val="es-CO"/>
                            </w:rPr>
                            <m:t>10</m:t>
                          </m:r>
                        </m:den>
                      </m:f>
                    </m:e>
                  </m:d>
                  <m:sSup>
                    <m:sSupPr>
                      <m:ctrlPr>
                        <w:rPr>
                          <w:rFonts w:ascii="Cambria Math" w:hAnsi="Cambria Math"/>
                          <w:bCs/>
                          <w:i/>
                          <w:lang w:val="es-CO"/>
                        </w:rPr>
                      </m:ctrlPr>
                    </m:sSupPr>
                    <m:e>
                      <m:r>
                        <w:rPr>
                          <w:rFonts w:ascii="Cambria Math" w:hAnsi="Cambria Math"/>
                          <w:lang w:val="es-CO"/>
                        </w:rPr>
                        <m:t>e</m:t>
                      </m:r>
                    </m:e>
                    <m:sup>
                      <m:r>
                        <w:rPr>
                          <w:rFonts w:ascii="Cambria Math" w:hAnsi="Cambria Math"/>
                          <w:lang w:val="es-CO"/>
                        </w:rPr>
                        <m:t>-k</m:t>
                      </m:r>
                      <m:sSub>
                        <m:sSubPr>
                          <m:ctrlPr>
                            <w:rPr>
                              <w:rFonts w:ascii="Cambria Math" w:hAnsi="Cambria Math"/>
                              <w:bCs/>
                              <w:i/>
                              <w:lang w:val="es-CO"/>
                            </w:rPr>
                          </m:ctrlPr>
                        </m:sSubPr>
                        <m:e>
                          <m:r>
                            <w:rPr>
                              <w:rFonts w:ascii="Cambria Math" w:hAnsi="Cambria Math"/>
                              <w:lang w:val="es-CO"/>
                            </w:rPr>
                            <m:t>t</m:t>
                          </m:r>
                        </m:e>
                        <m:sub>
                          <m:r>
                            <w:rPr>
                              <w:rFonts w:ascii="Cambria Math" w:hAnsi="Cambria Math"/>
                              <w:lang w:val="es-CO"/>
                            </w:rPr>
                            <m:t>ij</m:t>
                          </m:r>
                        </m:sub>
                      </m:sSub>
                    </m:sup>
                  </m:sSup>
                </m:e>
              </m:nary>
            </m:e>
          </m:nary>
          <m:r>
            <w:rPr>
              <w:rFonts w:ascii="Cambria Math" w:hAnsi="Cambria Math"/>
              <w:lang w:val="es-CO"/>
            </w:rPr>
            <m:t xml:space="preserve">                              </m:t>
          </m:r>
          <m:r>
            <m:rPr>
              <m:sty m:val="p"/>
            </m:rPr>
            <w:rPr>
              <w:rFonts w:ascii="Cambria Math" w:hAnsi="Cambria Math"/>
              <w:lang w:val="es-CO"/>
            </w:rPr>
            <m:t>(</m:t>
          </m:r>
          <m:r>
            <m:rPr>
              <m:sty m:val="b"/>
            </m:rPr>
            <w:rPr>
              <w:rFonts w:ascii="Cambria Math" w:hAnsi="Cambria Math"/>
              <w:lang w:val="es-CO"/>
            </w:rPr>
            <m:t>E.1</m:t>
          </m:r>
          <m:r>
            <m:rPr>
              <m:sty m:val="p"/>
            </m:rPr>
            <w:rPr>
              <w:rFonts w:ascii="Cambria Math" w:hAnsi="Cambria Math"/>
              <w:lang w:val="es-CO"/>
            </w:rPr>
            <m:t>)</m:t>
          </m:r>
        </m:oMath>
      </m:oMathPara>
    </w:p>
    <w:p w14:paraId="34113475" w14:textId="77777777" w:rsidR="004C7648" w:rsidRPr="00073D09" w:rsidRDefault="004C7648" w:rsidP="00D62000">
      <w:pPr>
        <w:spacing w:after="0"/>
        <w:ind w:right="616"/>
        <w:rPr>
          <w:bCs/>
          <w:lang w:val="es-CO"/>
        </w:rPr>
      </w:pPr>
    </w:p>
    <w:p w14:paraId="799F567B" w14:textId="77777777" w:rsidR="00A71BE0" w:rsidRPr="00073D09" w:rsidRDefault="00A71BE0" w:rsidP="00D62000">
      <w:pPr>
        <w:spacing w:after="0"/>
        <w:jc w:val="both"/>
        <w:rPr>
          <w:lang w:val="es-CO"/>
        </w:rPr>
      </w:pPr>
      <w:r w:rsidRPr="00073D09">
        <w:rPr>
          <w:lang w:val="es-CO"/>
        </w:rPr>
        <w:t>Donde:</w:t>
      </w:r>
    </w:p>
    <w:p w14:paraId="70C59548" w14:textId="34A72664" w:rsidR="00A71BE0" w:rsidRPr="00073D09" w:rsidRDefault="00D43B40" w:rsidP="0015765F">
      <w:pPr>
        <w:spacing w:after="0"/>
        <w:ind w:left="630"/>
        <w:jc w:val="both"/>
        <w:rPr>
          <w:lang w:val="es-CO"/>
        </w:rPr>
      </w:pPr>
      <m:oMath>
        <m:sSub>
          <m:sSubPr>
            <m:ctrlPr>
              <w:rPr>
                <w:rFonts w:ascii="Cambria Math" w:hAnsi="Cambria Math"/>
                <w:bCs/>
                <w:i/>
                <w:lang w:val="es-CO"/>
              </w:rPr>
            </m:ctrlPr>
          </m:sSubPr>
          <m:e>
            <m:r>
              <w:rPr>
                <w:rFonts w:ascii="Cambria Math" w:hAnsi="Cambria Math"/>
                <w:lang w:val="es-CO"/>
              </w:rPr>
              <m:t>Q</m:t>
            </m:r>
          </m:e>
          <m:sub>
            <m:r>
              <w:rPr>
                <w:rFonts w:ascii="Cambria Math" w:hAnsi="Cambria Math"/>
                <w:lang w:val="es-CO"/>
              </w:rPr>
              <m:t>C</m:t>
            </m:r>
            <m:sSub>
              <m:sSubPr>
                <m:ctrlPr>
                  <w:rPr>
                    <w:rFonts w:ascii="Cambria Math" w:hAnsi="Cambria Math"/>
                    <w:bCs/>
                    <w:i/>
                    <w:lang w:val="es-CO"/>
                  </w:rPr>
                </m:ctrlPr>
              </m:sSubPr>
              <m:e>
                <m:r>
                  <w:rPr>
                    <w:rFonts w:ascii="Cambria Math" w:hAnsi="Cambria Math"/>
                    <w:lang w:val="es-CO"/>
                  </w:rPr>
                  <m:t>H</m:t>
                </m:r>
              </m:e>
              <m:sub>
                <m:r>
                  <w:rPr>
                    <w:rFonts w:ascii="Cambria Math" w:hAnsi="Cambria Math"/>
                    <w:lang w:val="es-CO"/>
                  </w:rPr>
                  <m:t>4</m:t>
                </m:r>
              </m:sub>
            </m:sSub>
          </m:sub>
        </m:sSub>
      </m:oMath>
      <w:r w:rsidR="00A71BE0" w:rsidRPr="00073D09">
        <w:rPr>
          <w:lang w:val="es-CO"/>
        </w:rPr>
        <w:t>= Generación anual de</w:t>
      </w:r>
      <w:r w:rsidR="002936CA" w:rsidRPr="00073D09">
        <w:rPr>
          <w:lang w:val="es-CO"/>
        </w:rPr>
        <w:t xml:space="preserve"> metano en el año de cálculo [m</w:t>
      </w:r>
      <w:r w:rsidR="00A71BE0" w:rsidRPr="00073D09">
        <w:rPr>
          <w:vertAlign w:val="superscript"/>
          <w:lang w:val="es-CO"/>
        </w:rPr>
        <w:t>3</w:t>
      </w:r>
      <w:r w:rsidR="00A71BE0" w:rsidRPr="00073D09">
        <w:rPr>
          <w:lang w:val="es-CO"/>
        </w:rPr>
        <w:t>/año]</w:t>
      </w:r>
    </w:p>
    <w:p w14:paraId="66FCDADF" w14:textId="29F4C8B2" w:rsidR="00A71BE0" w:rsidRPr="00073D09" w:rsidRDefault="002936CA" w:rsidP="0015765F">
      <w:pPr>
        <w:spacing w:after="0"/>
        <w:ind w:left="630"/>
        <w:jc w:val="both"/>
        <w:rPr>
          <w:lang w:val="es-CO"/>
        </w:rPr>
      </w:pPr>
      <m:oMath>
        <m:r>
          <w:rPr>
            <w:rFonts w:ascii="Cambria Math" w:hAnsi="Cambria Math"/>
            <w:lang w:val="es-CO"/>
          </w:rPr>
          <m:t>i</m:t>
        </m:r>
      </m:oMath>
      <w:r w:rsidR="00A71BE0" w:rsidRPr="00073D09">
        <w:rPr>
          <w:lang w:val="es-CO"/>
        </w:rPr>
        <w:t xml:space="preserve">=1 Incremento en años </w:t>
      </w:r>
    </w:p>
    <w:p w14:paraId="0D6596A0" w14:textId="50875E85" w:rsidR="00A71BE0" w:rsidRPr="00073D09" w:rsidRDefault="002936CA" w:rsidP="0015765F">
      <w:pPr>
        <w:spacing w:after="0"/>
        <w:ind w:left="630"/>
        <w:jc w:val="both"/>
        <w:rPr>
          <w:lang w:val="es-CO"/>
        </w:rPr>
      </w:pPr>
      <m:oMath>
        <m:r>
          <w:rPr>
            <w:rFonts w:ascii="Cambria Math" w:hAnsi="Cambria Math"/>
            <w:lang w:val="es-CO"/>
          </w:rPr>
          <m:t>n</m:t>
        </m:r>
      </m:oMath>
      <w:r w:rsidR="000E2B39" w:rsidRPr="00073D09">
        <w:rPr>
          <w:lang w:val="es-CO"/>
        </w:rPr>
        <w:t>= (</w:t>
      </w:r>
      <w:r w:rsidR="00A71BE0" w:rsidRPr="00073D09">
        <w:rPr>
          <w:lang w:val="es-CO"/>
        </w:rPr>
        <w:t>Año de cálculo)</w:t>
      </w:r>
      <w:r w:rsidR="000E2B39" w:rsidRPr="00073D09">
        <w:rPr>
          <w:lang w:val="es-CO"/>
        </w:rPr>
        <w:t>- (</w:t>
      </w:r>
      <w:r w:rsidR="00A71BE0" w:rsidRPr="00073D09">
        <w:rPr>
          <w:lang w:val="es-CO"/>
        </w:rPr>
        <w:t>Año inicial de ingreso de residuos)</w:t>
      </w:r>
    </w:p>
    <w:p w14:paraId="0D502409" w14:textId="0C3DAE8E" w:rsidR="00A71BE0" w:rsidRPr="00073D09" w:rsidRDefault="002936CA" w:rsidP="0015765F">
      <w:pPr>
        <w:spacing w:after="0"/>
        <w:ind w:left="630"/>
        <w:jc w:val="both"/>
        <w:rPr>
          <w:lang w:val="es-CO"/>
        </w:rPr>
      </w:pPr>
      <m:oMath>
        <m:r>
          <w:rPr>
            <w:rFonts w:ascii="Cambria Math" w:hAnsi="Cambria Math"/>
            <w:lang w:val="es-CO"/>
          </w:rPr>
          <m:t>j</m:t>
        </m:r>
      </m:oMath>
      <w:r w:rsidR="00A71BE0" w:rsidRPr="00073D09">
        <w:rPr>
          <w:lang w:val="es-CO"/>
        </w:rPr>
        <w:t>=0.1 Incremento de tiempo por año</w:t>
      </w:r>
    </w:p>
    <w:p w14:paraId="568331AE" w14:textId="7A7F2C40" w:rsidR="00A71BE0" w:rsidRPr="00073D09" w:rsidRDefault="002936CA" w:rsidP="0015765F">
      <w:pPr>
        <w:spacing w:after="0"/>
        <w:ind w:left="630"/>
        <w:jc w:val="both"/>
        <w:rPr>
          <w:lang w:val="es-CO"/>
        </w:rPr>
      </w:pPr>
      <m:oMath>
        <m:r>
          <w:rPr>
            <w:rFonts w:ascii="Cambria Math" w:hAnsi="Cambria Math"/>
            <w:lang w:val="es-CO"/>
          </w:rPr>
          <m:t>k</m:t>
        </m:r>
      </m:oMath>
      <w:r w:rsidR="00A71BE0" w:rsidRPr="00073D09">
        <w:rPr>
          <w:lang w:val="es-CO"/>
        </w:rPr>
        <w:t>= Ta</w:t>
      </w:r>
      <w:proofErr w:type="spellStart"/>
      <w:r w:rsidRPr="00073D09">
        <w:rPr>
          <w:lang w:val="es-CO"/>
        </w:rPr>
        <w:t>sa</w:t>
      </w:r>
      <w:proofErr w:type="spellEnd"/>
      <w:r w:rsidRPr="00073D09">
        <w:rPr>
          <w:lang w:val="es-CO"/>
        </w:rPr>
        <w:t xml:space="preserve"> de generación de metano [año</w:t>
      </w:r>
      <w:r w:rsidRPr="00073D09">
        <w:rPr>
          <w:vertAlign w:val="superscript"/>
          <w:lang w:val="es-CO"/>
        </w:rPr>
        <w:t>-1</w:t>
      </w:r>
      <w:r w:rsidRPr="00073D09">
        <w:rPr>
          <w:lang w:val="es-CO"/>
        </w:rPr>
        <w:t>]</w:t>
      </w:r>
    </w:p>
    <w:p w14:paraId="0215B3D6" w14:textId="30E7A857" w:rsidR="00A71BE0" w:rsidRPr="00073D09" w:rsidRDefault="00D43B40" w:rsidP="0015765F">
      <w:pPr>
        <w:spacing w:after="0"/>
        <w:ind w:left="630"/>
        <w:jc w:val="both"/>
        <w:rPr>
          <w:lang w:val="es-CO"/>
        </w:rPr>
      </w:pPr>
      <m:oMath>
        <m:sSub>
          <m:sSubPr>
            <m:ctrlPr>
              <w:rPr>
                <w:rFonts w:ascii="Cambria Math" w:hAnsi="Cambria Math"/>
                <w:bCs/>
                <w:i/>
                <w:lang w:val="es-CO"/>
              </w:rPr>
            </m:ctrlPr>
          </m:sSubPr>
          <m:e>
            <m:r>
              <w:rPr>
                <w:rFonts w:ascii="Cambria Math" w:hAnsi="Cambria Math"/>
                <w:lang w:val="es-CO"/>
              </w:rPr>
              <m:t>L</m:t>
            </m:r>
          </m:e>
          <m:sub>
            <m:r>
              <w:rPr>
                <w:rFonts w:ascii="Cambria Math" w:hAnsi="Cambria Math"/>
                <w:lang w:val="es-CO"/>
              </w:rPr>
              <m:t>0</m:t>
            </m:r>
          </m:sub>
        </m:sSub>
      </m:oMath>
      <w:r w:rsidR="00A71BE0" w:rsidRPr="00073D09">
        <w:rPr>
          <w:lang w:val="es-CO"/>
        </w:rPr>
        <w:t>= Capacidad poten</w:t>
      </w:r>
      <w:r w:rsidR="002936CA" w:rsidRPr="00073D09">
        <w:rPr>
          <w:lang w:val="es-CO"/>
        </w:rPr>
        <w:t>cial de generación de metano [m</w:t>
      </w:r>
      <w:r w:rsidR="00A71BE0" w:rsidRPr="00073D09">
        <w:rPr>
          <w:vertAlign w:val="superscript"/>
          <w:lang w:val="es-CO"/>
        </w:rPr>
        <w:t>3</w:t>
      </w:r>
      <w:r w:rsidR="00A71BE0" w:rsidRPr="00073D09">
        <w:rPr>
          <w:lang w:val="es-CO"/>
        </w:rPr>
        <w:t>/Mg]</w:t>
      </w:r>
    </w:p>
    <w:p w14:paraId="15A0C122" w14:textId="368EAAD3" w:rsidR="00A71BE0" w:rsidRPr="00073D09" w:rsidRDefault="00D43B40" w:rsidP="0015765F">
      <w:pPr>
        <w:spacing w:after="0"/>
        <w:ind w:left="630"/>
        <w:jc w:val="both"/>
        <w:rPr>
          <w:lang w:val="es-CO"/>
        </w:rPr>
      </w:pPr>
      <m:oMath>
        <m:sSub>
          <m:sSubPr>
            <m:ctrlPr>
              <w:rPr>
                <w:rFonts w:ascii="Cambria Math" w:hAnsi="Cambria Math"/>
                <w:bCs/>
                <w:i/>
                <w:lang w:val="es-CO"/>
              </w:rPr>
            </m:ctrlPr>
          </m:sSubPr>
          <m:e>
            <m:r>
              <w:rPr>
                <w:rFonts w:ascii="Cambria Math" w:hAnsi="Cambria Math"/>
                <w:lang w:val="es-CO"/>
              </w:rPr>
              <m:t>M</m:t>
            </m:r>
          </m:e>
          <m:sub>
            <m:r>
              <w:rPr>
                <w:rFonts w:ascii="Cambria Math" w:hAnsi="Cambria Math"/>
                <w:lang w:val="es-CO"/>
              </w:rPr>
              <m:t>i</m:t>
            </m:r>
          </m:sub>
        </m:sSub>
      </m:oMath>
      <w:r w:rsidR="00A71BE0" w:rsidRPr="00073D09">
        <w:rPr>
          <w:lang w:val="es-CO"/>
        </w:rPr>
        <w:t>= Masa de residuos aceptada en el i-</w:t>
      </w:r>
      <w:proofErr w:type="spellStart"/>
      <w:r w:rsidR="00A71BE0" w:rsidRPr="00073D09">
        <w:rPr>
          <w:lang w:val="es-CO"/>
        </w:rPr>
        <w:t>ésimo</w:t>
      </w:r>
      <w:proofErr w:type="spellEnd"/>
      <w:r w:rsidR="00A71BE0" w:rsidRPr="00073D09">
        <w:rPr>
          <w:lang w:val="es-CO"/>
        </w:rPr>
        <w:t xml:space="preserve"> año [Mg]</w:t>
      </w:r>
    </w:p>
    <w:p w14:paraId="531DE528" w14:textId="58CC2789" w:rsidR="00A71BE0" w:rsidRPr="00073D09" w:rsidRDefault="00D43B40" w:rsidP="0015765F">
      <w:pPr>
        <w:spacing w:after="0"/>
        <w:ind w:left="630"/>
        <w:jc w:val="both"/>
        <w:rPr>
          <w:lang w:val="es-CO"/>
        </w:rPr>
      </w:pPr>
      <m:oMath>
        <m:sSub>
          <m:sSubPr>
            <m:ctrlPr>
              <w:rPr>
                <w:rFonts w:ascii="Cambria Math" w:hAnsi="Cambria Math"/>
                <w:bCs/>
                <w:i/>
                <w:lang w:val="es-CO"/>
              </w:rPr>
            </m:ctrlPr>
          </m:sSubPr>
          <m:e>
            <m:r>
              <w:rPr>
                <w:rFonts w:ascii="Cambria Math" w:hAnsi="Cambria Math"/>
                <w:lang w:val="es-CO"/>
              </w:rPr>
              <m:t>t</m:t>
            </m:r>
          </m:e>
          <m:sub>
            <m:r>
              <w:rPr>
                <w:rFonts w:ascii="Cambria Math" w:hAnsi="Cambria Math"/>
                <w:lang w:val="es-CO"/>
              </w:rPr>
              <m:t>ij</m:t>
            </m:r>
          </m:sub>
        </m:sSub>
      </m:oMath>
      <w:r w:rsidR="00A71BE0" w:rsidRPr="00073D09">
        <w:rPr>
          <w:lang w:val="es-CO"/>
        </w:rPr>
        <w:t xml:space="preserve">= Edad </w:t>
      </w:r>
      <w:r w:rsidR="000E2B39" w:rsidRPr="00073D09">
        <w:rPr>
          <w:lang w:val="es-CO"/>
        </w:rPr>
        <w:t>de j</w:t>
      </w:r>
      <w:r w:rsidR="00A71BE0" w:rsidRPr="00073D09">
        <w:rPr>
          <w:lang w:val="es-CO"/>
        </w:rPr>
        <w:t>-</w:t>
      </w:r>
      <w:proofErr w:type="spellStart"/>
      <w:r w:rsidR="00A71BE0" w:rsidRPr="00073D09">
        <w:rPr>
          <w:lang w:val="es-CO"/>
        </w:rPr>
        <w:t>ésima</w:t>
      </w:r>
      <w:proofErr w:type="spellEnd"/>
      <w:r w:rsidR="00A71BE0" w:rsidRPr="00073D09">
        <w:rPr>
          <w:lang w:val="es-CO"/>
        </w:rPr>
        <w:t xml:space="preserve"> sección de la masa de residuos aceptada en el i-</w:t>
      </w:r>
      <w:proofErr w:type="spellStart"/>
      <w:r w:rsidR="00A71BE0" w:rsidRPr="00073D09">
        <w:rPr>
          <w:lang w:val="es-CO"/>
        </w:rPr>
        <w:t>ésimo</w:t>
      </w:r>
      <w:proofErr w:type="spellEnd"/>
      <w:r w:rsidR="00A71BE0" w:rsidRPr="00073D09">
        <w:rPr>
          <w:lang w:val="es-CO"/>
        </w:rPr>
        <w:t xml:space="preserve"> año </w:t>
      </w:r>
    </w:p>
    <w:p w14:paraId="131633FD" w14:textId="77777777" w:rsidR="004C7648" w:rsidRPr="00073D09" w:rsidRDefault="004C7648" w:rsidP="00D62000">
      <w:pPr>
        <w:spacing w:after="0"/>
        <w:jc w:val="both"/>
        <w:rPr>
          <w:lang w:val="es-CO"/>
        </w:rPr>
      </w:pPr>
    </w:p>
    <w:p w14:paraId="6F5912FB" w14:textId="785B712B" w:rsidR="00A71BE0" w:rsidRPr="00073D09" w:rsidRDefault="00A71BE0" w:rsidP="00D62000">
      <w:pPr>
        <w:spacing w:after="0"/>
        <w:jc w:val="both"/>
        <w:rPr>
          <w:lang w:val="es-CO"/>
        </w:rPr>
      </w:pPr>
      <w:r w:rsidRPr="00073D09">
        <w:rPr>
          <w:lang w:val="es-CO"/>
        </w:rPr>
        <w:t xml:space="preserve">En la </w:t>
      </w:r>
      <w:r w:rsidRPr="00073D09">
        <w:rPr>
          <w:b/>
          <w:lang w:val="es-CO"/>
        </w:rPr>
        <w:t>Ecuación 1</w:t>
      </w:r>
      <w:r w:rsidRPr="00073D09">
        <w:rPr>
          <w:lang w:val="es-CO"/>
        </w:rPr>
        <w:t xml:space="preserve">, </w:t>
      </w:r>
      <m:oMath>
        <m:r>
          <w:rPr>
            <w:rFonts w:ascii="Cambria Math" w:hAnsi="Cambria Math"/>
            <w:lang w:val="es-CO"/>
          </w:rPr>
          <m:t>k</m:t>
        </m:r>
      </m:oMath>
      <w:r w:rsidRPr="00073D09">
        <w:rPr>
          <w:lang w:val="es-CO"/>
        </w:rPr>
        <w:t xml:space="preserve"> y</w:t>
      </w:r>
      <w:r w:rsidR="002936CA" w:rsidRPr="00073D09">
        <w:rPr>
          <w:lang w:val="es-CO"/>
        </w:rPr>
        <w:t xml:space="preserve"> </w:t>
      </w:r>
      <m:oMath>
        <m:sSub>
          <m:sSubPr>
            <m:ctrlPr>
              <w:rPr>
                <w:rFonts w:ascii="Cambria Math" w:hAnsi="Cambria Math"/>
                <w:bCs/>
                <w:i/>
                <w:lang w:val="es-CO"/>
              </w:rPr>
            </m:ctrlPr>
          </m:sSubPr>
          <m:e>
            <m:r>
              <w:rPr>
                <w:rFonts w:ascii="Cambria Math" w:hAnsi="Cambria Math"/>
                <w:lang w:val="es-CO"/>
              </w:rPr>
              <m:t>L</m:t>
            </m:r>
          </m:e>
          <m:sub>
            <m:r>
              <w:rPr>
                <w:rFonts w:ascii="Cambria Math" w:hAnsi="Cambria Math"/>
                <w:lang w:val="es-CO"/>
              </w:rPr>
              <m:t>0</m:t>
            </m:r>
          </m:sub>
        </m:sSub>
      </m:oMath>
      <w:r w:rsidRPr="00073D09">
        <w:rPr>
          <w:lang w:val="es-CO"/>
        </w:rPr>
        <w:t xml:space="preserve"> se establecen por el tipo de relleno sanitario, mediante los siguientes criterios, </w:t>
      </w:r>
      <w:r w:rsidR="003E0E6B" w:rsidRPr="00073D09">
        <w:rPr>
          <w:b/>
          <w:lang w:val="es-CO"/>
        </w:rPr>
        <w:t>Cuadro 2</w:t>
      </w:r>
      <w:r w:rsidRPr="00073D09">
        <w:rPr>
          <w:lang w:val="es-CO"/>
        </w:rPr>
        <w:t>:</w:t>
      </w:r>
    </w:p>
    <w:p w14:paraId="55D52F53" w14:textId="77777777" w:rsidR="004C7648" w:rsidRPr="00073D09" w:rsidRDefault="004C7648" w:rsidP="00D62000">
      <w:pPr>
        <w:spacing w:after="0"/>
        <w:jc w:val="both"/>
        <w:rPr>
          <w:lang w:val="es-CO"/>
        </w:rPr>
      </w:pPr>
    </w:p>
    <w:p w14:paraId="7A101A41" w14:textId="419BA0DC" w:rsidR="00C000E0" w:rsidRPr="00073D09" w:rsidRDefault="00D14E51" w:rsidP="00D62000">
      <w:pPr>
        <w:spacing w:after="0"/>
        <w:jc w:val="both"/>
        <w:rPr>
          <w:lang w:val="es-CO"/>
        </w:rPr>
      </w:pPr>
      <w:r w:rsidRPr="00073D09">
        <w:rPr>
          <w:b/>
          <w:lang w:val="es-CO"/>
        </w:rPr>
        <w:lastRenderedPageBreak/>
        <w:t xml:space="preserve">Cuadro 2. </w:t>
      </w:r>
      <w:r w:rsidR="00A71BE0" w:rsidRPr="00073D09">
        <w:rPr>
          <w:lang w:val="es-CO"/>
        </w:rPr>
        <w:t xml:space="preserve">Valores de la tasa de generación de metano </w:t>
      </w:r>
      <m:oMath>
        <m:r>
          <w:rPr>
            <w:rFonts w:ascii="Cambria Math" w:hAnsi="Cambria Math"/>
            <w:lang w:val="es-CO"/>
          </w:rPr>
          <m:t>k</m:t>
        </m:r>
      </m:oMath>
      <w:r w:rsidR="00A71BE0" w:rsidRPr="00073D09">
        <w:rPr>
          <w:lang w:val="es-CO"/>
        </w:rPr>
        <w:t xml:space="preserve"> y </w:t>
      </w:r>
      <w:r w:rsidR="00163304">
        <w:rPr>
          <w:lang w:val="es-CO"/>
        </w:rPr>
        <w:t>c</w:t>
      </w:r>
      <w:r w:rsidR="00A71BE0" w:rsidRPr="00073D09">
        <w:rPr>
          <w:lang w:val="es-CO"/>
        </w:rPr>
        <w:t>apacidad pot</w:t>
      </w:r>
      <w:r w:rsidR="00C000E0" w:rsidRPr="00073D09">
        <w:rPr>
          <w:lang w:val="es-CO"/>
        </w:rPr>
        <w:t xml:space="preserve">encial de generación de metano </w:t>
      </w:r>
      <m:oMath>
        <m:sSub>
          <m:sSubPr>
            <m:ctrlPr>
              <w:rPr>
                <w:rFonts w:ascii="Cambria Math" w:hAnsi="Cambria Math"/>
                <w:bCs/>
                <w:i/>
                <w:lang w:val="es-CO"/>
              </w:rPr>
            </m:ctrlPr>
          </m:sSubPr>
          <m:e>
            <m:r>
              <w:rPr>
                <w:rFonts w:ascii="Cambria Math" w:hAnsi="Cambria Math"/>
                <w:lang w:val="es-CO"/>
              </w:rPr>
              <m:t>L</m:t>
            </m:r>
          </m:e>
          <m:sub>
            <m:r>
              <w:rPr>
                <w:rFonts w:ascii="Cambria Math" w:hAnsi="Cambria Math"/>
                <w:lang w:val="es-CO"/>
              </w:rPr>
              <m:t>0</m:t>
            </m:r>
          </m:sub>
        </m:sSub>
      </m:oMath>
      <w:r w:rsidR="00A71BE0" w:rsidRPr="00073D09">
        <w:rPr>
          <w:lang w:val="es-CO"/>
        </w:rPr>
        <w:t>.</w:t>
      </w:r>
    </w:p>
    <w:p w14:paraId="7C4AAB2D" w14:textId="5200345C" w:rsidR="005C2078" w:rsidRPr="00073D09" w:rsidRDefault="005C2078" w:rsidP="00D62000">
      <w:pPr>
        <w:spacing w:after="0"/>
        <w:jc w:val="both"/>
        <w:rPr>
          <w:i/>
          <w:lang w:val="en-US"/>
        </w:rPr>
      </w:pPr>
      <w:r w:rsidRPr="00073D09">
        <w:rPr>
          <w:b/>
          <w:i/>
          <w:lang w:val="en-US"/>
        </w:rPr>
        <w:t xml:space="preserve">Table 2. </w:t>
      </w:r>
      <w:r w:rsidRPr="00073D09">
        <w:rPr>
          <w:i/>
          <w:lang w:val="en-US"/>
        </w:rPr>
        <w:t xml:space="preserve">Methane generation rate values </w:t>
      </w:r>
      <m:oMath>
        <m:r>
          <w:rPr>
            <w:rFonts w:ascii="Cambria Math" w:hAnsi="Cambria Math"/>
            <w:lang w:val="en-US"/>
          </w:rPr>
          <m:t>k</m:t>
        </m:r>
      </m:oMath>
      <w:r w:rsidRPr="00073D09">
        <w:rPr>
          <w:i/>
          <w:lang w:val="en-US"/>
        </w:rPr>
        <w:t xml:space="preserve"> and Potential methane generation capacity </w:t>
      </w:r>
      <m:oMath>
        <m:sSub>
          <m:sSubPr>
            <m:ctrlPr>
              <w:rPr>
                <w:rFonts w:ascii="Cambria Math" w:hAnsi="Cambria Math"/>
                <w:bCs/>
                <w:i/>
                <w:lang w:val="es-CO"/>
              </w:rPr>
            </m:ctrlPr>
          </m:sSubPr>
          <m:e>
            <m:r>
              <w:rPr>
                <w:rFonts w:ascii="Cambria Math" w:hAnsi="Cambria Math"/>
                <w:lang w:val="en-US"/>
              </w:rPr>
              <m:t>L</m:t>
            </m:r>
          </m:e>
          <m:sub>
            <m:r>
              <w:rPr>
                <w:rFonts w:ascii="Cambria Math" w:hAnsi="Cambria Math"/>
                <w:lang w:val="en-US"/>
              </w:rPr>
              <m:t>0</m:t>
            </m:r>
          </m:sub>
        </m:sSub>
      </m:oMath>
      <w:r w:rsidRPr="00073D09">
        <w:rPr>
          <w:i/>
          <w:lang w:val="en-US"/>
        </w:rPr>
        <w:t>.</w:t>
      </w:r>
    </w:p>
    <w:tbl>
      <w:tblPr>
        <w:tblStyle w:val="Tablanormal2"/>
        <w:tblW w:w="5689" w:type="dxa"/>
        <w:jc w:val="center"/>
        <w:tblLayout w:type="fixed"/>
        <w:tblLook w:val="04A0" w:firstRow="1" w:lastRow="0" w:firstColumn="1" w:lastColumn="0" w:noHBand="0" w:noVBand="1"/>
      </w:tblPr>
      <w:tblGrid>
        <w:gridCol w:w="1831"/>
        <w:gridCol w:w="1517"/>
        <w:gridCol w:w="1092"/>
        <w:gridCol w:w="1249"/>
      </w:tblGrid>
      <w:tr w:rsidR="00C000E0" w:rsidRPr="000E2B39" w14:paraId="33F5DE20" w14:textId="77777777" w:rsidTr="00412D32">
        <w:trPr>
          <w:cnfStyle w:val="100000000000" w:firstRow="1" w:lastRow="0" w:firstColumn="0" w:lastColumn="0" w:oddVBand="0" w:evenVBand="0" w:oddHBand="0" w:evenHBand="0" w:firstRowFirstColumn="0" w:firstRowLastColumn="0" w:lastRowFirstColumn="0" w:lastRowLastColumn="0"/>
          <w:trHeight w:val="840"/>
          <w:jc w:val="center"/>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7F7F7F" w:themeColor="text1" w:themeTint="80"/>
              <w:bottom w:val="single" w:sz="4" w:space="0" w:color="auto"/>
            </w:tcBorders>
            <w:hideMark/>
          </w:tcPr>
          <w:p w14:paraId="40CE0848" w14:textId="77777777" w:rsidR="00C000E0" w:rsidRPr="000E2B39" w:rsidRDefault="00C000E0" w:rsidP="00D62000">
            <w:pPr>
              <w:spacing w:after="0"/>
              <w:jc w:val="center"/>
              <w:rPr>
                <w:rFonts w:eastAsia="Times New Roman"/>
                <w:color w:val="000000"/>
                <w:sz w:val="22"/>
                <w:szCs w:val="22"/>
                <w:lang w:val="es-CO" w:eastAsia="es-CO"/>
              </w:rPr>
            </w:pPr>
            <w:r w:rsidRPr="000E2B39">
              <w:rPr>
                <w:rFonts w:eastAsia="Times New Roman"/>
                <w:color w:val="000000"/>
                <w:sz w:val="22"/>
                <w:szCs w:val="22"/>
                <w:lang w:val="es-CO" w:eastAsia="es-CO"/>
              </w:rPr>
              <w:t xml:space="preserve">Tipo predeterminado </w:t>
            </w:r>
          </w:p>
        </w:tc>
        <w:tc>
          <w:tcPr>
            <w:tcW w:w="1517" w:type="dxa"/>
            <w:tcBorders>
              <w:top w:val="single" w:sz="4" w:space="0" w:color="7F7F7F" w:themeColor="text1" w:themeTint="80"/>
              <w:bottom w:val="single" w:sz="4" w:space="0" w:color="auto"/>
            </w:tcBorders>
            <w:hideMark/>
          </w:tcPr>
          <w:p w14:paraId="3B209703" w14:textId="0F4B2158" w:rsidR="00C000E0" w:rsidRPr="000E2B39" w:rsidRDefault="00C000E0" w:rsidP="00D6200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 xml:space="preserve">Tipo de </w:t>
            </w:r>
            <w:r w:rsidR="00274476">
              <w:rPr>
                <w:rFonts w:eastAsia="Times New Roman"/>
                <w:color w:val="000000"/>
                <w:sz w:val="22"/>
                <w:szCs w:val="22"/>
                <w:lang w:val="es-CO" w:eastAsia="es-CO"/>
              </w:rPr>
              <w:t>r</w:t>
            </w:r>
            <w:r w:rsidRPr="000E2B39">
              <w:rPr>
                <w:rFonts w:eastAsia="Times New Roman"/>
                <w:color w:val="000000"/>
                <w:sz w:val="22"/>
                <w:szCs w:val="22"/>
                <w:lang w:val="es-CO" w:eastAsia="es-CO"/>
              </w:rPr>
              <w:t xml:space="preserve">elleno </w:t>
            </w:r>
            <w:r w:rsidR="00274476">
              <w:rPr>
                <w:rFonts w:eastAsia="Times New Roman"/>
                <w:color w:val="000000"/>
                <w:sz w:val="22"/>
                <w:szCs w:val="22"/>
                <w:lang w:val="es-CO" w:eastAsia="es-CO"/>
              </w:rPr>
              <w:t>s</w:t>
            </w:r>
            <w:r w:rsidRPr="000E2B39">
              <w:rPr>
                <w:rFonts w:eastAsia="Times New Roman"/>
                <w:color w:val="000000"/>
                <w:sz w:val="22"/>
                <w:szCs w:val="22"/>
                <w:lang w:val="es-CO" w:eastAsia="es-CO"/>
              </w:rPr>
              <w:t>anitario</w:t>
            </w:r>
          </w:p>
        </w:tc>
        <w:tc>
          <w:tcPr>
            <w:tcW w:w="1092" w:type="dxa"/>
            <w:tcBorders>
              <w:top w:val="single" w:sz="4" w:space="0" w:color="7F7F7F" w:themeColor="text1" w:themeTint="80"/>
              <w:bottom w:val="single" w:sz="4" w:space="0" w:color="auto"/>
            </w:tcBorders>
            <w:hideMark/>
          </w:tcPr>
          <w:p w14:paraId="6C4E144C" w14:textId="77777777" w:rsidR="00C000E0" w:rsidRPr="000E2B39" w:rsidRDefault="00C000E0" w:rsidP="00D6200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Valor de k</w:t>
            </w:r>
          </w:p>
          <w:p w14:paraId="0A6D8905" w14:textId="77777777" w:rsidR="00C000E0" w:rsidRPr="000E2B39" w:rsidRDefault="00C000E0" w:rsidP="00D6200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 xml:space="preserve"> (</w:t>
            </w:r>
            <m:oMath>
              <m:r>
                <m:rPr>
                  <m:sty m:val="bi"/>
                </m:rPr>
                <w:rPr>
                  <w:rFonts w:ascii="Cambria Math" w:eastAsia="Times New Roman" w:hAnsi="Cambria Math"/>
                  <w:color w:val="000000"/>
                  <w:sz w:val="22"/>
                  <w:szCs w:val="22"/>
                  <w:lang w:val="es-CO" w:eastAsia="es-CO"/>
                </w:rPr>
                <m:t>Añ</m:t>
              </m:r>
              <m:sSup>
                <m:sSupPr>
                  <m:ctrlPr>
                    <w:rPr>
                      <w:rFonts w:ascii="Cambria Math" w:eastAsia="Times New Roman" w:hAnsi="Cambria Math"/>
                      <w:b w:val="0"/>
                      <w:bCs w:val="0"/>
                      <w:i/>
                      <w:color w:val="000000"/>
                      <w:sz w:val="22"/>
                      <w:szCs w:val="22"/>
                      <w:lang w:val="es-CO" w:eastAsia="es-CO"/>
                    </w:rPr>
                  </m:ctrlPr>
                </m:sSupPr>
                <m:e>
                  <m:r>
                    <m:rPr>
                      <m:sty m:val="bi"/>
                    </m:rPr>
                    <w:rPr>
                      <w:rFonts w:ascii="Cambria Math" w:eastAsia="Times New Roman" w:hAnsi="Cambria Math"/>
                      <w:color w:val="000000"/>
                      <w:sz w:val="22"/>
                      <w:szCs w:val="22"/>
                      <w:lang w:val="es-CO" w:eastAsia="es-CO"/>
                    </w:rPr>
                    <m:t>o</m:t>
                  </m:r>
                  <m:ctrlPr>
                    <w:rPr>
                      <w:rFonts w:ascii="Cambria Math" w:eastAsia="Times New Roman" w:hAnsi="Cambria Math"/>
                      <w:i/>
                      <w:color w:val="000000"/>
                      <w:sz w:val="22"/>
                      <w:szCs w:val="22"/>
                      <w:lang w:val="es-CO" w:eastAsia="es-CO"/>
                    </w:rPr>
                  </m:ctrlPr>
                </m:e>
                <m:sup>
                  <m:r>
                    <m:rPr>
                      <m:sty m:val="bi"/>
                    </m:rPr>
                    <w:rPr>
                      <w:rFonts w:ascii="Cambria Math" w:eastAsia="Times New Roman" w:hAnsi="Cambria Math"/>
                      <w:color w:val="000000"/>
                      <w:sz w:val="22"/>
                      <w:szCs w:val="22"/>
                      <w:lang w:val="es-CO" w:eastAsia="es-CO"/>
                    </w:rPr>
                    <m:t>-1</m:t>
                  </m:r>
                </m:sup>
              </m:sSup>
            </m:oMath>
            <w:r w:rsidRPr="000E2B39">
              <w:rPr>
                <w:rFonts w:eastAsia="Times New Roman"/>
                <w:color w:val="000000"/>
                <w:sz w:val="22"/>
                <w:szCs w:val="22"/>
                <w:lang w:val="es-CO" w:eastAsia="es-CO"/>
              </w:rPr>
              <w:t>)</w:t>
            </w:r>
          </w:p>
        </w:tc>
        <w:tc>
          <w:tcPr>
            <w:tcW w:w="1249" w:type="dxa"/>
            <w:tcBorders>
              <w:top w:val="single" w:sz="4" w:space="0" w:color="7F7F7F" w:themeColor="text1" w:themeTint="80"/>
              <w:bottom w:val="single" w:sz="4" w:space="0" w:color="auto"/>
              <w:right w:val="nil"/>
            </w:tcBorders>
            <w:hideMark/>
          </w:tcPr>
          <w:p w14:paraId="272E3D64" w14:textId="77777777" w:rsidR="00C000E0" w:rsidRPr="000E2B39" w:rsidRDefault="00C000E0" w:rsidP="00D6200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 xml:space="preserve">Valor de  </w:t>
            </w:r>
            <m:oMath>
              <m:sSub>
                <m:sSubPr>
                  <m:ctrlPr>
                    <w:rPr>
                      <w:rFonts w:ascii="Cambria Math" w:hAnsi="Cambria Math"/>
                      <w:i/>
                      <w:sz w:val="22"/>
                      <w:szCs w:val="22"/>
                      <w:lang w:val="es-CO"/>
                    </w:rPr>
                  </m:ctrlPr>
                </m:sSubPr>
                <m:e>
                  <m:r>
                    <m:rPr>
                      <m:sty m:val="bi"/>
                    </m:rPr>
                    <w:rPr>
                      <w:rFonts w:ascii="Cambria Math" w:hAnsi="Cambria Math"/>
                      <w:sz w:val="22"/>
                      <w:szCs w:val="22"/>
                      <w:lang w:val="es-CO"/>
                    </w:rPr>
                    <m:t>L</m:t>
                  </m:r>
                </m:e>
                <m:sub>
                  <m:r>
                    <m:rPr>
                      <m:sty m:val="bi"/>
                    </m:rPr>
                    <w:rPr>
                      <w:rFonts w:ascii="Cambria Math" w:hAnsi="Cambria Math"/>
                      <w:sz w:val="22"/>
                      <w:szCs w:val="22"/>
                      <w:lang w:val="es-CO"/>
                    </w:rPr>
                    <m:t>0</m:t>
                  </m:r>
                </m:sub>
              </m:sSub>
              <m:r>
                <m:rPr>
                  <m:sty m:val="bi"/>
                </m:rPr>
                <w:rPr>
                  <w:rFonts w:ascii="Cambria Math" w:hAnsi="Cambria Math"/>
                  <w:sz w:val="22"/>
                  <w:szCs w:val="22"/>
                  <w:lang w:val="es-CO"/>
                </w:rPr>
                <m:t xml:space="preserve"> </m:t>
              </m:r>
              <m:d>
                <m:dPr>
                  <m:ctrlPr>
                    <w:rPr>
                      <w:rFonts w:ascii="Cambria Math" w:eastAsia="Times New Roman" w:hAnsi="Cambria Math"/>
                      <w:b w:val="0"/>
                      <w:bCs w:val="0"/>
                      <w:i/>
                      <w:color w:val="000000"/>
                      <w:sz w:val="22"/>
                      <w:szCs w:val="22"/>
                      <w:lang w:val="es-CO" w:eastAsia="es-CO"/>
                    </w:rPr>
                  </m:ctrlPr>
                </m:dPr>
                <m:e>
                  <m:f>
                    <m:fPr>
                      <m:ctrlPr>
                        <w:rPr>
                          <w:rFonts w:ascii="Cambria Math" w:eastAsia="Times New Roman" w:hAnsi="Cambria Math"/>
                          <w:b w:val="0"/>
                          <w:bCs w:val="0"/>
                          <w:i/>
                          <w:color w:val="000000"/>
                          <w:sz w:val="22"/>
                          <w:szCs w:val="22"/>
                          <w:lang w:val="es-CO" w:eastAsia="es-CO"/>
                        </w:rPr>
                      </m:ctrlPr>
                    </m:fPr>
                    <m:num>
                      <m:sSup>
                        <m:sSupPr>
                          <m:ctrlPr>
                            <w:rPr>
                              <w:rFonts w:ascii="Cambria Math" w:eastAsia="Times New Roman" w:hAnsi="Cambria Math"/>
                              <w:b w:val="0"/>
                              <w:bCs w:val="0"/>
                              <w:i/>
                              <w:color w:val="000000"/>
                              <w:sz w:val="22"/>
                              <w:szCs w:val="22"/>
                              <w:lang w:val="es-CO" w:eastAsia="es-CO"/>
                            </w:rPr>
                          </m:ctrlPr>
                        </m:sSupPr>
                        <m:e>
                          <m:r>
                            <m:rPr>
                              <m:sty m:val="bi"/>
                            </m:rPr>
                            <w:rPr>
                              <w:rFonts w:ascii="Cambria Math" w:eastAsia="Times New Roman" w:hAnsi="Cambria Math"/>
                              <w:color w:val="000000"/>
                              <w:sz w:val="22"/>
                              <w:szCs w:val="22"/>
                              <w:lang w:val="es-CO" w:eastAsia="es-CO"/>
                            </w:rPr>
                            <m:t>m</m:t>
                          </m:r>
                        </m:e>
                        <m:sup>
                          <m:r>
                            <m:rPr>
                              <m:sty m:val="bi"/>
                            </m:rPr>
                            <w:rPr>
                              <w:rFonts w:ascii="Cambria Math" w:eastAsia="Times New Roman" w:hAnsi="Cambria Math"/>
                              <w:color w:val="000000"/>
                              <w:sz w:val="22"/>
                              <w:szCs w:val="22"/>
                              <w:lang w:val="es-CO" w:eastAsia="es-CO"/>
                            </w:rPr>
                            <m:t>3</m:t>
                          </m:r>
                        </m:sup>
                      </m:sSup>
                      <m:ctrlPr>
                        <w:rPr>
                          <w:rFonts w:ascii="Cambria Math" w:eastAsia="Times New Roman" w:hAnsi="Cambria Math"/>
                          <w:i/>
                          <w:color w:val="000000"/>
                          <w:sz w:val="22"/>
                          <w:szCs w:val="22"/>
                          <w:lang w:val="es-CO" w:eastAsia="es-CO"/>
                        </w:rPr>
                      </m:ctrlPr>
                    </m:num>
                    <m:den>
                      <m:r>
                        <m:rPr>
                          <m:sty m:val="bi"/>
                        </m:rPr>
                        <w:rPr>
                          <w:rFonts w:ascii="Cambria Math" w:eastAsia="Times New Roman" w:hAnsi="Cambria Math"/>
                          <w:color w:val="000000"/>
                          <w:sz w:val="22"/>
                          <w:szCs w:val="22"/>
                          <w:lang w:val="es-CO" w:eastAsia="es-CO"/>
                        </w:rPr>
                        <m:t>Mg</m:t>
                      </m:r>
                    </m:den>
                  </m:f>
                  <m:ctrlPr>
                    <w:rPr>
                      <w:rFonts w:ascii="Cambria Math" w:eastAsia="Times New Roman" w:hAnsi="Cambria Math"/>
                      <w:i/>
                      <w:color w:val="000000"/>
                      <w:sz w:val="22"/>
                      <w:szCs w:val="22"/>
                      <w:lang w:val="es-CO" w:eastAsia="es-CO"/>
                    </w:rPr>
                  </m:ctrlPr>
                </m:e>
              </m:d>
            </m:oMath>
          </w:p>
        </w:tc>
      </w:tr>
      <w:tr w:rsidR="00C000E0" w:rsidRPr="000E2B39" w14:paraId="418D9076" w14:textId="77777777" w:rsidTr="00412D3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auto"/>
              <w:bottom w:val="none" w:sz="0" w:space="0" w:color="auto"/>
            </w:tcBorders>
            <w:hideMark/>
          </w:tcPr>
          <w:p w14:paraId="7A573F53" w14:textId="77777777" w:rsidR="00C000E0" w:rsidRPr="000E2B39" w:rsidRDefault="00C000E0" w:rsidP="0015765F">
            <w:pPr>
              <w:spacing w:after="0"/>
              <w:rPr>
                <w:rFonts w:eastAsia="Times New Roman"/>
                <w:b w:val="0"/>
                <w:color w:val="000000"/>
                <w:sz w:val="22"/>
                <w:szCs w:val="22"/>
                <w:lang w:val="es-CO" w:eastAsia="es-CO"/>
              </w:rPr>
            </w:pPr>
            <w:r w:rsidRPr="000E2B39">
              <w:rPr>
                <w:rFonts w:eastAsia="Times New Roman"/>
                <w:b w:val="0"/>
                <w:color w:val="000000"/>
                <w:sz w:val="22"/>
                <w:szCs w:val="22"/>
                <w:lang w:val="es-CO" w:eastAsia="es-CO"/>
              </w:rPr>
              <w:t>CAA</w:t>
            </w:r>
          </w:p>
        </w:tc>
        <w:tc>
          <w:tcPr>
            <w:tcW w:w="1517" w:type="dxa"/>
            <w:tcBorders>
              <w:top w:val="single" w:sz="4" w:space="0" w:color="auto"/>
              <w:bottom w:val="none" w:sz="0" w:space="0" w:color="auto"/>
            </w:tcBorders>
            <w:hideMark/>
          </w:tcPr>
          <w:p w14:paraId="00253ADB"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 xml:space="preserve">Convencional </w:t>
            </w:r>
          </w:p>
        </w:tc>
        <w:tc>
          <w:tcPr>
            <w:tcW w:w="1092" w:type="dxa"/>
            <w:tcBorders>
              <w:top w:val="single" w:sz="4" w:space="0" w:color="auto"/>
              <w:bottom w:val="none" w:sz="0" w:space="0" w:color="auto"/>
            </w:tcBorders>
            <w:hideMark/>
          </w:tcPr>
          <w:p w14:paraId="2F4FA605"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0.05</w:t>
            </w:r>
          </w:p>
        </w:tc>
        <w:tc>
          <w:tcPr>
            <w:tcW w:w="1249" w:type="dxa"/>
            <w:tcBorders>
              <w:top w:val="single" w:sz="4" w:space="0" w:color="auto"/>
              <w:bottom w:val="none" w:sz="0" w:space="0" w:color="auto"/>
            </w:tcBorders>
            <w:noWrap/>
            <w:hideMark/>
          </w:tcPr>
          <w:p w14:paraId="1DA0EC15"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170</w:t>
            </w:r>
          </w:p>
        </w:tc>
      </w:tr>
      <w:tr w:rsidR="00C000E0" w:rsidRPr="000E2B39" w14:paraId="1FCB08B2" w14:textId="77777777" w:rsidTr="00412D32">
        <w:trPr>
          <w:trHeight w:val="277"/>
          <w:jc w:val="center"/>
        </w:trPr>
        <w:tc>
          <w:tcPr>
            <w:cnfStyle w:val="001000000000" w:firstRow="0" w:lastRow="0" w:firstColumn="1" w:lastColumn="0" w:oddVBand="0" w:evenVBand="0" w:oddHBand="0" w:evenHBand="0" w:firstRowFirstColumn="0" w:firstRowLastColumn="0" w:lastRowFirstColumn="0" w:lastRowLastColumn="0"/>
            <w:tcW w:w="1831" w:type="dxa"/>
            <w:hideMark/>
          </w:tcPr>
          <w:p w14:paraId="6EEBC67F" w14:textId="77777777" w:rsidR="00C000E0" w:rsidRPr="000E2B39" w:rsidRDefault="00C000E0" w:rsidP="0015765F">
            <w:pPr>
              <w:spacing w:after="0"/>
              <w:rPr>
                <w:rFonts w:eastAsia="Times New Roman"/>
                <w:b w:val="0"/>
                <w:color w:val="000000"/>
                <w:sz w:val="22"/>
                <w:szCs w:val="22"/>
                <w:lang w:val="es-CO" w:eastAsia="es-CO"/>
              </w:rPr>
            </w:pPr>
            <w:r w:rsidRPr="000E2B39">
              <w:rPr>
                <w:rFonts w:eastAsia="Times New Roman"/>
                <w:b w:val="0"/>
                <w:color w:val="000000"/>
                <w:sz w:val="22"/>
                <w:szCs w:val="22"/>
                <w:lang w:val="es-CO" w:eastAsia="es-CO"/>
              </w:rPr>
              <w:t>CAA</w:t>
            </w:r>
          </w:p>
        </w:tc>
        <w:tc>
          <w:tcPr>
            <w:tcW w:w="1517" w:type="dxa"/>
            <w:hideMark/>
          </w:tcPr>
          <w:p w14:paraId="662AE8DA"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Zona árida</w:t>
            </w:r>
          </w:p>
        </w:tc>
        <w:tc>
          <w:tcPr>
            <w:tcW w:w="1092" w:type="dxa"/>
            <w:hideMark/>
          </w:tcPr>
          <w:p w14:paraId="1733D0A2"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0.02</w:t>
            </w:r>
          </w:p>
        </w:tc>
        <w:tc>
          <w:tcPr>
            <w:tcW w:w="1249" w:type="dxa"/>
            <w:noWrap/>
            <w:hideMark/>
          </w:tcPr>
          <w:p w14:paraId="39D79DBC"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170</w:t>
            </w:r>
          </w:p>
        </w:tc>
      </w:tr>
      <w:tr w:rsidR="00C000E0" w:rsidRPr="000E2B39" w14:paraId="45E63274" w14:textId="77777777" w:rsidTr="00412D3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bottom w:val="none" w:sz="0" w:space="0" w:color="auto"/>
            </w:tcBorders>
            <w:hideMark/>
          </w:tcPr>
          <w:p w14:paraId="4B194E82" w14:textId="77777777" w:rsidR="00C000E0" w:rsidRPr="000E2B39" w:rsidRDefault="00C000E0" w:rsidP="0015765F">
            <w:pPr>
              <w:spacing w:after="0"/>
              <w:rPr>
                <w:rFonts w:eastAsia="Times New Roman"/>
                <w:b w:val="0"/>
                <w:color w:val="000000"/>
                <w:sz w:val="22"/>
                <w:szCs w:val="22"/>
                <w:lang w:val="es-CO" w:eastAsia="es-CO"/>
              </w:rPr>
            </w:pPr>
            <w:r w:rsidRPr="000E2B39">
              <w:rPr>
                <w:rFonts w:eastAsia="Times New Roman"/>
                <w:b w:val="0"/>
                <w:color w:val="000000"/>
                <w:sz w:val="22"/>
                <w:szCs w:val="22"/>
                <w:lang w:val="es-CO" w:eastAsia="es-CO"/>
              </w:rPr>
              <w:t>Inventario</w:t>
            </w:r>
          </w:p>
        </w:tc>
        <w:tc>
          <w:tcPr>
            <w:tcW w:w="1517" w:type="dxa"/>
            <w:tcBorders>
              <w:top w:val="none" w:sz="0" w:space="0" w:color="auto"/>
              <w:bottom w:val="none" w:sz="0" w:space="0" w:color="auto"/>
            </w:tcBorders>
            <w:hideMark/>
          </w:tcPr>
          <w:p w14:paraId="24E5B3C2"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 xml:space="preserve">Convencional </w:t>
            </w:r>
          </w:p>
        </w:tc>
        <w:tc>
          <w:tcPr>
            <w:tcW w:w="1092" w:type="dxa"/>
            <w:tcBorders>
              <w:top w:val="none" w:sz="0" w:space="0" w:color="auto"/>
              <w:bottom w:val="none" w:sz="0" w:space="0" w:color="auto"/>
            </w:tcBorders>
            <w:hideMark/>
          </w:tcPr>
          <w:p w14:paraId="1B2DEDD9"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0.04</w:t>
            </w:r>
          </w:p>
        </w:tc>
        <w:tc>
          <w:tcPr>
            <w:tcW w:w="1249" w:type="dxa"/>
            <w:tcBorders>
              <w:top w:val="none" w:sz="0" w:space="0" w:color="auto"/>
              <w:bottom w:val="none" w:sz="0" w:space="0" w:color="auto"/>
            </w:tcBorders>
            <w:noWrap/>
            <w:hideMark/>
          </w:tcPr>
          <w:p w14:paraId="4C0A658A"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100</w:t>
            </w:r>
          </w:p>
        </w:tc>
      </w:tr>
      <w:tr w:rsidR="00C000E0" w:rsidRPr="000E2B39" w14:paraId="7CD2D2A9" w14:textId="77777777" w:rsidTr="00412D32">
        <w:trPr>
          <w:trHeight w:val="277"/>
          <w:jc w:val="center"/>
        </w:trPr>
        <w:tc>
          <w:tcPr>
            <w:cnfStyle w:val="001000000000" w:firstRow="0" w:lastRow="0" w:firstColumn="1" w:lastColumn="0" w:oddVBand="0" w:evenVBand="0" w:oddHBand="0" w:evenHBand="0" w:firstRowFirstColumn="0" w:firstRowLastColumn="0" w:lastRowFirstColumn="0" w:lastRowLastColumn="0"/>
            <w:tcW w:w="1831" w:type="dxa"/>
            <w:hideMark/>
          </w:tcPr>
          <w:p w14:paraId="2B2A6562" w14:textId="77777777" w:rsidR="00C000E0" w:rsidRPr="000E2B39" w:rsidRDefault="00C000E0" w:rsidP="0015765F">
            <w:pPr>
              <w:spacing w:after="0"/>
              <w:rPr>
                <w:rFonts w:eastAsia="Times New Roman"/>
                <w:b w:val="0"/>
                <w:color w:val="000000"/>
                <w:sz w:val="22"/>
                <w:szCs w:val="22"/>
                <w:lang w:val="es-CO" w:eastAsia="es-CO"/>
              </w:rPr>
            </w:pPr>
            <w:r w:rsidRPr="000E2B39">
              <w:rPr>
                <w:rFonts w:eastAsia="Times New Roman"/>
                <w:b w:val="0"/>
                <w:color w:val="000000"/>
                <w:sz w:val="22"/>
                <w:szCs w:val="22"/>
                <w:lang w:val="es-CO" w:eastAsia="es-CO"/>
              </w:rPr>
              <w:t>Inventario</w:t>
            </w:r>
          </w:p>
        </w:tc>
        <w:tc>
          <w:tcPr>
            <w:tcW w:w="1517" w:type="dxa"/>
            <w:hideMark/>
          </w:tcPr>
          <w:p w14:paraId="148020E5"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Zona árida</w:t>
            </w:r>
          </w:p>
        </w:tc>
        <w:tc>
          <w:tcPr>
            <w:tcW w:w="1092" w:type="dxa"/>
            <w:hideMark/>
          </w:tcPr>
          <w:p w14:paraId="127A9ED3"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0.02</w:t>
            </w:r>
          </w:p>
        </w:tc>
        <w:tc>
          <w:tcPr>
            <w:tcW w:w="1249" w:type="dxa"/>
            <w:noWrap/>
            <w:hideMark/>
          </w:tcPr>
          <w:p w14:paraId="052BCFE2" w14:textId="77777777" w:rsidR="00C000E0" w:rsidRPr="000E2B39" w:rsidRDefault="00C000E0" w:rsidP="00D6200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100</w:t>
            </w:r>
          </w:p>
        </w:tc>
      </w:tr>
      <w:tr w:rsidR="00C000E0" w:rsidRPr="000E2B39" w14:paraId="17282495" w14:textId="77777777" w:rsidTr="00412D32">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tcBorders>
            <w:hideMark/>
          </w:tcPr>
          <w:p w14:paraId="3EE89B20" w14:textId="77777777" w:rsidR="00C000E0" w:rsidRPr="000E2B39" w:rsidRDefault="00C000E0" w:rsidP="0015765F">
            <w:pPr>
              <w:spacing w:after="0"/>
              <w:rPr>
                <w:rFonts w:eastAsia="Times New Roman"/>
                <w:b w:val="0"/>
                <w:color w:val="000000"/>
                <w:sz w:val="22"/>
                <w:szCs w:val="22"/>
                <w:lang w:val="es-CO" w:eastAsia="es-CO"/>
              </w:rPr>
            </w:pPr>
            <w:r w:rsidRPr="000E2B39">
              <w:rPr>
                <w:rFonts w:eastAsia="Times New Roman"/>
                <w:b w:val="0"/>
                <w:color w:val="000000"/>
                <w:sz w:val="22"/>
                <w:szCs w:val="22"/>
                <w:lang w:val="es-CO" w:eastAsia="es-CO"/>
              </w:rPr>
              <w:t>Inventario</w:t>
            </w:r>
          </w:p>
        </w:tc>
        <w:tc>
          <w:tcPr>
            <w:tcW w:w="1517" w:type="dxa"/>
            <w:tcBorders>
              <w:top w:val="none" w:sz="0" w:space="0" w:color="auto"/>
            </w:tcBorders>
            <w:hideMark/>
          </w:tcPr>
          <w:p w14:paraId="7C93ECAB"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Húmedo (Biorreactor)</w:t>
            </w:r>
          </w:p>
        </w:tc>
        <w:tc>
          <w:tcPr>
            <w:tcW w:w="1092" w:type="dxa"/>
            <w:tcBorders>
              <w:top w:val="none" w:sz="0" w:space="0" w:color="auto"/>
            </w:tcBorders>
            <w:hideMark/>
          </w:tcPr>
          <w:p w14:paraId="51EB585A"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0.7</w:t>
            </w:r>
          </w:p>
        </w:tc>
        <w:tc>
          <w:tcPr>
            <w:tcW w:w="1249" w:type="dxa"/>
            <w:tcBorders>
              <w:top w:val="none" w:sz="0" w:space="0" w:color="auto"/>
            </w:tcBorders>
            <w:noWrap/>
            <w:hideMark/>
          </w:tcPr>
          <w:p w14:paraId="4CA954D4" w14:textId="77777777" w:rsidR="00C000E0" w:rsidRPr="000E2B39" w:rsidRDefault="00C000E0" w:rsidP="00D6200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s-CO" w:eastAsia="es-CO"/>
              </w:rPr>
            </w:pPr>
            <w:r w:rsidRPr="000E2B39">
              <w:rPr>
                <w:rFonts w:eastAsia="Times New Roman"/>
                <w:color w:val="000000"/>
                <w:sz w:val="22"/>
                <w:szCs w:val="22"/>
                <w:lang w:val="es-CO" w:eastAsia="es-CO"/>
              </w:rPr>
              <w:t>96</w:t>
            </w:r>
          </w:p>
        </w:tc>
      </w:tr>
    </w:tbl>
    <w:p w14:paraId="2DD01B7A" w14:textId="6F04DAC3" w:rsidR="00A71BE0" w:rsidRPr="00004D80" w:rsidRDefault="00047A3B" w:rsidP="00D62000">
      <w:pPr>
        <w:spacing w:after="0"/>
        <w:jc w:val="both"/>
        <w:rPr>
          <w:lang w:val="es-CR"/>
        </w:rPr>
      </w:pPr>
      <w:r w:rsidRPr="00004D80">
        <w:rPr>
          <w:lang w:val="es-CR"/>
        </w:rPr>
        <w:t>Fuente:</w:t>
      </w:r>
      <w:r w:rsidR="00E92B96" w:rsidRPr="00E92B96">
        <w:t xml:space="preserve"> </w:t>
      </w:r>
      <w:r w:rsidR="00BB4261">
        <w:rPr>
          <w:noProof/>
          <w:color w:val="0070C0"/>
          <w:lang w:val="es-CO"/>
        </w:rPr>
        <w:t>U.S. E</w:t>
      </w:r>
      <w:r w:rsidR="003F21DD" w:rsidRPr="003F21DD">
        <w:rPr>
          <w:noProof/>
          <w:color w:val="0070C0"/>
          <w:lang w:val="es-CO"/>
        </w:rPr>
        <w:t xml:space="preserve">PA </w:t>
      </w:r>
      <w:r w:rsidR="00E92B96" w:rsidRPr="003F21DD">
        <w:rPr>
          <w:noProof/>
          <w:color w:val="0070C0"/>
          <w:lang w:val="es-CO"/>
        </w:rPr>
        <w:t>(2005)</w:t>
      </w:r>
      <w:r w:rsidR="00B16260" w:rsidRPr="003F21DD">
        <w:rPr>
          <w:color w:val="0070C0"/>
          <w:lang w:val="es-CR"/>
        </w:rPr>
        <w:t>.</w:t>
      </w:r>
    </w:p>
    <w:p w14:paraId="6E8568C1" w14:textId="77777777" w:rsidR="004C7648" w:rsidRPr="00004D80" w:rsidRDefault="004C7648" w:rsidP="00D62000">
      <w:pPr>
        <w:spacing w:after="0"/>
        <w:jc w:val="both"/>
        <w:rPr>
          <w:lang w:val="es-CR"/>
        </w:rPr>
      </w:pPr>
    </w:p>
    <w:p w14:paraId="23BAD55D" w14:textId="504AE64A" w:rsidR="00A71BE0" w:rsidRPr="000E2B39" w:rsidRDefault="00A71BE0" w:rsidP="00D62000">
      <w:pPr>
        <w:spacing w:after="0"/>
        <w:jc w:val="both"/>
        <w:rPr>
          <w:lang w:val="es-CO"/>
        </w:rPr>
      </w:pPr>
      <w:r w:rsidRPr="000E2B39">
        <w:rPr>
          <w:lang w:val="es-CO"/>
        </w:rPr>
        <w:t xml:space="preserve">Para obtener la generación anual de </w:t>
      </w:r>
      <w:r w:rsidR="00274476">
        <w:rPr>
          <w:lang w:val="es-CO"/>
        </w:rPr>
        <w:t>d</w:t>
      </w:r>
      <w:r w:rsidRPr="000E2B39">
        <w:rPr>
          <w:lang w:val="es-CO"/>
        </w:rPr>
        <w:t xml:space="preserve">ióxido de carbono </w:t>
      </w:r>
      <m:oMath>
        <m:sSub>
          <m:sSubPr>
            <m:ctrlPr>
              <w:rPr>
                <w:rFonts w:ascii="Cambria Math" w:hAnsi="Cambria Math"/>
                <w:i/>
                <w:lang w:val="es-CO"/>
              </w:rPr>
            </m:ctrlPr>
          </m:sSubPr>
          <m:e>
            <m:r>
              <w:rPr>
                <w:rFonts w:ascii="Cambria Math" w:hAnsi="Cambria Math"/>
                <w:lang w:val="es-CO"/>
              </w:rPr>
              <m:t>Q</m:t>
            </m:r>
          </m:e>
          <m:sub>
            <m:r>
              <w:rPr>
                <w:rFonts w:ascii="Cambria Math" w:hAnsi="Cambria Math"/>
                <w:lang w:val="es-CO"/>
              </w:rPr>
              <m:t>C</m:t>
            </m:r>
            <m:sSub>
              <m:sSubPr>
                <m:ctrlPr>
                  <w:rPr>
                    <w:rFonts w:ascii="Cambria Math" w:hAnsi="Cambria Math"/>
                    <w:i/>
                    <w:lang w:val="es-CO"/>
                  </w:rPr>
                </m:ctrlPr>
              </m:sSubPr>
              <m:e>
                <m:r>
                  <w:rPr>
                    <w:rFonts w:ascii="Cambria Math" w:hAnsi="Cambria Math"/>
                    <w:lang w:val="es-CO"/>
                  </w:rPr>
                  <m:t>O</m:t>
                </m:r>
              </m:e>
              <m:sub>
                <m:r>
                  <w:rPr>
                    <w:rFonts w:ascii="Cambria Math" w:hAnsi="Cambria Math"/>
                    <w:lang w:val="es-CO"/>
                  </w:rPr>
                  <m:t>2</m:t>
                </m:r>
              </m:sub>
            </m:sSub>
          </m:sub>
        </m:sSub>
      </m:oMath>
      <w:r w:rsidRPr="000E2B39">
        <w:rPr>
          <w:lang w:val="es-CO"/>
        </w:rPr>
        <w:t xml:space="preserve">, </w:t>
      </w:r>
      <w:r w:rsidRPr="0025706A">
        <w:rPr>
          <w:b/>
          <w:lang w:val="es-CO"/>
        </w:rPr>
        <w:t>Ecuación 2</w:t>
      </w:r>
      <w:r w:rsidRPr="000E2B39">
        <w:rPr>
          <w:lang w:val="es-CO"/>
        </w:rPr>
        <w:t xml:space="preserve">, </w:t>
      </w:r>
      <w:proofErr w:type="spellStart"/>
      <w:r w:rsidRPr="000E2B39">
        <w:rPr>
          <w:lang w:val="es-CO"/>
        </w:rPr>
        <w:t>LandGEM</w:t>
      </w:r>
      <w:proofErr w:type="spellEnd"/>
      <w:r w:rsidRPr="000E2B39">
        <w:rPr>
          <w:lang w:val="es-CO"/>
        </w:rPr>
        <w:t xml:space="preserve">, Asume que </w:t>
      </w:r>
      <m:oMath>
        <m:sSub>
          <m:sSubPr>
            <m:ctrlPr>
              <w:rPr>
                <w:rFonts w:ascii="Cambria Math" w:hAnsi="Cambria Math"/>
                <w:i/>
                <w:lang w:val="es-CO"/>
              </w:rPr>
            </m:ctrlPr>
          </m:sSubPr>
          <m:e>
            <m:r>
              <w:rPr>
                <w:rFonts w:ascii="Cambria Math" w:hAnsi="Cambria Math"/>
                <w:lang w:val="es-CO"/>
              </w:rPr>
              <m:t>Q</m:t>
            </m:r>
          </m:e>
          <m:sub>
            <m:r>
              <w:rPr>
                <w:rFonts w:ascii="Cambria Math" w:hAnsi="Cambria Math"/>
                <w:lang w:val="es-CO"/>
              </w:rPr>
              <m:t>C</m:t>
            </m:r>
            <m:sSub>
              <m:sSubPr>
                <m:ctrlPr>
                  <w:rPr>
                    <w:rFonts w:ascii="Cambria Math" w:hAnsi="Cambria Math"/>
                    <w:i/>
                    <w:lang w:val="es-CO"/>
                  </w:rPr>
                </m:ctrlPr>
              </m:sSubPr>
              <m:e>
                <m:r>
                  <w:rPr>
                    <w:rFonts w:ascii="Cambria Math" w:hAnsi="Cambria Math"/>
                    <w:lang w:val="es-CO"/>
                  </w:rPr>
                  <m:t>O</m:t>
                </m:r>
              </m:e>
              <m:sub>
                <m:r>
                  <w:rPr>
                    <w:rFonts w:ascii="Cambria Math" w:hAnsi="Cambria Math"/>
                    <w:lang w:val="es-CO"/>
                  </w:rPr>
                  <m:t>2</m:t>
                </m:r>
              </m:sub>
            </m:sSub>
          </m:sub>
        </m:sSub>
        <m:r>
          <w:rPr>
            <w:rFonts w:ascii="Cambria Math" w:hAnsi="Cambria Math"/>
            <w:lang w:val="es-CO"/>
          </w:rPr>
          <m:t xml:space="preserve"> </m:t>
        </m:r>
      </m:oMath>
      <w:r w:rsidRPr="000E2B39">
        <w:rPr>
          <w:lang w:val="es-CO"/>
        </w:rPr>
        <w:t xml:space="preserve">y </w:t>
      </w:r>
      <m:oMath>
        <m:sSub>
          <m:sSubPr>
            <m:ctrlPr>
              <w:rPr>
                <w:rFonts w:ascii="Cambria Math" w:eastAsia="Calibri" w:hAnsi="Cambria Math"/>
                <w:bCs/>
                <w:i/>
                <w:lang w:val="es-CO" w:eastAsia="en-US"/>
              </w:rPr>
            </m:ctrlPr>
          </m:sSubPr>
          <m:e>
            <m:r>
              <w:rPr>
                <w:rFonts w:ascii="Cambria Math" w:hAnsi="Cambria Math"/>
                <w:lang w:val="es-CO"/>
              </w:rPr>
              <m:t>Q</m:t>
            </m:r>
          </m:e>
          <m:sub>
            <m:r>
              <w:rPr>
                <w:rFonts w:ascii="Cambria Math" w:hAnsi="Cambria Math"/>
                <w:lang w:val="es-CO"/>
              </w:rPr>
              <m:t>C</m:t>
            </m:r>
            <m:sSub>
              <m:sSubPr>
                <m:ctrlPr>
                  <w:rPr>
                    <w:rFonts w:ascii="Cambria Math" w:eastAsia="Calibri" w:hAnsi="Cambria Math"/>
                    <w:bCs/>
                    <w:i/>
                    <w:lang w:val="es-CO" w:eastAsia="en-US"/>
                  </w:rPr>
                </m:ctrlPr>
              </m:sSubPr>
              <m:e>
                <m:r>
                  <w:rPr>
                    <w:rFonts w:ascii="Cambria Math" w:hAnsi="Cambria Math"/>
                    <w:lang w:val="es-CO"/>
                  </w:rPr>
                  <m:t>H</m:t>
                </m:r>
              </m:e>
              <m:sub>
                <m:r>
                  <w:rPr>
                    <w:rFonts w:ascii="Cambria Math" w:hAnsi="Cambria Math"/>
                    <w:lang w:val="es-CO"/>
                  </w:rPr>
                  <m:t>4</m:t>
                </m:r>
              </m:sub>
            </m:sSub>
          </m:sub>
        </m:sSub>
        <m:r>
          <w:rPr>
            <w:rFonts w:ascii="Cambria Math" w:eastAsia="Calibri" w:hAnsi="Cambria Math"/>
            <w:lang w:val="es-CO" w:eastAsia="en-US"/>
          </w:rPr>
          <m:t xml:space="preserve"> </m:t>
        </m:r>
      </m:oMath>
      <w:r w:rsidRPr="000E2B39">
        <w:rPr>
          <w:lang w:val="es-CO"/>
        </w:rPr>
        <w:t xml:space="preserve">equivalen a un total de emisión </w:t>
      </w:r>
      <m:oMath>
        <m:sSub>
          <m:sSubPr>
            <m:ctrlPr>
              <w:rPr>
                <w:rFonts w:ascii="Cambria Math" w:hAnsi="Cambria Math"/>
                <w:i/>
                <w:lang w:val="es-CO"/>
              </w:rPr>
            </m:ctrlPr>
          </m:sSubPr>
          <m:e>
            <m:r>
              <w:rPr>
                <w:rFonts w:ascii="Cambria Math" w:hAnsi="Cambria Math"/>
                <w:lang w:val="es-CO"/>
              </w:rPr>
              <m:t>Q</m:t>
            </m:r>
          </m:e>
          <m:sub>
            <m:r>
              <w:rPr>
                <w:rFonts w:ascii="Cambria Math" w:hAnsi="Cambria Math"/>
                <w:lang w:val="es-CO"/>
              </w:rPr>
              <m:t>Total</m:t>
            </m:r>
          </m:sub>
        </m:sSub>
      </m:oMath>
      <w:r w:rsidR="00412D32">
        <w:rPr>
          <w:lang w:val="es-CO"/>
        </w:rPr>
        <w:t>.</w:t>
      </w:r>
      <w:r w:rsidRPr="000E2B39">
        <w:rPr>
          <w:lang w:val="es-CO"/>
        </w:rPr>
        <w:t xml:space="preserve"> </w:t>
      </w:r>
      <w:r w:rsidR="00412D32">
        <w:rPr>
          <w:lang w:val="es-CO"/>
        </w:rPr>
        <w:t>P</w:t>
      </w:r>
      <w:r w:rsidRPr="000E2B39">
        <w:rPr>
          <w:lang w:val="es-CO"/>
        </w:rPr>
        <w:t>or otro lado, se asume que</w:t>
      </w:r>
      <w:r w:rsidR="00C000E0" w:rsidRPr="000E2B39">
        <w:rPr>
          <w:lang w:val="es-CO"/>
        </w:rPr>
        <w:t xml:space="preserve"> </w:t>
      </w:r>
      <m:oMath>
        <m:sSub>
          <m:sSubPr>
            <m:ctrlPr>
              <w:rPr>
                <w:rFonts w:ascii="Cambria Math" w:eastAsia="Calibri" w:hAnsi="Cambria Math"/>
                <w:bCs/>
                <w:i/>
                <w:lang w:val="es-CO" w:eastAsia="en-US"/>
              </w:rPr>
            </m:ctrlPr>
          </m:sSubPr>
          <m:e>
            <m:r>
              <w:rPr>
                <w:rFonts w:ascii="Cambria Math" w:hAnsi="Cambria Math"/>
                <w:lang w:val="es-CO"/>
              </w:rPr>
              <m:t>Q</m:t>
            </m:r>
          </m:e>
          <m:sub>
            <m:r>
              <w:rPr>
                <w:rFonts w:ascii="Cambria Math" w:hAnsi="Cambria Math"/>
                <w:lang w:val="es-CO"/>
              </w:rPr>
              <m:t>C</m:t>
            </m:r>
            <m:sSub>
              <m:sSubPr>
                <m:ctrlPr>
                  <w:rPr>
                    <w:rFonts w:ascii="Cambria Math" w:eastAsia="Calibri" w:hAnsi="Cambria Math"/>
                    <w:bCs/>
                    <w:i/>
                    <w:lang w:val="es-CO" w:eastAsia="en-US"/>
                  </w:rPr>
                </m:ctrlPr>
              </m:sSubPr>
              <m:e>
                <m:r>
                  <w:rPr>
                    <w:rFonts w:ascii="Cambria Math" w:hAnsi="Cambria Math"/>
                    <w:lang w:val="es-CO"/>
                  </w:rPr>
                  <m:t>H</m:t>
                </m:r>
              </m:e>
              <m:sub>
                <m:r>
                  <w:rPr>
                    <w:rFonts w:ascii="Cambria Math" w:hAnsi="Cambria Math"/>
                    <w:lang w:val="es-CO"/>
                  </w:rPr>
                  <m:t>4</m:t>
                </m:r>
              </m:sub>
            </m:sSub>
          </m:sub>
        </m:sSub>
      </m:oMath>
      <w:r w:rsidRPr="000E2B39">
        <w:rPr>
          <w:lang w:val="es-CO"/>
        </w:rPr>
        <w:t xml:space="preserve"> equivale al producto de</w:t>
      </w:r>
      <w:r w:rsidR="00C000E0" w:rsidRPr="000E2B39">
        <w:rPr>
          <w:lang w:val="es-CO"/>
        </w:rPr>
        <w:t xml:space="preserve"> </w:t>
      </w:r>
      <m:oMath>
        <m:sSub>
          <m:sSubPr>
            <m:ctrlPr>
              <w:rPr>
                <w:rFonts w:ascii="Cambria Math" w:hAnsi="Cambria Math"/>
                <w:i/>
                <w:lang w:val="es-CO"/>
              </w:rPr>
            </m:ctrlPr>
          </m:sSubPr>
          <m:e>
            <m:r>
              <w:rPr>
                <w:rFonts w:ascii="Cambria Math" w:hAnsi="Cambria Math"/>
                <w:lang w:val="es-CO"/>
              </w:rPr>
              <m:t>Q</m:t>
            </m:r>
          </m:e>
          <m:sub>
            <m:r>
              <w:rPr>
                <w:rFonts w:ascii="Cambria Math" w:hAnsi="Cambria Math"/>
                <w:lang w:val="es-CO"/>
              </w:rPr>
              <m:t>Total</m:t>
            </m:r>
          </m:sub>
        </m:sSub>
      </m:oMath>
      <w:r w:rsidRPr="000E2B39">
        <w:rPr>
          <w:lang w:val="es-CO"/>
        </w:rPr>
        <w:t xml:space="preserve">  por el porcentaje de metano </w:t>
      </w:r>
      <m:oMath>
        <m:sSub>
          <m:sSubPr>
            <m:ctrlPr>
              <w:rPr>
                <w:rFonts w:ascii="Cambria Math" w:hAnsi="Cambria Math"/>
                <w:i/>
                <w:lang w:val="es-CO"/>
              </w:rPr>
            </m:ctrlPr>
          </m:sSubPr>
          <m:e>
            <m:r>
              <w:rPr>
                <w:rFonts w:ascii="Cambria Math" w:hAnsi="Cambria Math"/>
                <w:lang w:val="es-CO"/>
              </w:rPr>
              <m:t>P</m:t>
            </m:r>
          </m:e>
          <m:sub>
            <m:r>
              <w:rPr>
                <w:rFonts w:ascii="Cambria Math" w:hAnsi="Cambria Math"/>
                <w:lang w:val="es-CO"/>
              </w:rPr>
              <m:t>C</m:t>
            </m:r>
            <m:sSub>
              <m:sSubPr>
                <m:ctrlPr>
                  <w:rPr>
                    <w:rFonts w:ascii="Cambria Math" w:hAnsi="Cambria Math"/>
                    <w:i/>
                    <w:lang w:val="es-CO"/>
                  </w:rPr>
                </m:ctrlPr>
              </m:sSubPr>
              <m:e>
                <m:r>
                  <w:rPr>
                    <w:rFonts w:ascii="Cambria Math" w:hAnsi="Cambria Math"/>
                    <w:lang w:val="es-CO"/>
                  </w:rPr>
                  <m:t>H</m:t>
                </m:r>
              </m:e>
              <m:sub>
                <m:r>
                  <w:rPr>
                    <w:rFonts w:ascii="Cambria Math" w:hAnsi="Cambria Math"/>
                    <w:lang w:val="es-CO"/>
                  </w:rPr>
                  <m:t>4</m:t>
                </m:r>
              </m:sub>
            </m:sSub>
          </m:sub>
        </m:sSub>
      </m:oMath>
      <w:r w:rsidRPr="000E2B39">
        <w:rPr>
          <w:lang w:val="es-CO"/>
        </w:rPr>
        <w:t xml:space="preserve"> expresado en fracción, con lo cual se obtiene:</w:t>
      </w:r>
    </w:p>
    <w:p w14:paraId="21325DAD" w14:textId="53607DFE" w:rsidR="00A71BE0" w:rsidRPr="006F5FB5" w:rsidRDefault="00D43B40" w:rsidP="00D62000">
      <w:pPr>
        <w:pStyle w:val="Textocomentario"/>
        <w:tabs>
          <w:tab w:val="left" w:pos="6379"/>
        </w:tabs>
        <w:spacing w:after="0"/>
        <w:rPr>
          <w:sz w:val="24"/>
          <w:szCs w:val="24"/>
          <w:lang w:val="es-CO"/>
        </w:rPr>
      </w:pPr>
      <m:oMathPara>
        <m:oMathParaPr>
          <m:jc m:val="center"/>
        </m:oMathParaPr>
        <m:oMath>
          <m:sSub>
            <m:sSubPr>
              <m:ctrlPr>
                <w:rPr>
                  <w:rFonts w:ascii="Cambria Math" w:hAnsi="Cambria Math"/>
                  <w:i/>
                  <w:sz w:val="24"/>
                  <w:szCs w:val="24"/>
                  <w:lang w:val="es-CO"/>
                </w:rPr>
              </m:ctrlPr>
            </m:sSubPr>
            <m:e>
              <m:r>
                <w:rPr>
                  <w:rFonts w:ascii="Cambria Math" w:hAnsi="Cambria Math"/>
                  <w:sz w:val="24"/>
                  <w:szCs w:val="24"/>
                  <w:lang w:val="es-CO"/>
                </w:rPr>
                <m:t>Q</m:t>
              </m:r>
            </m:e>
            <m:sub>
              <m:r>
                <w:rPr>
                  <w:rFonts w:ascii="Cambria Math" w:hAnsi="Cambria Math"/>
                  <w:sz w:val="24"/>
                  <w:szCs w:val="24"/>
                  <w:lang w:val="es-CO"/>
                </w:rPr>
                <m:t>C</m:t>
              </m:r>
              <m:sSub>
                <m:sSubPr>
                  <m:ctrlPr>
                    <w:rPr>
                      <w:rFonts w:ascii="Cambria Math" w:hAnsi="Cambria Math"/>
                      <w:i/>
                      <w:sz w:val="24"/>
                      <w:szCs w:val="24"/>
                      <w:lang w:val="es-CO"/>
                    </w:rPr>
                  </m:ctrlPr>
                </m:sSubPr>
                <m:e>
                  <m:r>
                    <w:rPr>
                      <w:rFonts w:ascii="Cambria Math" w:hAnsi="Cambria Math"/>
                      <w:sz w:val="24"/>
                      <w:szCs w:val="24"/>
                      <w:lang w:val="es-CO"/>
                    </w:rPr>
                    <m:t>O</m:t>
                  </m:r>
                </m:e>
                <m:sub>
                  <m:r>
                    <w:rPr>
                      <w:rFonts w:ascii="Cambria Math" w:hAnsi="Cambria Math"/>
                      <w:sz w:val="24"/>
                      <w:szCs w:val="24"/>
                      <w:lang w:val="es-CO"/>
                    </w:rPr>
                    <m:t>2</m:t>
                  </m:r>
                </m:sub>
              </m:sSub>
            </m:sub>
          </m:sSub>
          <m:r>
            <w:rPr>
              <w:rFonts w:ascii="Cambria Math" w:hAnsi="Cambria Math"/>
              <w:sz w:val="24"/>
              <w:szCs w:val="24"/>
              <w:lang w:val="es-CO"/>
            </w:rPr>
            <m:t>=</m:t>
          </m:r>
          <m:sSub>
            <m:sSubPr>
              <m:ctrlPr>
                <w:rPr>
                  <w:rFonts w:ascii="Cambria Math" w:eastAsia="Calibri" w:hAnsi="Cambria Math"/>
                  <w:bCs/>
                  <w:i/>
                  <w:sz w:val="24"/>
                  <w:szCs w:val="24"/>
                  <w:lang w:val="es-CO" w:eastAsia="en-US"/>
                </w:rPr>
              </m:ctrlPr>
            </m:sSubPr>
            <m:e>
              <m:r>
                <w:rPr>
                  <w:rFonts w:ascii="Cambria Math" w:hAnsi="Cambria Math"/>
                  <w:sz w:val="24"/>
                  <w:szCs w:val="24"/>
                  <w:lang w:val="es-CO"/>
                </w:rPr>
                <m:t>Q</m:t>
              </m:r>
            </m:e>
            <m:sub>
              <m:r>
                <w:rPr>
                  <w:rFonts w:ascii="Cambria Math" w:hAnsi="Cambria Math"/>
                  <w:sz w:val="24"/>
                  <w:szCs w:val="24"/>
                  <w:lang w:val="es-CO"/>
                </w:rPr>
                <m:t>C</m:t>
              </m:r>
              <m:sSub>
                <m:sSubPr>
                  <m:ctrlPr>
                    <w:rPr>
                      <w:rFonts w:ascii="Cambria Math" w:eastAsia="Calibri" w:hAnsi="Cambria Math"/>
                      <w:bCs/>
                      <w:i/>
                      <w:sz w:val="24"/>
                      <w:szCs w:val="24"/>
                      <w:lang w:val="es-CO" w:eastAsia="en-US"/>
                    </w:rPr>
                  </m:ctrlPr>
                </m:sSubPr>
                <m:e>
                  <m:r>
                    <w:rPr>
                      <w:rFonts w:ascii="Cambria Math" w:hAnsi="Cambria Math"/>
                      <w:sz w:val="24"/>
                      <w:szCs w:val="24"/>
                      <w:lang w:val="es-CO"/>
                    </w:rPr>
                    <m:t>H</m:t>
                  </m:r>
                </m:e>
                <m:sub>
                  <m:r>
                    <w:rPr>
                      <w:rFonts w:ascii="Cambria Math" w:hAnsi="Cambria Math"/>
                      <w:sz w:val="24"/>
                      <w:szCs w:val="24"/>
                      <w:lang w:val="es-CO"/>
                    </w:rPr>
                    <m:t xml:space="preserve">4 </m:t>
                  </m:r>
                </m:sub>
              </m:sSub>
            </m:sub>
          </m:sSub>
          <m:r>
            <w:rPr>
              <w:rFonts w:ascii="Cambria Math" w:eastAsia="Calibri" w:hAnsi="Cambria Math"/>
              <w:sz w:val="24"/>
              <w:szCs w:val="24"/>
              <w:lang w:val="es-CO" w:eastAsia="en-US"/>
            </w:rPr>
            <m:t>*</m:t>
          </m:r>
          <m:d>
            <m:dPr>
              <m:begChr m:val="{"/>
              <m:endChr m:val="}"/>
              <m:ctrlPr>
                <w:rPr>
                  <w:rFonts w:ascii="Cambria Math" w:eastAsia="Calibri" w:hAnsi="Cambria Math"/>
                  <w:bCs/>
                  <w:i/>
                  <w:sz w:val="24"/>
                  <w:szCs w:val="24"/>
                  <w:lang w:val="es-CO" w:eastAsia="en-US"/>
                </w:rPr>
              </m:ctrlPr>
            </m:dPr>
            <m:e>
              <m:d>
                <m:dPr>
                  <m:begChr m:val="["/>
                  <m:endChr m:val="]"/>
                  <m:ctrlPr>
                    <w:rPr>
                      <w:rFonts w:ascii="Cambria Math" w:eastAsia="Calibri" w:hAnsi="Cambria Math"/>
                      <w:bCs/>
                      <w:i/>
                      <w:sz w:val="24"/>
                      <w:szCs w:val="24"/>
                      <w:lang w:val="es-CO" w:eastAsia="en-US"/>
                    </w:rPr>
                  </m:ctrlPr>
                </m:dPr>
                <m:e>
                  <m:f>
                    <m:fPr>
                      <m:ctrlPr>
                        <w:rPr>
                          <w:rFonts w:ascii="Cambria Math" w:eastAsia="Calibri" w:hAnsi="Cambria Math"/>
                          <w:bCs/>
                          <w:i/>
                          <w:sz w:val="24"/>
                          <w:szCs w:val="24"/>
                          <w:lang w:val="es-CO" w:eastAsia="en-US"/>
                        </w:rPr>
                      </m:ctrlPr>
                    </m:fPr>
                    <m:num>
                      <m:r>
                        <w:rPr>
                          <w:rFonts w:ascii="Cambria Math" w:eastAsia="Calibri" w:hAnsi="Cambria Math"/>
                          <w:sz w:val="24"/>
                          <w:szCs w:val="24"/>
                          <w:lang w:val="es-CO" w:eastAsia="en-US"/>
                        </w:rPr>
                        <m:t>1</m:t>
                      </m:r>
                    </m:num>
                    <m:den>
                      <m:f>
                        <m:fPr>
                          <m:ctrlPr>
                            <w:rPr>
                              <w:rFonts w:ascii="Cambria Math" w:hAnsi="Cambria Math"/>
                              <w:i/>
                              <w:sz w:val="24"/>
                              <w:szCs w:val="24"/>
                              <w:lang w:val="es-CO"/>
                            </w:rPr>
                          </m:ctrlPr>
                        </m:fPr>
                        <m:num>
                          <m:sSub>
                            <m:sSubPr>
                              <m:ctrlPr>
                                <w:rPr>
                                  <w:rFonts w:ascii="Cambria Math" w:hAnsi="Cambria Math"/>
                                  <w:i/>
                                  <w:sz w:val="24"/>
                                  <w:szCs w:val="24"/>
                                  <w:lang w:val="es-CO"/>
                                </w:rPr>
                              </m:ctrlPr>
                            </m:sSubPr>
                            <m:e>
                              <m:r>
                                <w:rPr>
                                  <w:rFonts w:ascii="Cambria Math" w:hAnsi="Cambria Math"/>
                                  <w:sz w:val="24"/>
                                  <w:szCs w:val="24"/>
                                  <w:lang w:val="es-CO"/>
                                </w:rPr>
                                <m:t>P</m:t>
                              </m:r>
                            </m:e>
                            <m:sub>
                              <m:r>
                                <w:rPr>
                                  <w:rFonts w:ascii="Cambria Math" w:hAnsi="Cambria Math"/>
                                  <w:sz w:val="24"/>
                                  <w:szCs w:val="24"/>
                                  <w:lang w:val="es-CO"/>
                                </w:rPr>
                                <m:t>C</m:t>
                              </m:r>
                              <m:sSub>
                                <m:sSubPr>
                                  <m:ctrlPr>
                                    <w:rPr>
                                      <w:rFonts w:ascii="Cambria Math" w:hAnsi="Cambria Math"/>
                                      <w:i/>
                                      <w:sz w:val="24"/>
                                      <w:szCs w:val="24"/>
                                      <w:lang w:val="es-CO"/>
                                    </w:rPr>
                                  </m:ctrlPr>
                                </m:sSubPr>
                                <m:e>
                                  <m:r>
                                    <w:rPr>
                                      <w:rFonts w:ascii="Cambria Math" w:hAnsi="Cambria Math"/>
                                      <w:sz w:val="24"/>
                                      <w:szCs w:val="24"/>
                                      <w:lang w:val="es-CO"/>
                                    </w:rPr>
                                    <m:t>H</m:t>
                                  </m:r>
                                </m:e>
                                <m:sub>
                                  <m:r>
                                    <w:rPr>
                                      <w:rFonts w:ascii="Cambria Math" w:hAnsi="Cambria Math"/>
                                      <w:sz w:val="24"/>
                                      <w:szCs w:val="24"/>
                                      <w:lang w:val="es-CO"/>
                                    </w:rPr>
                                    <m:t>4</m:t>
                                  </m:r>
                                </m:sub>
                              </m:sSub>
                            </m:sub>
                          </m:sSub>
                        </m:num>
                        <m:den>
                          <m:r>
                            <w:rPr>
                              <w:rFonts w:ascii="Cambria Math" w:hAnsi="Cambria Math"/>
                              <w:sz w:val="24"/>
                              <w:szCs w:val="24"/>
                              <w:lang w:val="es-CO"/>
                            </w:rPr>
                            <m:t>100</m:t>
                          </m:r>
                        </m:den>
                      </m:f>
                    </m:den>
                  </m:f>
                </m:e>
              </m:d>
              <m:r>
                <w:rPr>
                  <w:rFonts w:ascii="Cambria Math" w:eastAsia="Calibri" w:hAnsi="Cambria Math"/>
                  <w:sz w:val="24"/>
                  <w:szCs w:val="24"/>
                  <w:lang w:val="es-CO" w:eastAsia="en-US"/>
                </w:rPr>
                <m:t>-1</m:t>
              </m:r>
            </m:e>
          </m:d>
          <m:r>
            <w:rPr>
              <w:rFonts w:ascii="Cambria Math" w:hAnsi="Cambria Math"/>
              <w:sz w:val="24"/>
              <w:szCs w:val="24"/>
              <w:lang w:val="es-CO" w:eastAsia="en-US"/>
            </w:rPr>
            <m:t xml:space="preserve">                             </m:t>
          </m:r>
          <m:r>
            <m:rPr>
              <m:sty m:val="p"/>
            </m:rPr>
            <w:rPr>
              <w:rFonts w:ascii="Cambria Math" w:hAnsi="Cambria Math"/>
              <w:sz w:val="24"/>
              <w:szCs w:val="24"/>
              <w:lang w:val="es-CO" w:eastAsia="en-US"/>
            </w:rPr>
            <m:t>(</m:t>
          </m:r>
          <m:r>
            <m:rPr>
              <m:sty m:val="b"/>
            </m:rPr>
            <w:rPr>
              <w:rFonts w:ascii="Cambria Math" w:hAnsi="Cambria Math"/>
              <w:sz w:val="24"/>
              <w:szCs w:val="24"/>
              <w:lang w:val="es-CO" w:eastAsia="en-US"/>
            </w:rPr>
            <m:t>E.2</m:t>
          </m:r>
          <m:r>
            <m:rPr>
              <m:sty m:val="p"/>
            </m:rPr>
            <w:rPr>
              <w:rFonts w:ascii="Cambria Math" w:hAnsi="Cambria Math"/>
              <w:sz w:val="24"/>
              <w:szCs w:val="24"/>
              <w:lang w:val="es-CO" w:eastAsia="en-US"/>
            </w:rPr>
            <m:t>)</m:t>
          </m:r>
        </m:oMath>
      </m:oMathPara>
    </w:p>
    <w:p w14:paraId="0F1099A5" w14:textId="2D08E693" w:rsidR="004C7648" w:rsidRDefault="0025706A" w:rsidP="00D62000">
      <w:pPr>
        <w:spacing w:after="0"/>
        <w:jc w:val="both"/>
        <w:rPr>
          <w:lang w:val="es-CO"/>
        </w:rPr>
      </w:pPr>
      <w:r>
        <w:rPr>
          <w:lang w:val="es-CO"/>
        </w:rPr>
        <w:t>Para l</w:t>
      </w:r>
      <w:r w:rsidR="00A71BE0" w:rsidRPr="000E2B39">
        <w:rPr>
          <w:lang w:val="es-CO"/>
        </w:rPr>
        <w:t xml:space="preserve">a determinación de NMOC, </w:t>
      </w:r>
      <w:proofErr w:type="spellStart"/>
      <w:r w:rsidR="00A71BE0" w:rsidRPr="000E2B39">
        <w:rPr>
          <w:lang w:val="es-CO"/>
        </w:rPr>
        <w:t>LandGEM</w:t>
      </w:r>
      <w:proofErr w:type="spellEnd"/>
      <w:r w:rsidR="00A71BE0" w:rsidRPr="000E2B39">
        <w:rPr>
          <w:lang w:val="es-CO"/>
        </w:rPr>
        <w:t>, establece su valor en función de los tipos de desecho del relleno sanitario y el tiempo de las reacciones que producen diversos compuestos media</w:t>
      </w:r>
      <w:r w:rsidR="006461C2">
        <w:rPr>
          <w:lang w:val="es-CO"/>
        </w:rPr>
        <w:t>nte la descomposición anaeróbica</w:t>
      </w:r>
      <w:r w:rsidR="00A71BE0" w:rsidRPr="000E2B39">
        <w:rPr>
          <w:lang w:val="es-CO"/>
        </w:rPr>
        <w:t xml:space="preserve">. </w:t>
      </w:r>
    </w:p>
    <w:p w14:paraId="49824E0C" w14:textId="77777777" w:rsidR="006461C2" w:rsidRPr="000E2B39" w:rsidRDefault="006461C2" w:rsidP="00D62000">
      <w:pPr>
        <w:spacing w:after="0"/>
        <w:jc w:val="both"/>
        <w:rPr>
          <w:lang w:val="es-CO"/>
        </w:rPr>
      </w:pPr>
    </w:p>
    <w:p w14:paraId="0273C79B" w14:textId="4D1C7722" w:rsidR="00682671" w:rsidRPr="000E2B39" w:rsidRDefault="00682671" w:rsidP="00D62000">
      <w:pPr>
        <w:spacing w:after="0"/>
        <w:jc w:val="both"/>
        <w:rPr>
          <w:lang w:val="es-CO"/>
        </w:rPr>
      </w:pPr>
      <w:r w:rsidRPr="000E2B39">
        <w:rPr>
          <w:lang w:val="es-CO"/>
        </w:rPr>
        <w:t xml:space="preserve">Teniendo en cuenta los resultados obtenidos de la simulación en </w:t>
      </w:r>
      <w:proofErr w:type="spellStart"/>
      <w:r w:rsidRPr="000E2B39">
        <w:rPr>
          <w:lang w:val="es-CO"/>
        </w:rPr>
        <w:t>LandGEM</w:t>
      </w:r>
      <w:proofErr w:type="spellEnd"/>
      <w:r w:rsidRPr="000E2B39">
        <w:rPr>
          <w:lang w:val="es-CO"/>
        </w:rPr>
        <w:t>, se realizaron los respectivos análisis de cada tasa de emisión de CH</w:t>
      </w:r>
      <w:r w:rsidRPr="000E2B39">
        <w:rPr>
          <w:vertAlign w:val="subscript"/>
          <w:lang w:val="es-CO"/>
        </w:rPr>
        <w:t>4</w:t>
      </w:r>
      <w:r w:rsidRPr="000E2B39">
        <w:rPr>
          <w:lang w:val="es-CO"/>
        </w:rPr>
        <w:t>, CO</w:t>
      </w:r>
      <w:r w:rsidRPr="000E2B39">
        <w:rPr>
          <w:vertAlign w:val="subscript"/>
          <w:lang w:val="es-CO"/>
        </w:rPr>
        <w:t>2</w:t>
      </w:r>
      <w:r w:rsidRPr="000E2B39">
        <w:rPr>
          <w:lang w:val="es-CO"/>
        </w:rPr>
        <w:t xml:space="preserve"> y NMOC para cada año de clausura 2020, 2040 y 2070 resaltando el valor máximo de emisión y la media del comportamiento de datos</w:t>
      </w:r>
      <w:r w:rsidR="0025706A">
        <w:rPr>
          <w:lang w:val="es-CO"/>
        </w:rPr>
        <w:t>.</w:t>
      </w:r>
    </w:p>
    <w:p w14:paraId="657D867A" w14:textId="77777777" w:rsidR="00416B1F" w:rsidRPr="00047A3B" w:rsidRDefault="00416B1F" w:rsidP="00D62000">
      <w:pPr>
        <w:spacing w:after="0"/>
        <w:jc w:val="both"/>
        <w:rPr>
          <w:b/>
        </w:rPr>
      </w:pPr>
    </w:p>
    <w:p w14:paraId="77DBCA8F" w14:textId="243FEC62" w:rsidR="00F0704A" w:rsidRDefault="00D14E51" w:rsidP="00D62000">
      <w:pPr>
        <w:spacing w:after="0"/>
        <w:jc w:val="both"/>
        <w:rPr>
          <w:b/>
        </w:rPr>
      </w:pPr>
      <w:r>
        <w:rPr>
          <w:b/>
        </w:rPr>
        <w:t xml:space="preserve">3. </w:t>
      </w:r>
      <w:r w:rsidR="00D25909" w:rsidRPr="000E2B39">
        <w:rPr>
          <w:b/>
        </w:rPr>
        <w:t>Resultados</w:t>
      </w:r>
      <w:r w:rsidR="00B524B9">
        <w:rPr>
          <w:b/>
        </w:rPr>
        <w:t xml:space="preserve"> y discusión </w:t>
      </w:r>
    </w:p>
    <w:p w14:paraId="435C3315" w14:textId="77777777" w:rsidR="00AB13C5" w:rsidRPr="000E2B39" w:rsidRDefault="00AB13C5" w:rsidP="00D62000">
      <w:pPr>
        <w:spacing w:after="0"/>
        <w:jc w:val="both"/>
        <w:rPr>
          <w:b/>
        </w:rPr>
      </w:pPr>
    </w:p>
    <w:p w14:paraId="4CB56E1F" w14:textId="04871AF0" w:rsidR="00497305" w:rsidRPr="000E2B39" w:rsidRDefault="00D806F3" w:rsidP="00D62000">
      <w:pPr>
        <w:spacing w:after="0"/>
        <w:jc w:val="both"/>
        <w:rPr>
          <w:lang w:val="es-CO"/>
        </w:rPr>
      </w:pPr>
      <w:r w:rsidRPr="000E2B39">
        <w:rPr>
          <w:lang w:val="es-CO"/>
        </w:rPr>
        <w:t>Para el análisis de las pr</w:t>
      </w:r>
      <w:r w:rsidR="00B81E07">
        <w:rPr>
          <w:lang w:val="es-CO"/>
        </w:rPr>
        <w:t xml:space="preserve">oyecciones realizadas en </w:t>
      </w:r>
      <w:proofErr w:type="spellStart"/>
      <w:r w:rsidR="00B81E07">
        <w:rPr>
          <w:lang w:val="es-CO"/>
        </w:rPr>
        <w:t>LandGEM</w:t>
      </w:r>
      <w:proofErr w:type="spellEnd"/>
      <w:r w:rsidRPr="000E2B39">
        <w:rPr>
          <w:lang w:val="es-CO"/>
        </w:rPr>
        <w:t xml:space="preserve">, se tomó como referencia el estudio de </w:t>
      </w:r>
      <w:r w:rsidR="006735CB" w:rsidRPr="00AB13C5">
        <w:rPr>
          <w:color w:val="0070C0"/>
          <w:lang w:val="es-CO"/>
        </w:rPr>
        <w:fldChar w:fldCharType="begin" w:fldLock="1"/>
      </w:r>
      <w:r w:rsidR="008070E4" w:rsidRPr="00AB13C5">
        <w:rPr>
          <w:color w:val="0070C0"/>
          <w:lang w:val="es-CO"/>
        </w:rPr>
        <w:instrText>ADDIN CSL_CITATION {"citationItems":[{"id":"ITEM-1","itemData":{"abstract":"ARRAY(0x5650746149c8)","author":[{"dropping-particle":"","family":"Barreto Pulido","given":"Ower Rolando","non-dropping-particle":"","parse-names":false,"suffix":""}],"id":"ITEM-1","issued":{"date-parts":[["2017","6"]]},"title":"Comparación del desempeño de varias calidades de gas natural y evaluación de viabilidad para el uso de biogás como combustible para vehículos que operan con GNCV.","type":"report"},"uris":["http://www.mendeley.com/documents/?uuid=80f2a802-d42d-4bef-9196-f8763b960061"]}],"mendeley":{"formattedCitation":"(Barreto Pulido, 2017)","manualFormatting":"Barreto Pulido (2017)","plainTextFormattedCitation":"(Barreto Pulido, 2017)","previouslyFormattedCitation":"(Barreto Pulido, 2017)"},"properties":{"noteIndex":0},"schema":"https://github.com/citation-style-language/schema/raw/master/csl-citation.json"}</w:instrText>
      </w:r>
      <w:r w:rsidR="006735CB" w:rsidRPr="00AB13C5">
        <w:rPr>
          <w:color w:val="0070C0"/>
          <w:lang w:val="es-CO"/>
        </w:rPr>
        <w:fldChar w:fldCharType="separate"/>
      </w:r>
      <w:r w:rsidR="006735CB" w:rsidRPr="00AB13C5">
        <w:rPr>
          <w:noProof/>
          <w:color w:val="0070C0"/>
          <w:lang w:val="es-CO"/>
        </w:rPr>
        <w:t>Barreto (2017)</w:t>
      </w:r>
      <w:r w:rsidR="006735CB" w:rsidRPr="00AB13C5">
        <w:rPr>
          <w:color w:val="0070C0"/>
          <w:lang w:val="es-CO"/>
        </w:rPr>
        <w:fldChar w:fldCharType="end"/>
      </w:r>
      <w:r w:rsidRPr="000E2B39">
        <w:t>, donde explica el aprovechamiento de CH</w:t>
      </w:r>
      <w:r w:rsidRPr="000E2B39">
        <w:rPr>
          <w:vertAlign w:val="subscript"/>
        </w:rPr>
        <w:t xml:space="preserve">4 </w:t>
      </w:r>
      <w:r w:rsidRPr="000E2B39">
        <w:t xml:space="preserve">en el relleno sanitario y se plantean medidas preventivas de aprovechamiento con base a criterios internacionales. </w:t>
      </w:r>
      <w:r w:rsidRPr="000E2B39">
        <w:rPr>
          <w:lang w:val="es-CO"/>
        </w:rPr>
        <w:t xml:space="preserve"> </w:t>
      </w:r>
      <w:r w:rsidR="00497305" w:rsidRPr="000E2B39">
        <w:rPr>
          <w:lang w:val="es-CO"/>
        </w:rPr>
        <w:t xml:space="preserve">A </w:t>
      </w:r>
      <w:r w:rsidR="000B3137" w:rsidRPr="000E2B39">
        <w:rPr>
          <w:lang w:val="es-CO"/>
        </w:rPr>
        <w:t>continuación,</w:t>
      </w:r>
      <w:r w:rsidR="00497305" w:rsidRPr="000E2B39">
        <w:rPr>
          <w:lang w:val="es-CO"/>
        </w:rPr>
        <w:t xml:space="preserve"> se presenta el análisis de los resultados obtenidos en cada etapa de investigación:</w:t>
      </w:r>
    </w:p>
    <w:p w14:paraId="2EB0BE4F" w14:textId="77777777" w:rsidR="00326738" w:rsidRPr="000E2B39" w:rsidRDefault="00326738" w:rsidP="00D62000">
      <w:pPr>
        <w:spacing w:after="0"/>
        <w:jc w:val="both"/>
        <w:rPr>
          <w:lang w:val="es-CO"/>
        </w:rPr>
      </w:pPr>
    </w:p>
    <w:p w14:paraId="663561E6" w14:textId="43209168" w:rsidR="00326738" w:rsidRDefault="00326738" w:rsidP="00D62000">
      <w:pPr>
        <w:pStyle w:val="Prrafodelista"/>
        <w:numPr>
          <w:ilvl w:val="1"/>
          <w:numId w:val="11"/>
        </w:numPr>
        <w:spacing w:after="0"/>
        <w:jc w:val="both"/>
        <w:rPr>
          <w:b/>
          <w:lang w:val="es-CO"/>
        </w:rPr>
      </w:pPr>
      <w:r w:rsidRPr="00D14E51">
        <w:rPr>
          <w:b/>
          <w:lang w:val="es-CO"/>
        </w:rPr>
        <w:t>Obtención y determinación de datos de entrada</w:t>
      </w:r>
    </w:p>
    <w:p w14:paraId="53772862" w14:textId="77777777" w:rsidR="00AB13C5" w:rsidRPr="00D14E51" w:rsidRDefault="00AB13C5" w:rsidP="00AB13C5">
      <w:pPr>
        <w:pStyle w:val="Prrafodelista"/>
        <w:spacing w:after="0"/>
        <w:ind w:left="360"/>
        <w:jc w:val="both"/>
        <w:rPr>
          <w:b/>
          <w:lang w:val="es-CO"/>
        </w:rPr>
      </w:pPr>
    </w:p>
    <w:p w14:paraId="603D1882" w14:textId="61B009AA" w:rsidR="00326738" w:rsidRDefault="00047A3B" w:rsidP="00D62000">
      <w:pPr>
        <w:spacing w:after="0"/>
        <w:jc w:val="both"/>
        <w:rPr>
          <w:b/>
          <w:lang w:val="es-CO"/>
        </w:rPr>
      </w:pPr>
      <w:r w:rsidRPr="00047A3B">
        <w:rPr>
          <w:lang w:val="es-CO"/>
        </w:rPr>
        <w:t>Se parte del</w:t>
      </w:r>
      <w:r w:rsidR="00D806F3" w:rsidRPr="000E2B39">
        <w:rPr>
          <w:lang w:val="es-CO"/>
        </w:rPr>
        <w:t xml:space="preserve"> registro de los datos de entrada sobre la cantidad de residuos sólidos depositados en el relleno objeto de estudio, que cuenta con el registro correspondiente a</w:t>
      </w:r>
      <w:r w:rsidR="00624C9B" w:rsidRPr="000E2B39">
        <w:rPr>
          <w:lang w:val="es-CO"/>
        </w:rPr>
        <w:t xml:space="preserve"> 17 año</w:t>
      </w:r>
      <w:r w:rsidR="00D806F3" w:rsidRPr="000E2B39">
        <w:rPr>
          <w:lang w:val="es-CO"/>
        </w:rPr>
        <w:t xml:space="preserve">s y se muestran en </w:t>
      </w:r>
      <w:r>
        <w:rPr>
          <w:lang w:val="es-CO"/>
        </w:rPr>
        <w:t xml:space="preserve">el </w:t>
      </w:r>
      <w:r>
        <w:rPr>
          <w:b/>
          <w:lang w:val="es-CO"/>
        </w:rPr>
        <w:t>C</w:t>
      </w:r>
      <w:r w:rsidRPr="00047A3B">
        <w:rPr>
          <w:b/>
          <w:lang w:val="es-CO"/>
        </w:rPr>
        <w:t xml:space="preserve">uadro </w:t>
      </w:r>
      <w:r w:rsidR="00D806F3" w:rsidRPr="00047A3B">
        <w:rPr>
          <w:b/>
          <w:lang w:val="es-CO"/>
        </w:rPr>
        <w:t xml:space="preserve">3 </w:t>
      </w:r>
    </w:p>
    <w:p w14:paraId="0AE30737" w14:textId="77777777" w:rsidR="004C7648" w:rsidRPr="00412D32" w:rsidRDefault="004C7648" w:rsidP="00D62000">
      <w:pPr>
        <w:spacing w:after="0"/>
        <w:jc w:val="both"/>
        <w:rPr>
          <w:b/>
          <w:lang w:val="es-CO"/>
        </w:rPr>
      </w:pPr>
    </w:p>
    <w:p w14:paraId="7E258E53" w14:textId="769DFF94" w:rsidR="00D806F3" w:rsidRPr="000E2B39" w:rsidRDefault="00D14E51" w:rsidP="00D62000">
      <w:pPr>
        <w:spacing w:after="0"/>
        <w:jc w:val="both"/>
        <w:rPr>
          <w:lang w:val="es-CO"/>
        </w:rPr>
      </w:pPr>
      <w:r w:rsidRPr="00D14E51">
        <w:rPr>
          <w:b/>
          <w:lang w:val="es-CO"/>
        </w:rPr>
        <w:t>Cuadro 3.</w:t>
      </w:r>
      <w:r w:rsidR="00624C9B" w:rsidRPr="000E2B39">
        <w:rPr>
          <w:i/>
          <w:lang w:val="es-CO"/>
        </w:rPr>
        <w:t xml:space="preserve"> </w:t>
      </w:r>
      <w:r w:rsidR="00624C9B" w:rsidRPr="000E2B39">
        <w:rPr>
          <w:lang w:val="es-CO"/>
        </w:rPr>
        <w:t xml:space="preserve">Residuos </w:t>
      </w:r>
      <w:r w:rsidR="00324894">
        <w:rPr>
          <w:lang w:val="es-CO"/>
        </w:rPr>
        <w:t>s</w:t>
      </w:r>
      <w:r w:rsidR="00624C9B" w:rsidRPr="000E2B39">
        <w:rPr>
          <w:lang w:val="es-CO"/>
        </w:rPr>
        <w:t>ólidos depositados en el relleno sanitario Doña Juana desde el 2002 hasta el 2018</w:t>
      </w:r>
      <w:r w:rsidR="00324894">
        <w:rPr>
          <w:lang w:val="es-CO"/>
        </w:rPr>
        <w:t>.</w:t>
      </w:r>
    </w:p>
    <w:p w14:paraId="74AF9CE9" w14:textId="31AD5C64" w:rsidR="00624C9B" w:rsidRDefault="006876FC" w:rsidP="00D62000">
      <w:pPr>
        <w:spacing w:after="0"/>
        <w:jc w:val="both"/>
        <w:rPr>
          <w:i/>
          <w:lang w:val="en-US"/>
        </w:rPr>
      </w:pPr>
      <w:r w:rsidRPr="006876FC">
        <w:rPr>
          <w:b/>
          <w:i/>
          <w:lang w:val="en-US"/>
        </w:rPr>
        <w:t xml:space="preserve">Table 3. </w:t>
      </w:r>
      <w:r w:rsidRPr="006876FC">
        <w:rPr>
          <w:i/>
          <w:lang w:val="en-US"/>
        </w:rPr>
        <w:t>Solid waste deposited in the landfill Doña Juana from 2002 to 2018</w:t>
      </w:r>
      <w:r w:rsidR="00324894">
        <w:rPr>
          <w:i/>
          <w:lang w:val="en-US"/>
        </w:rPr>
        <w:t>.</w:t>
      </w:r>
    </w:p>
    <w:p w14:paraId="0D1ABA71" w14:textId="77777777" w:rsidR="00AB13C5" w:rsidRPr="006876FC" w:rsidRDefault="00AB13C5" w:rsidP="00D62000">
      <w:pPr>
        <w:spacing w:after="0"/>
        <w:jc w:val="both"/>
        <w:rPr>
          <w:i/>
          <w:lang w:val="en-US"/>
        </w:rPr>
      </w:pPr>
    </w:p>
    <w:tbl>
      <w:tblPr>
        <w:tblStyle w:val="Tablaconcuadrcula"/>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5"/>
        <w:gridCol w:w="1278"/>
        <w:gridCol w:w="2970"/>
      </w:tblGrid>
      <w:tr w:rsidR="00D806F3" w:rsidRPr="000E2B39" w14:paraId="279ADC73" w14:textId="77777777" w:rsidTr="006F5FB5">
        <w:trPr>
          <w:jc w:val="center"/>
        </w:trPr>
        <w:tc>
          <w:tcPr>
            <w:tcW w:w="1271" w:type="dxa"/>
            <w:tcBorders>
              <w:top w:val="single" w:sz="8" w:space="0" w:color="auto"/>
              <w:bottom w:val="single" w:sz="8" w:space="0" w:color="auto"/>
            </w:tcBorders>
          </w:tcPr>
          <w:p w14:paraId="57AA1381" w14:textId="1AD2B059" w:rsidR="00D806F3" w:rsidRPr="00324894" w:rsidRDefault="00E058AD" w:rsidP="00D62000">
            <w:pPr>
              <w:spacing w:after="0"/>
              <w:jc w:val="center"/>
              <w:rPr>
                <w:b/>
                <w:bCs/>
                <w:sz w:val="22"/>
                <w:szCs w:val="22"/>
                <w:lang w:val="es-CO"/>
              </w:rPr>
            </w:pPr>
            <w:r w:rsidRPr="00324894">
              <w:rPr>
                <w:b/>
                <w:bCs/>
                <w:sz w:val="22"/>
                <w:szCs w:val="22"/>
                <w:lang w:val="es-CO"/>
              </w:rPr>
              <w:lastRenderedPageBreak/>
              <w:t>Año</w:t>
            </w:r>
          </w:p>
        </w:tc>
        <w:tc>
          <w:tcPr>
            <w:tcW w:w="2975" w:type="dxa"/>
            <w:tcBorders>
              <w:top w:val="single" w:sz="8" w:space="0" w:color="auto"/>
              <w:bottom w:val="single" w:sz="8" w:space="0" w:color="auto"/>
            </w:tcBorders>
          </w:tcPr>
          <w:p w14:paraId="32BB2EF4" w14:textId="64717CFF" w:rsidR="00D806F3" w:rsidRPr="00324894" w:rsidRDefault="00E058AD" w:rsidP="00D62000">
            <w:pPr>
              <w:spacing w:after="0"/>
              <w:jc w:val="center"/>
              <w:rPr>
                <w:b/>
                <w:bCs/>
                <w:sz w:val="22"/>
                <w:szCs w:val="22"/>
                <w:lang w:val="es-CO"/>
              </w:rPr>
            </w:pPr>
            <w:r w:rsidRPr="00324894">
              <w:rPr>
                <w:b/>
                <w:bCs/>
                <w:sz w:val="22"/>
                <w:szCs w:val="22"/>
                <w:lang w:val="es-CO"/>
              </w:rPr>
              <w:t xml:space="preserve">Disposición de </w:t>
            </w:r>
            <w:r w:rsidR="00F811FF">
              <w:rPr>
                <w:b/>
                <w:bCs/>
                <w:sz w:val="22"/>
                <w:szCs w:val="22"/>
                <w:lang w:val="es-CO"/>
              </w:rPr>
              <w:t>r</w:t>
            </w:r>
            <w:r w:rsidRPr="00324894">
              <w:rPr>
                <w:b/>
                <w:bCs/>
                <w:sz w:val="22"/>
                <w:szCs w:val="22"/>
                <w:lang w:val="es-CO"/>
              </w:rPr>
              <w:t>esiduos (t</w:t>
            </w:r>
            <w:r w:rsidR="00515064" w:rsidRPr="00324894">
              <w:rPr>
                <w:b/>
                <w:bCs/>
                <w:sz w:val="22"/>
                <w:szCs w:val="22"/>
                <w:lang w:val="es-CO"/>
              </w:rPr>
              <w:t>on</w:t>
            </w:r>
            <w:r w:rsidRPr="00324894">
              <w:rPr>
                <w:b/>
                <w:bCs/>
                <w:sz w:val="22"/>
                <w:szCs w:val="22"/>
                <w:lang w:val="es-CO"/>
              </w:rPr>
              <w:t>/año)</w:t>
            </w:r>
          </w:p>
        </w:tc>
        <w:tc>
          <w:tcPr>
            <w:tcW w:w="1278" w:type="dxa"/>
            <w:tcBorders>
              <w:top w:val="single" w:sz="8" w:space="0" w:color="auto"/>
              <w:bottom w:val="single" w:sz="8" w:space="0" w:color="auto"/>
            </w:tcBorders>
          </w:tcPr>
          <w:p w14:paraId="5205207B" w14:textId="3D4A80C0" w:rsidR="00D806F3" w:rsidRPr="00324894" w:rsidRDefault="00E058AD" w:rsidP="00D62000">
            <w:pPr>
              <w:spacing w:after="0"/>
              <w:jc w:val="center"/>
              <w:rPr>
                <w:b/>
                <w:bCs/>
                <w:sz w:val="22"/>
                <w:szCs w:val="22"/>
                <w:lang w:val="es-CO"/>
              </w:rPr>
            </w:pPr>
            <w:r w:rsidRPr="00324894">
              <w:rPr>
                <w:b/>
                <w:bCs/>
                <w:sz w:val="22"/>
                <w:szCs w:val="22"/>
                <w:lang w:val="es-CO"/>
              </w:rPr>
              <w:t>Año</w:t>
            </w:r>
          </w:p>
        </w:tc>
        <w:tc>
          <w:tcPr>
            <w:tcW w:w="2970" w:type="dxa"/>
            <w:tcBorders>
              <w:top w:val="single" w:sz="8" w:space="0" w:color="auto"/>
              <w:bottom w:val="single" w:sz="8" w:space="0" w:color="auto"/>
            </w:tcBorders>
          </w:tcPr>
          <w:p w14:paraId="29BBE05B" w14:textId="70D533DA" w:rsidR="00D806F3" w:rsidRPr="00324894" w:rsidRDefault="00E058AD" w:rsidP="00D62000">
            <w:pPr>
              <w:spacing w:after="0"/>
              <w:jc w:val="center"/>
              <w:rPr>
                <w:b/>
                <w:bCs/>
                <w:sz w:val="22"/>
                <w:szCs w:val="22"/>
                <w:lang w:val="es-CO"/>
              </w:rPr>
            </w:pPr>
            <w:r w:rsidRPr="00324894">
              <w:rPr>
                <w:b/>
                <w:bCs/>
                <w:sz w:val="22"/>
                <w:szCs w:val="22"/>
                <w:lang w:val="es-CO"/>
              </w:rPr>
              <w:t xml:space="preserve">Disposición de </w:t>
            </w:r>
            <w:r w:rsidR="00F811FF">
              <w:rPr>
                <w:b/>
                <w:bCs/>
                <w:sz w:val="22"/>
                <w:szCs w:val="22"/>
                <w:lang w:val="es-CO"/>
              </w:rPr>
              <w:t>r</w:t>
            </w:r>
            <w:r w:rsidRPr="00324894">
              <w:rPr>
                <w:b/>
                <w:bCs/>
                <w:sz w:val="22"/>
                <w:szCs w:val="22"/>
                <w:lang w:val="es-CO"/>
              </w:rPr>
              <w:t>esiduos (t</w:t>
            </w:r>
            <w:r w:rsidR="00A452EA" w:rsidRPr="00324894">
              <w:rPr>
                <w:b/>
                <w:bCs/>
                <w:sz w:val="22"/>
                <w:szCs w:val="22"/>
                <w:lang w:val="es-CO"/>
              </w:rPr>
              <w:t>on</w:t>
            </w:r>
            <w:r w:rsidRPr="00324894">
              <w:rPr>
                <w:b/>
                <w:bCs/>
                <w:sz w:val="22"/>
                <w:szCs w:val="22"/>
                <w:lang w:val="es-CO"/>
              </w:rPr>
              <w:t>/año)</w:t>
            </w:r>
          </w:p>
        </w:tc>
      </w:tr>
      <w:tr w:rsidR="00D806F3" w:rsidRPr="000E2B39" w14:paraId="082B1643" w14:textId="77777777" w:rsidTr="006F5FB5">
        <w:trPr>
          <w:jc w:val="center"/>
        </w:trPr>
        <w:tc>
          <w:tcPr>
            <w:tcW w:w="1271" w:type="dxa"/>
            <w:tcBorders>
              <w:top w:val="single" w:sz="8" w:space="0" w:color="auto"/>
            </w:tcBorders>
          </w:tcPr>
          <w:p w14:paraId="7B07F600" w14:textId="66C3B21E" w:rsidR="00D806F3" w:rsidRPr="000E2B39" w:rsidRDefault="00D806F3" w:rsidP="00D62000">
            <w:pPr>
              <w:spacing w:after="0"/>
              <w:jc w:val="center"/>
              <w:rPr>
                <w:sz w:val="22"/>
                <w:szCs w:val="22"/>
                <w:lang w:val="es-CO"/>
              </w:rPr>
            </w:pPr>
            <w:r w:rsidRPr="000E2B39">
              <w:rPr>
                <w:sz w:val="22"/>
                <w:szCs w:val="22"/>
                <w:lang w:val="es-CO"/>
              </w:rPr>
              <w:t>2002</w:t>
            </w:r>
          </w:p>
        </w:tc>
        <w:tc>
          <w:tcPr>
            <w:tcW w:w="2975" w:type="dxa"/>
            <w:tcBorders>
              <w:top w:val="single" w:sz="8" w:space="0" w:color="auto"/>
            </w:tcBorders>
          </w:tcPr>
          <w:p w14:paraId="7B75501D" w14:textId="75E348ED" w:rsidR="00D806F3" w:rsidRPr="000E2B39" w:rsidRDefault="00E058AD" w:rsidP="00D62000">
            <w:pPr>
              <w:spacing w:after="0"/>
              <w:jc w:val="center"/>
              <w:rPr>
                <w:sz w:val="22"/>
                <w:szCs w:val="22"/>
                <w:lang w:val="es-CO"/>
              </w:rPr>
            </w:pPr>
            <w:r w:rsidRPr="000E2B39">
              <w:rPr>
                <w:sz w:val="22"/>
                <w:szCs w:val="22"/>
                <w:lang w:val="es-CO"/>
              </w:rPr>
              <w:t>1</w:t>
            </w:r>
            <w:r w:rsidR="00750C12">
              <w:rPr>
                <w:sz w:val="22"/>
                <w:szCs w:val="22"/>
                <w:lang w:val="es-CO"/>
              </w:rPr>
              <w:t xml:space="preserve"> </w:t>
            </w:r>
            <w:r w:rsidRPr="000E2B39">
              <w:rPr>
                <w:sz w:val="22"/>
                <w:szCs w:val="22"/>
                <w:lang w:val="es-CO"/>
              </w:rPr>
              <w:t>844</w:t>
            </w:r>
            <w:r w:rsidR="00750C12">
              <w:rPr>
                <w:sz w:val="22"/>
                <w:szCs w:val="22"/>
                <w:lang w:val="es-CO"/>
              </w:rPr>
              <w:t xml:space="preserve"> </w:t>
            </w:r>
            <w:r w:rsidRPr="000E2B39">
              <w:rPr>
                <w:sz w:val="22"/>
                <w:szCs w:val="22"/>
                <w:lang w:val="es-CO"/>
              </w:rPr>
              <w:t>020</w:t>
            </w:r>
          </w:p>
        </w:tc>
        <w:tc>
          <w:tcPr>
            <w:tcW w:w="1278" w:type="dxa"/>
            <w:tcBorders>
              <w:top w:val="single" w:sz="8" w:space="0" w:color="auto"/>
            </w:tcBorders>
          </w:tcPr>
          <w:p w14:paraId="5E8F5AF3" w14:textId="070B9B03" w:rsidR="00D806F3" w:rsidRPr="000E2B39" w:rsidRDefault="00E058AD" w:rsidP="00D62000">
            <w:pPr>
              <w:spacing w:after="0"/>
              <w:jc w:val="center"/>
              <w:rPr>
                <w:sz w:val="22"/>
                <w:szCs w:val="22"/>
                <w:lang w:val="es-CO"/>
              </w:rPr>
            </w:pPr>
            <w:r w:rsidRPr="000E2B39">
              <w:rPr>
                <w:sz w:val="22"/>
                <w:szCs w:val="22"/>
                <w:lang w:val="es-CO"/>
              </w:rPr>
              <w:t>2011</w:t>
            </w:r>
          </w:p>
        </w:tc>
        <w:tc>
          <w:tcPr>
            <w:tcW w:w="2970" w:type="dxa"/>
            <w:tcBorders>
              <w:top w:val="single" w:sz="8" w:space="0" w:color="auto"/>
            </w:tcBorders>
          </w:tcPr>
          <w:p w14:paraId="3CA10434" w14:textId="489AC04A"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290</w:t>
            </w:r>
            <w:r w:rsidR="00750C12">
              <w:rPr>
                <w:sz w:val="22"/>
                <w:szCs w:val="22"/>
                <w:lang w:val="es-CO"/>
              </w:rPr>
              <w:t xml:space="preserve"> </w:t>
            </w:r>
            <w:r w:rsidRPr="000E2B39">
              <w:rPr>
                <w:sz w:val="22"/>
                <w:szCs w:val="22"/>
                <w:lang w:val="es-CO"/>
              </w:rPr>
              <w:t>285</w:t>
            </w:r>
          </w:p>
        </w:tc>
      </w:tr>
      <w:tr w:rsidR="00D806F3" w:rsidRPr="000E2B39" w14:paraId="08596E16" w14:textId="77777777" w:rsidTr="006F5FB5">
        <w:trPr>
          <w:jc w:val="center"/>
        </w:trPr>
        <w:tc>
          <w:tcPr>
            <w:tcW w:w="1271" w:type="dxa"/>
          </w:tcPr>
          <w:p w14:paraId="7801B3DF" w14:textId="117DD4CC" w:rsidR="00D806F3" w:rsidRPr="000E2B39" w:rsidRDefault="00D806F3" w:rsidP="00D62000">
            <w:pPr>
              <w:spacing w:after="0"/>
              <w:jc w:val="center"/>
              <w:rPr>
                <w:sz w:val="22"/>
                <w:szCs w:val="22"/>
                <w:lang w:val="es-CO"/>
              </w:rPr>
            </w:pPr>
            <w:r w:rsidRPr="000E2B39">
              <w:rPr>
                <w:sz w:val="22"/>
                <w:szCs w:val="22"/>
                <w:lang w:val="es-CO"/>
              </w:rPr>
              <w:t>2003</w:t>
            </w:r>
          </w:p>
        </w:tc>
        <w:tc>
          <w:tcPr>
            <w:tcW w:w="2975" w:type="dxa"/>
          </w:tcPr>
          <w:p w14:paraId="745E604E" w14:textId="44058B0C" w:rsidR="00D806F3" w:rsidRPr="000E2B39" w:rsidRDefault="00E058AD" w:rsidP="00D62000">
            <w:pPr>
              <w:spacing w:after="0"/>
              <w:jc w:val="center"/>
              <w:rPr>
                <w:sz w:val="22"/>
                <w:szCs w:val="22"/>
                <w:lang w:val="es-CO"/>
              </w:rPr>
            </w:pPr>
            <w:r w:rsidRPr="000E2B39">
              <w:rPr>
                <w:sz w:val="22"/>
                <w:szCs w:val="22"/>
                <w:lang w:val="es-CO"/>
              </w:rPr>
              <w:t>1</w:t>
            </w:r>
            <w:r w:rsidR="00750C12">
              <w:rPr>
                <w:sz w:val="22"/>
                <w:szCs w:val="22"/>
                <w:lang w:val="es-CO"/>
              </w:rPr>
              <w:t xml:space="preserve"> </w:t>
            </w:r>
            <w:r w:rsidRPr="000E2B39">
              <w:rPr>
                <w:sz w:val="22"/>
                <w:szCs w:val="22"/>
                <w:lang w:val="es-CO"/>
              </w:rPr>
              <w:t>837</w:t>
            </w:r>
            <w:r w:rsidR="00750C12">
              <w:rPr>
                <w:sz w:val="22"/>
                <w:szCs w:val="22"/>
                <w:lang w:val="es-CO"/>
              </w:rPr>
              <w:t xml:space="preserve"> </w:t>
            </w:r>
            <w:r w:rsidRPr="000E2B39">
              <w:rPr>
                <w:sz w:val="22"/>
                <w:szCs w:val="22"/>
                <w:lang w:val="es-CO"/>
              </w:rPr>
              <w:t>240</w:t>
            </w:r>
          </w:p>
        </w:tc>
        <w:tc>
          <w:tcPr>
            <w:tcW w:w="1278" w:type="dxa"/>
          </w:tcPr>
          <w:p w14:paraId="63A1788F" w14:textId="21FF0301" w:rsidR="00D806F3" w:rsidRPr="000E2B39" w:rsidRDefault="00E058AD" w:rsidP="00D62000">
            <w:pPr>
              <w:spacing w:after="0"/>
              <w:jc w:val="center"/>
              <w:rPr>
                <w:sz w:val="22"/>
                <w:szCs w:val="22"/>
                <w:lang w:val="es-CO"/>
              </w:rPr>
            </w:pPr>
            <w:r w:rsidRPr="000E2B39">
              <w:rPr>
                <w:sz w:val="22"/>
                <w:szCs w:val="22"/>
                <w:lang w:val="es-CO"/>
              </w:rPr>
              <w:t>2012</w:t>
            </w:r>
          </w:p>
        </w:tc>
        <w:tc>
          <w:tcPr>
            <w:tcW w:w="2970" w:type="dxa"/>
          </w:tcPr>
          <w:p w14:paraId="449AF944" w14:textId="02C6CEDB"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290</w:t>
            </w:r>
            <w:r w:rsidR="00750C12">
              <w:rPr>
                <w:sz w:val="22"/>
                <w:szCs w:val="22"/>
                <w:lang w:val="es-CO"/>
              </w:rPr>
              <w:t xml:space="preserve"> </w:t>
            </w:r>
            <w:r w:rsidRPr="000E2B39">
              <w:rPr>
                <w:sz w:val="22"/>
                <w:szCs w:val="22"/>
                <w:lang w:val="es-CO"/>
              </w:rPr>
              <w:t>144.01</w:t>
            </w:r>
          </w:p>
        </w:tc>
      </w:tr>
      <w:tr w:rsidR="00D806F3" w:rsidRPr="000E2B39" w14:paraId="684B175B" w14:textId="77777777" w:rsidTr="006F5FB5">
        <w:trPr>
          <w:jc w:val="center"/>
        </w:trPr>
        <w:tc>
          <w:tcPr>
            <w:tcW w:w="1271" w:type="dxa"/>
          </w:tcPr>
          <w:p w14:paraId="69E1074C" w14:textId="63B5F98E" w:rsidR="00D806F3" w:rsidRPr="000E2B39" w:rsidRDefault="00D806F3" w:rsidP="00D62000">
            <w:pPr>
              <w:spacing w:after="0"/>
              <w:jc w:val="center"/>
              <w:rPr>
                <w:sz w:val="22"/>
                <w:szCs w:val="22"/>
                <w:lang w:val="es-CO"/>
              </w:rPr>
            </w:pPr>
            <w:r w:rsidRPr="000E2B39">
              <w:rPr>
                <w:sz w:val="22"/>
                <w:szCs w:val="22"/>
                <w:lang w:val="es-CO"/>
              </w:rPr>
              <w:t>2004</w:t>
            </w:r>
          </w:p>
        </w:tc>
        <w:tc>
          <w:tcPr>
            <w:tcW w:w="2975" w:type="dxa"/>
          </w:tcPr>
          <w:p w14:paraId="78E1EF7C" w14:textId="4EF5DEDD" w:rsidR="00D806F3" w:rsidRPr="000E2B39" w:rsidRDefault="00E058AD" w:rsidP="00D62000">
            <w:pPr>
              <w:spacing w:after="0"/>
              <w:jc w:val="center"/>
              <w:rPr>
                <w:sz w:val="22"/>
                <w:szCs w:val="22"/>
                <w:lang w:val="es-CO"/>
              </w:rPr>
            </w:pPr>
            <w:r w:rsidRPr="000E2B39">
              <w:rPr>
                <w:sz w:val="22"/>
                <w:szCs w:val="22"/>
                <w:lang w:val="es-CO"/>
              </w:rPr>
              <w:t>1</w:t>
            </w:r>
            <w:r w:rsidR="00750C12">
              <w:rPr>
                <w:sz w:val="22"/>
                <w:szCs w:val="22"/>
                <w:lang w:val="es-CO"/>
              </w:rPr>
              <w:t xml:space="preserve"> </w:t>
            </w:r>
            <w:r w:rsidRPr="000E2B39">
              <w:rPr>
                <w:sz w:val="22"/>
                <w:szCs w:val="22"/>
                <w:lang w:val="es-CO"/>
              </w:rPr>
              <w:t>965</w:t>
            </w:r>
            <w:r w:rsidR="00750C12">
              <w:rPr>
                <w:sz w:val="22"/>
                <w:szCs w:val="22"/>
                <w:lang w:val="es-CO"/>
              </w:rPr>
              <w:t xml:space="preserve"> </w:t>
            </w:r>
            <w:r w:rsidRPr="000E2B39">
              <w:rPr>
                <w:sz w:val="22"/>
                <w:szCs w:val="22"/>
                <w:lang w:val="es-CO"/>
              </w:rPr>
              <w:t>170</w:t>
            </w:r>
          </w:p>
        </w:tc>
        <w:tc>
          <w:tcPr>
            <w:tcW w:w="1278" w:type="dxa"/>
          </w:tcPr>
          <w:p w14:paraId="0EAD5213" w14:textId="0CC2DFA8" w:rsidR="00D806F3" w:rsidRPr="000E2B39" w:rsidRDefault="00E058AD" w:rsidP="00D62000">
            <w:pPr>
              <w:spacing w:after="0"/>
              <w:jc w:val="center"/>
              <w:rPr>
                <w:sz w:val="22"/>
                <w:szCs w:val="22"/>
                <w:lang w:val="es-CO"/>
              </w:rPr>
            </w:pPr>
            <w:r w:rsidRPr="000E2B39">
              <w:rPr>
                <w:sz w:val="22"/>
                <w:szCs w:val="22"/>
                <w:lang w:val="es-CO"/>
              </w:rPr>
              <w:t>2013</w:t>
            </w:r>
          </w:p>
        </w:tc>
        <w:tc>
          <w:tcPr>
            <w:tcW w:w="2970" w:type="dxa"/>
          </w:tcPr>
          <w:p w14:paraId="2A325747" w14:textId="628339F1"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345</w:t>
            </w:r>
            <w:r w:rsidR="00750C12">
              <w:rPr>
                <w:sz w:val="22"/>
                <w:szCs w:val="22"/>
                <w:lang w:val="es-CO"/>
              </w:rPr>
              <w:t xml:space="preserve"> </w:t>
            </w:r>
            <w:r w:rsidRPr="000E2B39">
              <w:rPr>
                <w:sz w:val="22"/>
                <w:szCs w:val="22"/>
                <w:lang w:val="es-CO"/>
              </w:rPr>
              <w:t>920.07</w:t>
            </w:r>
          </w:p>
        </w:tc>
      </w:tr>
      <w:tr w:rsidR="00D806F3" w:rsidRPr="000E2B39" w14:paraId="224A4993" w14:textId="77777777" w:rsidTr="006F5FB5">
        <w:trPr>
          <w:jc w:val="center"/>
        </w:trPr>
        <w:tc>
          <w:tcPr>
            <w:tcW w:w="1271" w:type="dxa"/>
          </w:tcPr>
          <w:p w14:paraId="23CBF2B9" w14:textId="2DDED642" w:rsidR="00D806F3" w:rsidRPr="000E2B39" w:rsidRDefault="00D806F3" w:rsidP="00D62000">
            <w:pPr>
              <w:spacing w:after="0"/>
              <w:jc w:val="center"/>
              <w:rPr>
                <w:sz w:val="22"/>
                <w:szCs w:val="22"/>
                <w:lang w:val="es-CO"/>
              </w:rPr>
            </w:pPr>
            <w:r w:rsidRPr="000E2B39">
              <w:rPr>
                <w:sz w:val="22"/>
                <w:szCs w:val="22"/>
                <w:lang w:val="es-CO"/>
              </w:rPr>
              <w:t>2005</w:t>
            </w:r>
          </w:p>
        </w:tc>
        <w:tc>
          <w:tcPr>
            <w:tcW w:w="2975" w:type="dxa"/>
          </w:tcPr>
          <w:p w14:paraId="622B75ED" w14:textId="773D787D" w:rsidR="00D806F3" w:rsidRPr="000E2B39" w:rsidRDefault="00E058AD" w:rsidP="00D62000">
            <w:pPr>
              <w:spacing w:after="0"/>
              <w:jc w:val="center"/>
              <w:rPr>
                <w:sz w:val="22"/>
                <w:szCs w:val="22"/>
                <w:lang w:val="es-CO"/>
              </w:rPr>
            </w:pPr>
            <w:r w:rsidRPr="000E2B39">
              <w:rPr>
                <w:sz w:val="22"/>
                <w:szCs w:val="22"/>
                <w:lang w:val="es-CO"/>
              </w:rPr>
              <w:t>1</w:t>
            </w:r>
            <w:r w:rsidR="00750C12">
              <w:rPr>
                <w:sz w:val="22"/>
                <w:szCs w:val="22"/>
                <w:lang w:val="es-CO"/>
              </w:rPr>
              <w:t xml:space="preserve"> </w:t>
            </w:r>
            <w:r w:rsidRPr="000E2B39">
              <w:rPr>
                <w:sz w:val="22"/>
                <w:szCs w:val="22"/>
                <w:lang w:val="es-CO"/>
              </w:rPr>
              <w:t>974</w:t>
            </w:r>
            <w:r w:rsidR="00750C12">
              <w:rPr>
                <w:sz w:val="22"/>
                <w:szCs w:val="22"/>
                <w:lang w:val="es-CO"/>
              </w:rPr>
              <w:t xml:space="preserve"> </w:t>
            </w:r>
            <w:r w:rsidRPr="000E2B39">
              <w:rPr>
                <w:sz w:val="22"/>
                <w:szCs w:val="22"/>
                <w:lang w:val="es-CO"/>
              </w:rPr>
              <w:t>240</w:t>
            </w:r>
          </w:p>
        </w:tc>
        <w:tc>
          <w:tcPr>
            <w:tcW w:w="1278" w:type="dxa"/>
          </w:tcPr>
          <w:p w14:paraId="3857F351" w14:textId="5D7030C2" w:rsidR="00D806F3" w:rsidRPr="000E2B39" w:rsidRDefault="00E058AD" w:rsidP="00D62000">
            <w:pPr>
              <w:spacing w:after="0"/>
              <w:jc w:val="center"/>
              <w:rPr>
                <w:sz w:val="22"/>
                <w:szCs w:val="22"/>
                <w:lang w:val="es-CO"/>
              </w:rPr>
            </w:pPr>
            <w:r w:rsidRPr="000E2B39">
              <w:rPr>
                <w:sz w:val="22"/>
                <w:szCs w:val="22"/>
                <w:lang w:val="es-CO"/>
              </w:rPr>
              <w:t>2014</w:t>
            </w:r>
          </w:p>
        </w:tc>
        <w:tc>
          <w:tcPr>
            <w:tcW w:w="2970" w:type="dxa"/>
          </w:tcPr>
          <w:p w14:paraId="211E4BAF" w14:textId="050D8314"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351</w:t>
            </w:r>
            <w:r w:rsidR="00750C12">
              <w:rPr>
                <w:sz w:val="22"/>
                <w:szCs w:val="22"/>
                <w:lang w:val="es-CO"/>
              </w:rPr>
              <w:t xml:space="preserve"> </w:t>
            </w:r>
            <w:r w:rsidRPr="000E2B39">
              <w:rPr>
                <w:sz w:val="22"/>
                <w:szCs w:val="22"/>
                <w:lang w:val="es-CO"/>
              </w:rPr>
              <w:t>131.07</w:t>
            </w:r>
          </w:p>
        </w:tc>
      </w:tr>
      <w:tr w:rsidR="00D806F3" w:rsidRPr="000E2B39" w14:paraId="3F994241" w14:textId="77777777" w:rsidTr="006F5FB5">
        <w:trPr>
          <w:jc w:val="center"/>
        </w:trPr>
        <w:tc>
          <w:tcPr>
            <w:tcW w:w="1271" w:type="dxa"/>
          </w:tcPr>
          <w:p w14:paraId="16F54D71" w14:textId="6E03130D" w:rsidR="00D806F3" w:rsidRPr="000E2B39" w:rsidRDefault="00D806F3" w:rsidP="00D62000">
            <w:pPr>
              <w:spacing w:after="0"/>
              <w:jc w:val="center"/>
              <w:rPr>
                <w:sz w:val="22"/>
                <w:szCs w:val="22"/>
                <w:lang w:val="es-CO"/>
              </w:rPr>
            </w:pPr>
            <w:r w:rsidRPr="000E2B39">
              <w:rPr>
                <w:sz w:val="22"/>
                <w:szCs w:val="22"/>
                <w:lang w:val="es-CO"/>
              </w:rPr>
              <w:t>2006</w:t>
            </w:r>
          </w:p>
        </w:tc>
        <w:tc>
          <w:tcPr>
            <w:tcW w:w="2975" w:type="dxa"/>
          </w:tcPr>
          <w:p w14:paraId="5BA8B500" w14:textId="31040558" w:rsidR="00D806F3" w:rsidRPr="000E2B39" w:rsidRDefault="00E058AD" w:rsidP="00D62000">
            <w:pPr>
              <w:spacing w:after="0"/>
              <w:jc w:val="center"/>
              <w:rPr>
                <w:sz w:val="22"/>
                <w:szCs w:val="22"/>
                <w:lang w:val="es-CO"/>
              </w:rPr>
            </w:pPr>
            <w:r w:rsidRPr="000E2B39">
              <w:rPr>
                <w:sz w:val="22"/>
                <w:szCs w:val="22"/>
                <w:lang w:val="es-CO"/>
              </w:rPr>
              <w:t>1</w:t>
            </w:r>
            <w:r w:rsidR="00750C12">
              <w:rPr>
                <w:sz w:val="22"/>
                <w:szCs w:val="22"/>
                <w:lang w:val="es-CO"/>
              </w:rPr>
              <w:t xml:space="preserve"> </w:t>
            </w:r>
            <w:r w:rsidRPr="000E2B39">
              <w:rPr>
                <w:sz w:val="22"/>
                <w:szCs w:val="22"/>
                <w:lang w:val="es-CO"/>
              </w:rPr>
              <w:t>960</w:t>
            </w:r>
            <w:r w:rsidR="00750C12">
              <w:rPr>
                <w:sz w:val="22"/>
                <w:szCs w:val="22"/>
                <w:lang w:val="es-CO"/>
              </w:rPr>
              <w:t xml:space="preserve"> </w:t>
            </w:r>
            <w:r w:rsidRPr="000E2B39">
              <w:rPr>
                <w:sz w:val="22"/>
                <w:szCs w:val="22"/>
                <w:lang w:val="es-CO"/>
              </w:rPr>
              <w:t>000</w:t>
            </w:r>
          </w:p>
        </w:tc>
        <w:tc>
          <w:tcPr>
            <w:tcW w:w="1278" w:type="dxa"/>
          </w:tcPr>
          <w:p w14:paraId="7234AFBE" w14:textId="33659B26" w:rsidR="00D806F3" w:rsidRPr="000E2B39" w:rsidRDefault="00E058AD" w:rsidP="00D62000">
            <w:pPr>
              <w:spacing w:after="0"/>
              <w:jc w:val="center"/>
              <w:rPr>
                <w:sz w:val="22"/>
                <w:szCs w:val="22"/>
                <w:lang w:val="es-CO"/>
              </w:rPr>
            </w:pPr>
            <w:r w:rsidRPr="000E2B39">
              <w:rPr>
                <w:sz w:val="22"/>
                <w:szCs w:val="22"/>
                <w:lang w:val="es-CO"/>
              </w:rPr>
              <w:t>2015</w:t>
            </w:r>
          </w:p>
        </w:tc>
        <w:tc>
          <w:tcPr>
            <w:tcW w:w="2970" w:type="dxa"/>
          </w:tcPr>
          <w:p w14:paraId="6A46F7B1" w14:textId="709F0695"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269</w:t>
            </w:r>
            <w:r w:rsidR="00750C12">
              <w:rPr>
                <w:sz w:val="22"/>
                <w:szCs w:val="22"/>
                <w:lang w:val="es-CO"/>
              </w:rPr>
              <w:t xml:space="preserve"> </w:t>
            </w:r>
            <w:r w:rsidRPr="000E2B39">
              <w:rPr>
                <w:sz w:val="22"/>
                <w:szCs w:val="22"/>
                <w:lang w:val="es-CO"/>
              </w:rPr>
              <w:t>533.13</w:t>
            </w:r>
          </w:p>
        </w:tc>
      </w:tr>
      <w:tr w:rsidR="00D806F3" w:rsidRPr="000E2B39" w14:paraId="534B5C89" w14:textId="77777777" w:rsidTr="006F5FB5">
        <w:trPr>
          <w:jc w:val="center"/>
        </w:trPr>
        <w:tc>
          <w:tcPr>
            <w:tcW w:w="1271" w:type="dxa"/>
          </w:tcPr>
          <w:p w14:paraId="758F823D" w14:textId="3487DB19" w:rsidR="00D806F3" w:rsidRPr="000E2B39" w:rsidRDefault="00D806F3" w:rsidP="00D62000">
            <w:pPr>
              <w:spacing w:after="0"/>
              <w:jc w:val="center"/>
              <w:rPr>
                <w:sz w:val="22"/>
                <w:szCs w:val="22"/>
                <w:lang w:val="es-CO"/>
              </w:rPr>
            </w:pPr>
            <w:r w:rsidRPr="000E2B39">
              <w:rPr>
                <w:sz w:val="22"/>
                <w:szCs w:val="22"/>
                <w:lang w:val="es-CO"/>
              </w:rPr>
              <w:t>2007</w:t>
            </w:r>
          </w:p>
        </w:tc>
        <w:tc>
          <w:tcPr>
            <w:tcW w:w="2975" w:type="dxa"/>
          </w:tcPr>
          <w:p w14:paraId="1D845B11" w14:textId="7B7D5AA9"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091</w:t>
            </w:r>
            <w:r w:rsidR="00750C12">
              <w:rPr>
                <w:sz w:val="22"/>
                <w:szCs w:val="22"/>
                <w:lang w:val="es-CO"/>
              </w:rPr>
              <w:t xml:space="preserve"> </w:t>
            </w:r>
            <w:r w:rsidRPr="000E2B39">
              <w:rPr>
                <w:sz w:val="22"/>
                <w:szCs w:val="22"/>
                <w:lang w:val="es-CO"/>
              </w:rPr>
              <w:t>410</w:t>
            </w:r>
          </w:p>
        </w:tc>
        <w:tc>
          <w:tcPr>
            <w:tcW w:w="1278" w:type="dxa"/>
          </w:tcPr>
          <w:p w14:paraId="79A66D38" w14:textId="34FEBA83" w:rsidR="00D806F3" w:rsidRPr="000E2B39" w:rsidRDefault="00E058AD" w:rsidP="00D62000">
            <w:pPr>
              <w:spacing w:after="0"/>
              <w:jc w:val="center"/>
              <w:rPr>
                <w:sz w:val="22"/>
                <w:szCs w:val="22"/>
                <w:lang w:val="es-CO"/>
              </w:rPr>
            </w:pPr>
            <w:r w:rsidRPr="000E2B39">
              <w:rPr>
                <w:sz w:val="22"/>
                <w:szCs w:val="22"/>
                <w:lang w:val="es-CO"/>
              </w:rPr>
              <w:t>2016</w:t>
            </w:r>
          </w:p>
        </w:tc>
        <w:tc>
          <w:tcPr>
            <w:tcW w:w="2970" w:type="dxa"/>
          </w:tcPr>
          <w:p w14:paraId="00B8F994" w14:textId="03B6885F"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253</w:t>
            </w:r>
            <w:r w:rsidR="00750C12">
              <w:rPr>
                <w:sz w:val="22"/>
                <w:szCs w:val="22"/>
                <w:lang w:val="es-CO"/>
              </w:rPr>
              <w:t xml:space="preserve"> </w:t>
            </w:r>
            <w:r w:rsidRPr="000E2B39">
              <w:rPr>
                <w:sz w:val="22"/>
                <w:szCs w:val="22"/>
                <w:lang w:val="es-CO"/>
              </w:rPr>
              <w:t>072.09</w:t>
            </w:r>
          </w:p>
        </w:tc>
      </w:tr>
      <w:tr w:rsidR="00D806F3" w:rsidRPr="000E2B39" w14:paraId="63BE3791" w14:textId="77777777" w:rsidTr="006F5FB5">
        <w:trPr>
          <w:jc w:val="center"/>
        </w:trPr>
        <w:tc>
          <w:tcPr>
            <w:tcW w:w="1271" w:type="dxa"/>
          </w:tcPr>
          <w:p w14:paraId="0D29CF56" w14:textId="24449A9D" w:rsidR="00D806F3" w:rsidRPr="000E2B39" w:rsidRDefault="00D806F3" w:rsidP="00D62000">
            <w:pPr>
              <w:spacing w:after="0"/>
              <w:jc w:val="center"/>
              <w:rPr>
                <w:sz w:val="22"/>
                <w:szCs w:val="22"/>
                <w:lang w:val="es-CO"/>
              </w:rPr>
            </w:pPr>
            <w:r w:rsidRPr="000E2B39">
              <w:rPr>
                <w:sz w:val="22"/>
                <w:szCs w:val="22"/>
                <w:lang w:val="es-CO"/>
              </w:rPr>
              <w:t>200</w:t>
            </w:r>
            <w:r w:rsidR="00E058AD" w:rsidRPr="000E2B39">
              <w:rPr>
                <w:sz w:val="22"/>
                <w:szCs w:val="22"/>
                <w:lang w:val="es-CO"/>
              </w:rPr>
              <w:t>8</w:t>
            </w:r>
          </w:p>
        </w:tc>
        <w:tc>
          <w:tcPr>
            <w:tcW w:w="2975" w:type="dxa"/>
          </w:tcPr>
          <w:p w14:paraId="1803D3D6" w14:textId="4B7CB2A8"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161</w:t>
            </w:r>
            <w:r w:rsidR="00750C12">
              <w:rPr>
                <w:sz w:val="22"/>
                <w:szCs w:val="22"/>
                <w:lang w:val="es-CO"/>
              </w:rPr>
              <w:t xml:space="preserve"> </w:t>
            </w:r>
            <w:r w:rsidRPr="000E2B39">
              <w:rPr>
                <w:sz w:val="22"/>
                <w:szCs w:val="22"/>
                <w:lang w:val="es-CO"/>
              </w:rPr>
              <w:t>720</w:t>
            </w:r>
          </w:p>
        </w:tc>
        <w:tc>
          <w:tcPr>
            <w:tcW w:w="1278" w:type="dxa"/>
          </w:tcPr>
          <w:p w14:paraId="65E2780E" w14:textId="3619EDB1" w:rsidR="00D806F3" w:rsidRPr="000E2B39" w:rsidRDefault="00E058AD" w:rsidP="00D62000">
            <w:pPr>
              <w:spacing w:after="0"/>
              <w:jc w:val="center"/>
              <w:rPr>
                <w:sz w:val="22"/>
                <w:szCs w:val="22"/>
                <w:lang w:val="es-CO"/>
              </w:rPr>
            </w:pPr>
            <w:r w:rsidRPr="000E2B39">
              <w:rPr>
                <w:sz w:val="22"/>
                <w:szCs w:val="22"/>
                <w:lang w:val="es-CO"/>
              </w:rPr>
              <w:t>2017</w:t>
            </w:r>
          </w:p>
        </w:tc>
        <w:tc>
          <w:tcPr>
            <w:tcW w:w="2970" w:type="dxa"/>
          </w:tcPr>
          <w:p w14:paraId="3C249D95" w14:textId="17EC398F" w:rsidR="00D806F3"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295</w:t>
            </w:r>
            <w:r w:rsidR="00750C12">
              <w:rPr>
                <w:sz w:val="22"/>
                <w:szCs w:val="22"/>
                <w:lang w:val="es-CO"/>
              </w:rPr>
              <w:t xml:space="preserve"> </w:t>
            </w:r>
            <w:r w:rsidRPr="000E2B39">
              <w:rPr>
                <w:sz w:val="22"/>
                <w:szCs w:val="22"/>
                <w:lang w:val="es-CO"/>
              </w:rPr>
              <w:t>459.73</w:t>
            </w:r>
          </w:p>
        </w:tc>
      </w:tr>
      <w:tr w:rsidR="00E058AD" w:rsidRPr="000E2B39" w14:paraId="14E40065" w14:textId="77777777" w:rsidTr="006F5FB5">
        <w:trPr>
          <w:jc w:val="center"/>
        </w:trPr>
        <w:tc>
          <w:tcPr>
            <w:tcW w:w="1271" w:type="dxa"/>
          </w:tcPr>
          <w:p w14:paraId="48AB71A7" w14:textId="61692A9C" w:rsidR="00E058AD" w:rsidRPr="000E2B39" w:rsidRDefault="00E058AD" w:rsidP="00D62000">
            <w:pPr>
              <w:spacing w:after="0"/>
              <w:jc w:val="center"/>
              <w:rPr>
                <w:sz w:val="22"/>
                <w:szCs w:val="22"/>
                <w:lang w:val="es-CO"/>
              </w:rPr>
            </w:pPr>
            <w:r w:rsidRPr="000E2B39">
              <w:rPr>
                <w:sz w:val="22"/>
                <w:szCs w:val="22"/>
                <w:lang w:val="es-CO"/>
              </w:rPr>
              <w:t>2009</w:t>
            </w:r>
          </w:p>
        </w:tc>
        <w:tc>
          <w:tcPr>
            <w:tcW w:w="2975" w:type="dxa"/>
          </w:tcPr>
          <w:p w14:paraId="7433E231" w14:textId="3EBE51FC" w:rsidR="00E058AD"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096</w:t>
            </w:r>
            <w:r w:rsidR="00750C12">
              <w:rPr>
                <w:sz w:val="22"/>
                <w:szCs w:val="22"/>
                <w:lang w:val="es-CO"/>
              </w:rPr>
              <w:t xml:space="preserve"> </w:t>
            </w:r>
            <w:r w:rsidRPr="000E2B39">
              <w:rPr>
                <w:sz w:val="22"/>
                <w:szCs w:val="22"/>
                <w:lang w:val="es-CO"/>
              </w:rPr>
              <w:t>550</w:t>
            </w:r>
          </w:p>
        </w:tc>
        <w:tc>
          <w:tcPr>
            <w:tcW w:w="1278" w:type="dxa"/>
          </w:tcPr>
          <w:p w14:paraId="0579596E" w14:textId="05343E19" w:rsidR="00E058AD" w:rsidRPr="000E2B39" w:rsidRDefault="00E058AD" w:rsidP="00D62000">
            <w:pPr>
              <w:spacing w:after="0"/>
              <w:jc w:val="center"/>
              <w:rPr>
                <w:sz w:val="22"/>
                <w:szCs w:val="22"/>
                <w:lang w:val="es-CO"/>
              </w:rPr>
            </w:pPr>
            <w:r w:rsidRPr="000E2B39">
              <w:rPr>
                <w:sz w:val="22"/>
                <w:szCs w:val="22"/>
                <w:lang w:val="es-CO"/>
              </w:rPr>
              <w:t>2018</w:t>
            </w:r>
          </w:p>
        </w:tc>
        <w:tc>
          <w:tcPr>
            <w:tcW w:w="2970" w:type="dxa"/>
          </w:tcPr>
          <w:p w14:paraId="1B688C88" w14:textId="3F9A66E1" w:rsidR="00E058AD"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333</w:t>
            </w:r>
            <w:r w:rsidR="00750C12">
              <w:rPr>
                <w:sz w:val="22"/>
                <w:szCs w:val="22"/>
                <w:lang w:val="es-CO"/>
              </w:rPr>
              <w:t xml:space="preserve"> </w:t>
            </w:r>
            <w:r w:rsidRPr="000E2B39">
              <w:rPr>
                <w:sz w:val="22"/>
                <w:szCs w:val="22"/>
                <w:lang w:val="es-CO"/>
              </w:rPr>
              <w:t>568.06</w:t>
            </w:r>
          </w:p>
        </w:tc>
      </w:tr>
      <w:tr w:rsidR="00E058AD" w:rsidRPr="000E2B39" w14:paraId="18F20D99" w14:textId="77777777" w:rsidTr="006F5FB5">
        <w:trPr>
          <w:jc w:val="center"/>
        </w:trPr>
        <w:tc>
          <w:tcPr>
            <w:tcW w:w="1271" w:type="dxa"/>
          </w:tcPr>
          <w:p w14:paraId="3CA860E6" w14:textId="2D2DD1A5" w:rsidR="00E058AD" w:rsidRPr="000E2B39" w:rsidRDefault="00E058AD" w:rsidP="00D62000">
            <w:pPr>
              <w:spacing w:after="0"/>
              <w:jc w:val="center"/>
              <w:rPr>
                <w:sz w:val="22"/>
                <w:szCs w:val="22"/>
                <w:lang w:val="es-CO"/>
              </w:rPr>
            </w:pPr>
            <w:r w:rsidRPr="000E2B39">
              <w:rPr>
                <w:sz w:val="22"/>
                <w:szCs w:val="22"/>
                <w:lang w:val="es-CO"/>
              </w:rPr>
              <w:t>2010</w:t>
            </w:r>
          </w:p>
        </w:tc>
        <w:tc>
          <w:tcPr>
            <w:tcW w:w="2975" w:type="dxa"/>
          </w:tcPr>
          <w:p w14:paraId="229A2C9A" w14:textId="36490FA5" w:rsidR="00E058AD" w:rsidRPr="000E2B39" w:rsidRDefault="00E058AD" w:rsidP="00D62000">
            <w:pPr>
              <w:spacing w:after="0"/>
              <w:jc w:val="center"/>
              <w:rPr>
                <w:sz w:val="22"/>
                <w:szCs w:val="22"/>
                <w:lang w:val="es-CO"/>
              </w:rPr>
            </w:pPr>
            <w:r w:rsidRPr="000E2B39">
              <w:rPr>
                <w:sz w:val="22"/>
                <w:szCs w:val="22"/>
                <w:lang w:val="es-CO"/>
              </w:rPr>
              <w:t>2</w:t>
            </w:r>
            <w:r w:rsidR="00750C12">
              <w:rPr>
                <w:sz w:val="22"/>
                <w:szCs w:val="22"/>
                <w:lang w:val="es-CO"/>
              </w:rPr>
              <w:t xml:space="preserve"> </w:t>
            </w:r>
            <w:r w:rsidRPr="000E2B39">
              <w:rPr>
                <w:sz w:val="22"/>
                <w:szCs w:val="22"/>
                <w:lang w:val="es-CO"/>
              </w:rPr>
              <w:t>239</w:t>
            </w:r>
            <w:r w:rsidR="00750C12">
              <w:rPr>
                <w:sz w:val="22"/>
                <w:szCs w:val="22"/>
                <w:lang w:val="es-CO"/>
              </w:rPr>
              <w:t xml:space="preserve"> </w:t>
            </w:r>
            <w:r w:rsidRPr="000E2B39">
              <w:rPr>
                <w:sz w:val="22"/>
                <w:szCs w:val="22"/>
                <w:lang w:val="es-CO"/>
              </w:rPr>
              <w:t>335</w:t>
            </w:r>
          </w:p>
        </w:tc>
        <w:tc>
          <w:tcPr>
            <w:tcW w:w="1278" w:type="dxa"/>
          </w:tcPr>
          <w:p w14:paraId="0FADC9A5" w14:textId="77777777" w:rsidR="00E058AD" w:rsidRPr="000E2B39" w:rsidRDefault="00E058AD" w:rsidP="00D62000">
            <w:pPr>
              <w:spacing w:after="0"/>
              <w:jc w:val="center"/>
              <w:rPr>
                <w:sz w:val="22"/>
                <w:szCs w:val="22"/>
                <w:lang w:val="es-CO"/>
              </w:rPr>
            </w:pPr>
          </w:p>
        </w:tc>
        <w:tc>
          <w:tcPr>
            <w:tcW w:w="2970" w:type="dxa"/>
          </w:tcPr>
          <w:p w14:paraId="191D6D2D" w14:textId="77777777" w:rsidR="00E058AD" w:rsidRPr="000E2B39" w:rsidRDefault="00E058AD" w:rsidP="00D62000">
            <w:pPr>
              <w:spacing w:after="0"/>
              <w:jc w:val="center"/>
              <w:rPr>
                <w:sz w:val="22"/>
                <w:szCs w:val="22"/>
                <w:lang w:val="es-CO"/>
              </w:rPr>
            </w:pPr>
          </w:p>
        </w:tc>
      </w:tr>
    </w:tbl>
    <w:p w14:paraId="1AC27831" w14:textId="734E0803" w:rsidR="00D806F3" w:rsidRPr="00073D09" w:rsidRDefault="00DF0B50" w:rsidP="00AB13C5">
      <w:pPr>
        <w:spacing w:after="0"/>
        <w:jc w:val="both"/>
        <w:rPr>
          <w:lang w:val="es-CO"/>
        </w:rPr>
      </w:pPr>
      <w:r w:rsidRPr="00073D09">
        <w:rPr>
          <w:lang w:val="es-CO"/>
        </w:rPr>
        <w:t>Fuente: Tomado de Observa</w:t>
      </w:r>
      <w:r w:rsidR="001801FA" w:rsidRPr="00073D09">
        <w:rPr>
          <w:lang w:val="es-CO"/>
        </w:rPr>
        <w:t>torio Ambiental de Bogotá realizado por la</w:t>
      </w:r>
      <w:r w:rsidR="00DB702E" w:rsidRPr="00073D09">
        <w:rPr>
          <w:lang w:val="es-CO"/>
        </w:rPr>
        <w:t xml:space="preserve"> </w:t>
      </w:r>
      <w:r w:rsidR="00DB702E" w:rsidRPr="00CD1E6D">
        <w:rPr>
          <w:color w:val="0070C0"/>
          <w:lang w:val="es-CO"/>
        </w:rPr>
        <w:fldChar w:fldCharType="begin" w:fldLock="1"/>
      </w:r>
      <w:r w:rsidR="00EE4661" w:rsidRPr="00CD1E6D">
        <w:rPr>
          <w:color w:val="0070C0"/>
          <w:lang w:val="es-CO"/>
        </w:rPr>
        <w:instrText>ADDIN CSL_CITATION {"citationItems":[{"id":"ITEM-1","itemData":{"URL":"https://oab.ambientebogota.gov.co/indicadores/?id=37","author":[{"dropping-particle":"","family":"Alcaldía mayor de Bogotá DC","given":"","non-dropping-particle":"","parse-names":false,"suffix":""}],"id":"ITEM-1","issued":{"date-parts":[["2018"]]},"title":"Observatorio Ambiental de Bogotá","type":"webpage"},"uris":["http://www.mendeley.com/documents/?uuid=26ac7cbd-fd4f-4663-8d36-dd3ab48c69f0"]}],"mendeley":{"formattedCitation":"(Alcaldía mayor de Bogotá DC, 2018)","manualFormatting":"Alcaldía mayor de Bogotá DC (2018)","plainTextFormattedCitation":"(Alcaldía mayor de Bogotá DC, 2018)","previouslyFormattedCitation":"(Alcaldía mayor de Bogotá DC, 2018)"},"properties":{"noteIndex":0},"schema":"https://github.com/citation-style-language/schema/raw/master/csl-citation.json"}</w:instrText>
      </w:r>
      <w:r w:rsidR="00DB702E" w:rsidRPr="00CD1E6D">
        <w:rPr>
          <w:color w:val="0070C0"/>
          <w:lang w:val="es-CO"/>
        </w:rPr>
        <w:fldChar w:fldCharType="separate"/>
      </w:r>
      <w:r w:rsidR="001801FA" w:rsidRPr="00CD1E6D">
        <w:rPr>
          <w:noProof/>
          <w:color w:val="0070C0"/>
          <w:lang w:val="es-CO"/>
        </w:rPr>
        <w:t>Alcaldía mayor de Bogotá DC</w:t>
      </w:r>
      <w:r w:rsidR="00DB702E" w:rsidRPr="00CD1E6D">
        <w:rPr>
          <w:noProof/>
          <w:color w:val="0070C0"/>
          <w:lang w:val="es-CO"/>
        </w:rPr>
        <w:t xml:space="preserve"> </w:t>
      </w:r>
      <w:r w:rsidR="001801FA" w:rsidRPr="00CD1E6D">
        <w:rPr>
          <w:noProof/>
          <w:color w:val="0070C0"/>
          <w:lang w:val="es-CO"/>
        </w:rPr>
        <w:t>(</w:t>
      </w:r>
      <w:r w:rsidR="00DB702E" w:rsidRPr="00CD1E6D">
        <w:rPr>
          <w:noProof/>
          <w:color w:val="0070C0"/>
          <w:lang w:val="es-CO"/>
        </w:rPr>
        <w:t>2018)</w:t>
      </w:r>
      <w:r w:rsidR="00DB702E" w:rsidRPr="00CD1E6D">
        <w:rPr>
          <w:color w:val="0070C0"/>
          <w:lang w:val="es-CO"/>
        </w:rPr>
        <w:fldChar w:fldCharType="end"/>
      </w:r>
    </w:p>
    <w:p w14:paraId="42988C44" w14:textId="77777777" w:rsidR="004C7648" w:rsidRPr="00073D09" w:rsidRDefault="004C7648" w:rsidP="00D62000">
      <w:pPr>
        <w:spacing w:after="0"/>
        <w:rPr>
          <w:lang w:val="es-CO"/>
        </w:rPr>
      </w:pPr>
    </w:p>
    <w:p w14:paraId="7149EAE3" w14:textId="3E331DA5" w:rsidR="004C7648" w:rsidRPr="00073D09" w:rsidRDefault="00624C9B" w:rsidP="00D62000">
      <w:pPr>
        <w:spacing w:after="0"/>
        <w:jc w:val="both"/>
        <w:rPr>
          <w:lang w:val="es-CO"/>
        </w:rPr>
      </w:pPr>
      <w:r w:rsidRPr="00073D09">
        <w:rPr>
          <w:lang w:val="es-CO"/>
        </w:rPr>
        <w:t xml:space="preserve">Como se </w:t>
      </w:r>
      <w:r w:rsidR="00E058AD" w:rsidRPr="00073D09">
        <w:rPr>
          <w:lang w:val="es-CO"/>
        </w:rPr>
        <w:t>evidencia</w:t>
      </w:r>
      <w:r w:rsidRPr="00073D09">
        <w:rPr>
          <w:lang w:val="es-CO"/>
        </w:rPr>
        <w:t xml:space="preserve"> en </w:t>
      </w:r>
      <w:r w:rsidR="009114DA" w:rsidRPr="00073D09">
        <w:rPr>
          <w:lang w:val="es-CO"/>
        </w:rPr>
        <w:t xml:space="preserve">el </w:t>
      </w:r>
      <w:r w:rsidR="009114DA" w:rsidRPr="00073D09">
        <w:rPr>
          <w:b/>
          <w:lang w:val="es-CO"/>
        </w:rPr>
        <w:t>Cuadro 3</w:t>
      </w:r>
      <w:r w:rsidRPr="00073D09">
        <w:rPr>
          <w:lang w:val="es-CO"/>
        </w:rPr>
        <w:t xml:space="preserve"> y </w:t>
      </w:r>
      <w:r w:rsidR="009114DA" w:rsidRPr="00073D09">
        <w:rPr>
          <w:lang w:val="es-CO"/>
        </w:rPr>
        <w:t>l</w:t>
      </w:r>
      <w:r w:rsidRPr="00073D09">
        <w:rPr>
          <w:lang w:val="es-CO"/>
        </w:rPr>
        <w:t xml:space="preserve">a </w:t>
      </w:r>
      <w:r w:rsidR="009114DA" w:rsidRPr="00073D09">
        <w:rPr>
          <w:b/>
          <w:lang w:val="es-CO"/>
        </w:rPr>
        <w:t>F</w:t>
      </w:r>
      <w:r w:rsidR="00D14E51" w:rsidRPr="00073D09">
        <w:rPr>
          <w:b/>
          <w:lang w:val="es-CO"/>
        </w:rPr>
        <w:t>igura</w:t>
      </w:r>
      <w:r w:rsidRPr="00073D09">
        <w:rPr>
          <w:b/>
          <w:lang w:val="es-CO"/>
        </w:rPr>
        <w:t xml:space="preserve"> 1</w:t>
      </w:r>
      <w:r w:rsidRPr="00073D09">
        <w:rPr>
          <w:lang w:val="es-CO"/>
        </w:rPr>
        <w:t xml:space="preserve">, Los residuos depositados al relleno </w:t>
      </w:r>
      <w:r w:rsidR="00F811FF">
        <w:rPr>
          <w:lang w:val="es-CO"/>
        </w:rPr>
        <w:t>s</w:t>
      </w:r>
      <w:r w:rsidRPr="00073D09">
        <w:rPr>
          <w:lang w:val="es-CO"/>
        </w:rPr>
        <w:t xml:space="preserve">anitario Doña Juana aumentan a razón del tiempo, </w:t>
      </w:r>
      <w:r w:rsidR="00A452EA" w:rsidRPr="00073D09">
        <w:rPr>
          <w:lang w:val="es-CO"/>
        </w:rPr>
        <w:t xml:space="preserve">como se confirma en el estudio de </w:t>
      </w:r>
      <w:r w:rsidR="00243DBD" w:rsidRPr="00AB13C5">
        <w:rPr>
          <w:color w:val="0070C0"/>
          <w:lang w:val="es-CO"/>
        </w:rPr>
        <w:fldChar w:fldCharType="begin" w:fldLock="1"/>
      </w:r>
      <w:r w:rsidR="00242A2E" w:rsidRPr="00AB13C5">
        <w:rPr>
          <w:color w:val="0070C0"/>
          <w:lang w:val="es-CO"/>
        </w:rPr>
        <w:instrText>ADDIN CSL_CITATION {"citationItems":[{"id":"ITEM-1","itemData":{"author":[{"dropping-particle":"","family":"Anzola Parra","given":"Diego","non-dropping-particle":"","parse-names":false,"suffix":""}],"id":"ITEM-1","issued":{"date-parts":[["2015"]]},"publisher":"Universidad del Rosario","title":"Estudio del manejo de residuos sólidos en el Relleno Sanitario Doña Juana con el fin de delinear un borrador de propuesta para el manejo integral de residuos sólidos en la ciudad de Bogotá DC","type":"thesis"},"uris":["http://www.mendeley.com/documents/?uuid=1c93085c-d66e-4a15-b198-62d4e1cf8716"]}],"mendeley":{"formattedCitation":"(Anzola Parra, 2015)","manualFormatting":"Anzola Parra (2015)","plainTextFormattedCitation":"(Anzola Parra, 2015)","previouslyFormattedCitation":"(Anzola Parra, 2015)"},"properties":{"noteIndex":0},"schema":"https://github.com/citation-style-language/schema/raw/master/csl-citation.json"}</w:instrText>
      </w:r>
      <w:r w:rsidR="00243DBD" w:rsidRPr="00AB13C5">
        <w:rPr>
          <w:color w:val="0070C0"/>
          <w:lang w:val="es-CO"/>
        </w:rPr>
        <w:fldChar w:fldCharType="separate"/>
      </w:r>
      <w:r w:rsidR="00243DBD" w:rsidRPr="00AB13C5">
        <w:rPr>
          <w:noProof/>
          <w:color w:val="0070C0"/>
          <w:lang w:val="es-CO"/>
        </w:rPr>
        <w:t>Anzola (2015)</w:t>
      </w:r>
      <w:r w:rsidR="00243DBD" w:rsidRPr="00AB13C5">
        <w:rPr>
          <w:color w:val="0070C0"/>
          <w:lang w:val="es-CO"/>
        </w:rPr>
        <w:fldChar w:fldCharType="end"/>
      </w:r>
      <w:r w:rsidR="00A452EA" w:rsidRPr="00073D09">
        <w:rPr>
          <w:lang w:val="es-CO"/>
        </w:rPr>
        <w:t>, esto sucede</w:t>
      </w:r>
      <w:r w:rsidRPr="00073D09">
        <w:rPr>
          <w:lang w:val="es-CO"/>
        </w:rPr>
        <w:t xml:space="preserve"> </w:t>
      </w:r>
      <w:r w:rsidR="00A452EA" w:rsidRPr="00073D09">
        <w:rPr>
          <w:lang w:val="es-CO"/>
        </w:rPr>
        <w:t xml:space="preserve">por el aumento en </w:t>
      </w:r>
      <w:r w:rsidRPr="00073D09">
        <w:rPr>
          <w:lang w:val="es-CO"/>
        </w:rPr>
        <w:t xml:space="preserve">la </w:t>
      </w:r>
      <w:r w:rsidR="00A452EA" w:rsidRPr="00073D09">
        <w:rPr>
          <w:lang w:val="es-CO"/>
        </w:rPr>
        <w:t xml:space="preserve">población </w:t>
      </w:r>
      <w:r w:rsidRPr="00073D09">
        <w:rPr>
          <w:lang w:val="es-CO"/>
        </w:rPr>
        <w:t>que habita en</w:t>
      </w:r>
      <w:r w:rsidR="00A452EA" w:rsidRPr="00073D09">
        <w:rPr>
          <w:lang w:val="es-CO"/>
        </w:rPr>
        <w:t xml:space="preserve"> la </w:t>
      </w:r>
      <w:r w:rsidR="006461C2" w:rsidRPr="00073D09">
        <w:rPr>
          <w:lang w:val="es-CO"/>
        </w:rPr>
        <w:t>c</w:t>
      </w:r>
      <w:r w:rsidR="00A452EA" w:rsidRPr="00073D09">
        <w:rPr>
          <w:lang w:val="es-CO"/>
        </w:rPr>
        <w:t>iudad</w:t>
      </w:r>
      <w:r w:rsidRPr="00073D09">
        <w:rPr>
          <w:lang w:val="es-CO"/>
        </w:rPr>
        <w:t>. Por otro lado, los datos presentan una media de 2</w:t>
      </w:r>
      <w:r w:rsidR="00750C12" w:rsidRPr="00073D09">
        <w:rPr>
          <w:lang w:val="es-CO"/>
        </w:rPr>
        <w:t xml:space="preserve"> </w:t>
      </w:r>
      <w:r w:rsidRPr="00073D09">
        <w:rPr>
          <w:lang w:val="es-CO"/>
        </w:rPr>
        <w:t>152</w:t>
      </w:r>
      <w:r w:rsidR="00750C12" w:rsidRPr="00073D09">
        <w:rPr>
          <w:lang w:val="es-CO"/>
        </w:rPr>
        <w:t xml:space="preserve"> </w:t>
      </w:r>
      <w:r w:rsidRPr="00073D09">
        <w:rPr>
          <w:lang w:val="es-CO"/>
        </w:rPr>
        <w:t>870.48 ton/año de residuos, una desviación estándar de 177</w:t>
      </w:r>
      <w:r w:rsidR="006461C2" w:rsidRPr="00073D09">
        <w:rPr>
          <w:lang w:val="es-CO"/>
        </w:rPr>
        <w:t xml:space="preserve"> </w:t>
      </w:r>
      <w:r w:rsidRPr="00073D09">
        <w:rPr>
          <w:lang w:val="es-CO"/>
        </w:rPr>
        <w:t>621.50 y no presentan datos atípicos</w:t>
      </w:r>
      <w:r w:rsidR="00CD2246">
        <w:rPr>
          <w:lang w:val="es-CO"/>
        </w:rPr>
        <w:t>,</w:t>
      </w:r>
      <w:r w:rsidRPr="00073D09">
        <w:rPr>
          <w:lang w:val="es-CO"/>
        </w:rPr>
        <w:t xml:space="preserve"> según </w:t>
      </w:r>
      <w:r w:rsidR="00515064" w:rsidRPr="00073D09">
        <w:rPr>
          <w:lang w:val="es-CO"/>
        </w:rPr>
        <w:t xml:space="preserve">la </w:t>
      </w:r>
      <w:r w:rsidRPr="00073D09">
        <w:rPr>
          <w:lang w:val="es-CO"/>
        </w:rPr>
        <w:t xml:space="preserve">prueba de </w:t>
      </w:r>
      <w:proofErr w:type="spellStart"/>
      <w:r w:rsidRPr="00073D09">
        <w:rPr>
          <w:lang w:val="es-CO"/>
        </w:rPr>
        <w:t>Grubbs</w:t>
      </w:r>
      <w:proofErr w:type="spellEnd"/>
      <w:r w:rsidRPr="00073D09">
        <w:rPr>
          <w:lang w:val="es-CO"/>
        </w:rPr>
        <w:t xml:space="preserve"> con un riesgo de 1</w:t>
      </w:r>
      <w:r w:rsidR="00CD2246">
        <w:rPr>
          <w:lang w:val="es-CO"/>
        </w:rPr>
        <w:t xml:space="preserve"> </w:t>
      </w:r>
      <w:r w:rsidRPr="00073D09">
        <w:rPr>
          <w:lang w:val="es-CO"/>
        </w:rPr>
        <w:t>% para</w:t>
      </w:r>
      <w:r w:rsidR="00A452EA" w:rsidRPr="00073D09">
        <w:rPr>
          <w:lang w:val="es-CO"/>
        </w:rPr>
        <w:t xml:space="preserve"> el conjunto total de</w:t>
      </w:r>
      <w:r w:rsidRPr="00073D09">
        <w:rPr>
          <w:lang w:val="es-CO"/>
        </w:rPr>
        <w:t xml:space="preserve"> datos. </w:t>
      </w:r>
    </w:p>
    <w:p w14:paraId="392D1598" w14:textId="77777777" w:rsidR="00E058AD" w:rsidRPr="00073D09" w:rsidRDefault="00E058AD" w:rsidP="00D62000">
      <w:pPr>
        <w:spacing w:after="0"/>
        <w:jc w:val="both"/>
        <w:rPr>
          <w:lang w:val="es-CO"/>
        </w:rPr>
      </w:pPr>
    </w:p>
    <w:p w14:paraId="33330BF1" w14:textId="56FBC1A2" w:rsidR="00624C9B" w:rsidRPr="00073D09" w:rsidRDefault="00E43F56" w:rsidP="00D62000">
      <w:pPr>
        <w:spacing w:after="0"/>
        <w:jc w:val="center"/>
        <w:rPr>
          <w:lang w:val="es-CO"/>
        </w:rPr>
      </w:pPr>
      <w:r w:rsidRPr="00073D09">
        <w:rPr>
          <w:noProof/>
          <w:lang w:val="es-CO" w:eastAsia="es-CO"/>
        </w:rPr>
        <w:drawing>
          <wp:inline distT="0" distB="0" distL="0" distR="0" wp14:anchorId="1340585E" wp14:editId="38BF6D2C">
            <wp:extent cx="4620985" cy="2721950"/>
            <wp:effectExtent l="0" t="0" r="825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9614" cy="2732923"/>
                    </a:xfrm>
                    <a:prstGeom prst="rect">
                      <a:avLst/>
                    </a:prstGeom>
                  </pic:spPr>
                </pic:pic>
              </a:graphicData>
            </a:graphic>
          </wp:inline>
        </w:drawing>
      </w:r>
    </w:p>
    <w:p w14:paraId="08CC79D0" w14:textId="4A0508B3" w:rsidR="00FA5CB5" w:rsidRPr="00073D09" w:rsidRDefault="00D14E51" w:rsidP="00D62000">
      <w:pPr>
        <w:spacing w:after="0"/>
        <w:jc w:val="both"/>
        <w:rPr>
          <w:lang w:val="es-CO"/>
        </w:rPr>
      </w:pPr>
      <w:r w:rsidRPr="00073D09">
        <w:rPr>
          <w:b/>
          <w:lang w:val="es-CO"/>
        </w:rPr>
        <w:t>Figura 1</w:t>
      </w:r>
      <w:r w:rsidR="00624C9B" w:rsidRPr="00073D09">
        <w:rPr>
          <w:b/>
          <w:lang w:val="es-CO"/>
        </w:rPr>
        <w:t>.</w:t>
      </w:r>
      <w:r w:rsidR="00624C9B" w:rsidRPr="00073D09">
        <w:rPr>
          <w:lang w:val="es-CO"/>
        </w:rPr>
        <w:t xml:space="preserve"> Residuos </w:t>
      </w:r>
      <w:r w:rsidR="00CD2246">
        <w:rPr>
          <w:lang w:val="es-CO"/>
        </w:rPr>
        <w:t>s</w:t>
      </w:r>
      <w:r w:rsidR="00624C9B" w:rsidRPr="00073D09">
        <w:rPr>
          <w:lang w:val="es-CO"/>
        </w:rPr>
        <w:t xml:space="preserve">ólidos depositados en el relleno sanitario Doña Juana desde el 2002 hasta el 2018.  </w:t>
      </w:r>
    </w:p>
    <w:p w14:paraId="07DD2CE3" w14:textId="041169EE" w:rsidR="006876FC" w:rsidRPr="00073D09" w:rsidRDefault="006876FC" w:rsidP="00D62000">
      <w:pPr>
        <w:spacing w:after="0"/>
        <w:jc w:val="both"/>
        <w:rPr>
          <w:b/>
          <w:i/>
          <w:lang w:val="en-US"/>
        </w:rPr>
      </w:pPr>
      <w:r w:rsidRPr="00073D09">
        <w:rPr>
          <w:b/>
          <w:i/>
          <w:lang w:val="en-US"/>
        </w:rPr>
        <w:t xml:space="preserve">Figure 1.  </w:t>
      </w:r>
      <w:r w:rsidRPr="00073D09">
        <w:rPr>
          <w:i/>
          <w:lang w:val="en-US"/>
        </w:rPr>
        <w:t>Solid waste deposited in the landfill Doña Juana from 2002 to 2018.</w:t>
      </w:r>
    </w:p>
    <w:p w14:paraId="0CB82CAC" w14:textId="77777777" w:rsidR="004C7648" w:rsidRPr="00073D09" w:rsidRDefault="004C7648" w:rsidP="00D62000">
      <w:pPr>
        <w:spacing w:after="0"/>
        <w:jc w:val="both"/>
        <w:rPr>
          <w:lang w:val="en-US"/>
        </w:rPr>
      </w:pPr>
    </w:p>
    <w:p w14:paraId="689318DC" w14:textId="26161A62" w:rsidR="00624C9B" w:rsidRPr="00073D09" w:rsidRDefault="00624C9B" w:rsidP="00D62000">
      <w:pPr>
        <w:spacing w:after="0"/>
        <w:jc w:val="both"/>
        <w:rPr>
          <w:lang w:val="es-CO"/>
        </w:rPr>
      </w:pPr>
      <w:r w:rsidRPr="00073D09">
        <w:rPr>
          <w:lang w:val="es-CO"/>
        </w:rPr>
        <w:t xml:space="preserve">En la </w:t>
      </w:r>
      <w:r w:rsidR="00047A3B" w:rsidRPr="00073D09">
        <w:rPr>
          <w:b/>
          <w:lang w:val="es-CO"/>
        </w:rPr>
        <w:t>Figura</w:t>
      </w:r>
      <w:r w:rsidRPr="00073D09">
        <w:rPr>
          <w:b/>
          <w:lang w:val="es-CO"/>
        </w:rPr>
        <w:t xml:space="preserve"> 1</w:t>
      </w:r>
      <w:r w:rsidRPr="00073D09">
        <w:rPr>
          <w:lang w:val="es-CO"/>
        </w:rPr>
        <w:t xml:space="preserve"> se evidencia el comportamiento de residuos en un intervalo de 17 años de recolección de basura en el relleno sanitario</w:t>
      </w:r>
      <w:r w:rsidR="00515064" w:rsidRPr="00073D09">
        <w:rPr>
          <w:lang w:val="es-CO"/>
        </w:rPr>
        <w:t>.</w:t>
      </w:r>
      <w:r w:rsidRPr="00073D09">
        <w:rPr>
          <w:lang w:val="es-CO"/>
        </w:rPr>
        <w:t xml:space="preserve"> </w:t>
      </w:r>
      <w:r w:rsidR="006461C2" w:rsidRPr="00073D09">
        <w:rPr>
          <w:lang w:val="es-CO"/>
        </w:rPr>
        <w:t xml:space="preserve">Se </w:t>
      </w:r>
      <w:r w:rsidRPr="00073D09">
        <w:rPr>
          <w:lang w:val="es-CO"/>
        </w:rPr>
        <w:t xml:space="preserve">ajusta un modelo de regresión lineal logarítmico, </w:t>
      </w:r>
      <w:r w:rsidR="00A452EA" w:rsidRPr="00073D09">
        <w:rPr>
          <w:lang w:val="es-CO"/>
        </w:rPr>
        <w:t xml:space="preserve">que se muestra en la </w:t>
      </w:r>
      <w:r w:rsidRPr="00073D09">
        <w:rPr>
          <w:b/>
          <w:lang w:val="es-CO"/>
        </w:rPr>
        <w:t>Ecuación 3</w:t>
      </w:r>
      <w:r w:rsidRPr="00073D09">
        <w:rPr>
          <w:lang w:val="es-CO"/>
        </w:rPr>
        <w:t>, con coeficiente de regresión lineal de 0.9136.</w:t>
      </w:r>
    </w:p>
    <w:p w14:paraId="10968014" w14:textId="77777777" w:rsidR="004C7648" w:rsidRPr="00073D09" w:rsidRDefault="004C7648" w:rsidP="00D62000">
      <w:pPr>
        <w:spacing w:after="0"/>
        <w:jc w:val="both"/>
        <w:rPr>
          <w:lang w:val="es-CO"/>
        </w:rPr>
      </w:pPr>
    </w:p>
    <w:p w14:paraId="5DD5A837" w14:textId="03F6D740" w:rsidR="00A7734C" w:rsidRPr="00073D09" w:rsidRDefault="00A7734C" w:rsidP="00D62000">
      <w:pPr>
        <w:pStyle w:val="Default"/>
        <w:jc w:val="left"/>
        <w:rPr>
          <w:rFonts w:ascii="Times New Roman" w:hAnsi="Times New Roman" w:cs="Times New Roman"/>
          <w:lang w:val="es-ES"/>
        </w:rPr>
      </w:pPr>
      <m:oMathPara>
        <m:oMath>
          <m:r>
            <w:rPr>
              <w:rFonts w:ascii="Cambria Math" w:hAnsi="Cambria Math" w:cs="Times New Roman"/>
              <w:lang w:val="es-ES"/>
            </w:rPr>
            <m:t>Y=-4.891*</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8</m:t>
              </m:r>
            </m:sup>
          </m:sSup>
          <m:r>
            <w:rPr>
              <w:rFonts w:ascii="Cambria Math" w:hAnsi="Cambria Math" w:cs="Times New Roman"/>
              <w:lang w:val="es-ES"/>
            </w:rPr>
            <m:t>+</m:t>
          </m:r>
          <m:d>
            <m:dPr>
              <m:ctrlPr>
                <w:rPr>
                  <w:rFonts w:ascii="Cambria Math" w:hAnsi="Cambria Math" w:cs="Times New Roman"/>
                  <w:i/>
                  <w:lang w:val="es-ES"/>
                </w:rPr>
              </m:ctrlPr>
            </m:dPr>
            <m:e>
              <m:r>
                <w:rPr>
                  <w:rFonts w:ascii="Cambria Math" w:hAnsi="Cambria Math" w:cs="Times New Roman"/>
                  <w:lang w:val="es-ES"/>
                </w:rPr>
                <m:t>6.459*</m:t>
              </m:r>
              <m:sSup>
                <m:sSupPr>
                  <m:ctrlPr>
                    <w:rPr>
                      <w:rFonts w:ascii="Cambria Math" w:hAnsi="Cambria Math" w:cs="Times New Roman"/>
                      <w:i/>
                      <w:lang w:val="es-ES"/>
                    </w:rPr>
                  </m:ctrlPr>
                </m:sSupPr>
                <m:e>
                  <m:r>
                    <w:rPr>
                      <w:rFonts w:ascii="Cambria Math" w:hAnsi="Cambria Math" w:cs="Times New Roman"/>
                      <w:lang w:val="es-ES"/>
                    </w:rPr>
                    <m:t>10</m:t>
                  </m:r>
                </m:e>
                <m:sup>
                  <m:r>
                    <w:rPr>
                      <w:rFonts w:ascii="Cambria Math" w:hAnsi="Cambria Math" w:cs="Times New Roman"/>
                      <w:lang w:val="es-ES"/>
                    </w:rPr>
                    <m:t>7</m:t>
                  </m:r>
                </m:sup>
              </m:sSup>
            </m:e>
          </m:d>
          <m:r>
            <w:rPr>
              <w:rFonts w:ascii="Cambria Math" w:hAnsi="Cambria Math" w:cs="Times New Roman"/>
              <w:lang w:val="es-ES"/>
            </w:rPr>
            <m:t>*</m:t>
          </m:r>
          <m:func>
            <m:funcPr>
              <m:ctrlPr>
                <w:rPr>
                  <w:rFonts w:ascii="Cambria Math" w:hAnsi="Cambria Math" w:cs="Times New Roman"/>
                  <w:i/>
                  <w:lang w:val="es-ES"/>
                </w:rPr>
              </m:ctrlPr>
            </m:funcPr>
            <m:fName>
              <m:r>
                <m:rPr>
                  <m:sty m:val="p"/>
                </m:rPr>
                <w:rPr>
                  <w:rFonts w:ascii="Cambria Math" w:hAnsi="Cambria Math" w:cs="Times New Roman"/>
                  <w:lang w:val="es-ES"/>
                </w:rPr>
                <m:t>ln</m:t>
              </m:r>
            </m:fName>
            <m:e>
              <m:d>
                <m:dPr>
                  <m:ctrlPr>
                    <w:rPr>
                      <w:rFonts w:ascii="Cambria Math" w:hAnsi="Cambria Math" w:cs="Times New Roman"/>
                      <w:i/>
                      <w:lang w:val="es-ES"/>
                    </w:rPr>
                  </m:ctrlPr>
                </m:dPr>
                <m:e>
                  <m:r>
                    <w:rPr>
                      <w:rFonts w:ascii="Cambria Math" w:hAnsi="Cambria Math" w:cs="Times New Roman"/>
                      <w:lang w:val="es-ES"/>
                    </w:rPr>
                    <m:t>x</m:t>
                  </m:r>
                </m:e>
              </m:d>
            </m:e>
          </m:func>
          <m:r>
            <w:rPr>
              <w:rFonts w:ascii="Cambria Math" w:hAnsi="Cambria Math" w:cs="Times New Roman"/>
              <w:lang w:val="es-ES"/>
            </w:rPr>
            <m:t xml:space="preserve">            </m:t>
          </m:r>
          <m:r>
            <m:rPr>
              <m:sty m:val="p"/>
            </m:rPr>
            <w:rPr>
              <w:rFonts w:ascii="Cambria Math" w:hAnsi="Cambria Math" w:cs="Times New Roman"/>
              <w:lang w:val="es-ES"/>
            </w:rPr>
            <m:t>(</m:t>
          </m:r>
          <m:r>
            <m:rPr>
              <m:sty m:val="b"/>
            </m:rPr>
            <w:rPr>
              <w:rFonts w:ascii="Cambria Math" w:hAnsi="Cambria Math" w:cs="Times New Roman"/>
              <w:lang w:val="es-ES"/>
            </w:rPr>
            <m:t>E.3</m:t>
          </m:r>
          <m:r>
            <m:rPr>
              <m:sty m:val="p"/>
            </m:rPr>
            <w:rPr>
              <w:rFonts w:ascii="Cambria Math" w:hAnsi="Cambria Math" w:cs="Times New Roman"/>
              <w:lang w:val="es-ES"/>
            </w:rPr>
            <m:t>)</m:t>
          </m:r>
        </m:oMath>
      </m:oMathPara>
    </w:p>
    <w:p w14:paraId="78BC3E94" w14:textId="77777777" w:rsidR="004C7648" w:rsidRPr="00073D09" w:rsidRDefault="004C7648" w:rsidP="00D62000">
      <w:pPr>
        <w:pStyle w:val="Default"/>
        <w:jc w:val="left"/>
        <w:rPr>
          <w:rFonts w:ascii="Times New Roman" w:hAnsi="Times New Roman" w:cs="Times New Roman"/>
          <w:lang w:val="es-ES"/>
        </w:rPr>
      </w:pPr>
    </w:p>
    <w:p w14:paraId="2A57AA6D" w14:textId="3E2B98FD" w:rsidR="004E36CC" w:rsidRPr="00073D09" w:rsidRDefault="00624C9B" w:rsidP="00D62000">
      <w:pPr>
        <w:spacing w:after="0"/>
        <w:jc w:val="both"/>
        <w:rPr>
          <w:lang w:val="es-CO"/>
        </w:rPr>
      </w:pPr>
      <w:r w:rsidRPr="00073D09">
        <w:rPr>
          <w:lang w:val="es-CO"/>
        </w:rPr>
        <w:t xml:space="preserve">En la </w:t>
      </w:r>
      <w:r w:rsidRPr="00073D09">
        <w:rPr>
          <w:b/>
          <w:lang w:val="es-CO"/>
        </w:rPr>
        <w:t>Ecuación 3</w:t>
      </w:r>
      <w:r w:rsidRPr="00073D09">
        <w:rPr>
          <w:lang w:val="es-CO"/>
        </w:rPr>
        <w:t xml:space="preserve">, </w:t>
      </w:r>
      <m:oMath>
        <m:r>
          <w:rPr>
            <w:rFonts w:ascii="Cambria Math" w:hAnsi="Cambria Math"/>
            <w:lang w:val="es-CO"/>
          </w:rPr>
          <m:t>y</m:t>
        </m:r>
      </m:oMath>
      <w:r w:rsidR="00A452EA" w:rsidRPr="00073D09">
        <w:rPr>
          <w:lang w:val="es-CO"/>
        </w:rPr>
        <w:t xml:space="preserve"> </w:t>
      </w:r>
      <w:r w:rsidRPr="00073D09">
        <w:rPr>
          <w:lang w:val="es-CO"/>
        </w:rPr>
        <w:t xml:space="preserve">corresponde a la cantidad de basuras por año y </w:t>
      </w:r>
      <m:oMath>
        <m:r>
          <w:rPr>
            <w:rFonts w:ascii="Cambria Math" w:hAnsi="Cambria Math"/>
            <w:lang w:val="es-CO"/>
          </w:rPr>
          <m:t>x</m:t>
        </m:r>
      </m:oMath>
      <w:r w:rsidRPr="00073D09">
        <w:rPr>
          <w:lang w:val="es-CO"/>
        </w:rPr>
        <w:t xml:space="preserve"> el año de recolección.</w:t>
      </w:r>
    </w:p>
    <w:p w14:paraId="486AE25C" w14:textId="77777777" w:rsidR="00624C9B" w:rsidRPr="00073D09" w:rsidRDefault="00624C9B" w:rsidP="00D62000">
      <w:pPr>
        <w:spacing w:after="0"/>
        <w:jc w:val="both"/>
        <w:rPr>
          <w:lang w:val="es-CO"/>
        </w:rPr>
      </w:pPr>
    </w:p>
    <w:p w14:paraId="4C7D1F02" w14:textId="05DE0A31" w:rsidR="00347BC8" w:rsidRDefault="00347BC8" w:rsidP="00D62000">
      <w:pPr>
        <w:pStyle w:val="Prrafodelista"/>
        <w:numPr>
          <w:ilvl w:val="1"/>
          <w:numId w:val="11"/>
        </w:numPr>
        <w:spacing w:after="0"/>
        <w:jc w:val="both"/>
        <w:rPr>
          <w:b/>
          <w:lang w:val="es-CO"/>
        </w:rPr>
      </w:pPr>
      <w:r w:rsidRPr="00073D09">
        <w:rPr>
          <w:b/>
          <w:lang w:val="es-CO"/>
        </w:rPr>
        <w:t xml:space="preserve">Simulación en </w:t>
      </w:r>
      <w:proofErr w:type="spellStart"/>
      <w:r w:rsidRPr="00073D09">
        <w:rPr>
          <w:b/>
          <w:lang w:val="es-CO"/>
        </w:rPr>
        <w:t>LandGEM</w:t>
      </w:r>
      <w:proofErr w:type="spellEnd"/>
      <w:r w:rsidRPr="00073D09">
        <w:rPr>
          <w:b/>
          <w:lang w:val="es-CO"/>
        </w:rPr>
        <w:t xml:space="preserve"> e interpretación</w:t>
      </w:r>
    </w:p>
    <w:p w14:paraId="3239AD94" w14:textId="77777777" w:rsidR="00644E05" w:rsidRPr="00073D09" w:rsidRDefault="00644E05" w:rsidP="00644E05">
      <w:pPr>
        <w:pStyle w:val="Prrafodelista"/>
        <w:spacing w:after="0"/>
        <w:ind w:left="360"/>
        <w:jc w:val="both"/>
        <w:rPr>
          <w:b/>
          <w:lang w:val="es-CO"/>
        </w:rPr>
      </w:pPr>
    </w:p>
    <w:p w14:paraId="10CC5044" w14:textId="69C4CDF2" w:rsidR="00053188" w:rsidRPr="00073D09" w:rsidRDefault="00053188" w:rsidP="00D62000">
      <w:pPr>
        <w:pStyle w:val="Prrafodelista"/>
        <w:numPr>
          <w:ilvl w:val="2"/>
          <w:numId w:val="11"/>
        </w:numPr>
        <w:spacing w:after="0"/>
        <w:jc w:val="both"/>
        <w:rPr>
          <w:b/>
          <w:lang w:val="es-CO"/>
        </w:rPr>
      </w:pPr>
      <w:r w:rsidRPr="00073D09">
        <w:rPr>
          <w:b/>
          <w:lang w:val="es-CO"/>
        </w:rPr>
        <w:t>Producción de metano para el año de clausura 2022, 2040 y 2070</w:t>
      </w:r>
    </w:p>
    <w:p w14:paraId="326C1153" w14:textId="77777777" w:rsidR="008073F8" w:rsidRPr="00073D09" w:rsidRDefault="008073F8" w:rsidP="00D62000">
      <w:pPr>
        <w:pStyle w:val="Prrafodelista"/>
        <w:spacing w:after="0"/>
        <w:jc w:val="both"/>
        <w:rPr>
          <w:b/>
          <w:lang w:val="es-CO"/>
        </w:rPr>
      </w:pPr>
    </w:p>
    <w:p w14:paraId="45551360" w14:textId="36B1D67A" w:rsidR="00347BC8" w:rsidRPr="00073D09" w:rsidRDefault="00053188" w:rsidP="00D62000">
      <w:pPr>
        <w:spacing w:after="0"/>
        <w:jc w:val="both"/>
        <w:rPr>
          <w:lang w:val="es-CO"/>
        </w:rPr>
      </w:pPr>
      <w:r w:rsidRPr="00073D09">
        <w:rPr>
          <w:lang w:val="es-CO"/>
        </w:rPr>
        <w:t xml:space="preserve">La </w:t>
      </w:r>
      <w:r w:rsidR="00C910A4" w:rsidRPr="00073D09">
        <w:rPr>
          <w:b/>
          <w:lang w:val="es-CO"/>
        </w:rPr>
        <w:t>Figura 2</w:t>
      </w:r>
      <w:r w:rsidR="00C910A4" w:rsidRPr="00073D09">
        <w:rPr>
          <w:lang w:val="es-CO"/>
        </w:rPr>
        <w:t xml:space="preserve"> </w:t>
      </w:r>
      <w:r w:rsidRPr="00073D09">
        <w:rPr>
          <w:lang w:val="es-CO"/>
        </w:rPr>
        <w:t xml:space="preserve">representa </w:t>
      </w:r>
      <w:r w:rsidR="00515064" w:rsidRPr="00073D09">
        <w:rPr>
          <w:lang w:val="es-CO"/>
        </w:rPr>
        <w:t>el conjunto de</w:t>
      </w:r>
      <w:r w:rsidRPr="00073D09">
        <w:rPr>
          <w:lang w:val="es-CO"/>
        </w:rPr>
        <w:t xml:space="preserve"> 141 datos de </w:t>
      </w:r>
      <w:r w:rsidR="00A11957" w:rsidRPr="00073D09">
        <w:rPr>
          <w:lang w:val="es-CO"/>
        </w:rPr>
        <w:t xml:space="preserve">las </w:t>
      </w:r>
      <w:r w:rsidRPr="00073D09">
        <w:rPr>
          <w:lang w:val="es-CO"/>
        </w:rPr>
        <w:t xml:space="preserve">tasas de generación de metano para cada periodo de clausura del relleno sanitario Doña Juana. Para el caso del año 2022, se observa un máximo </w:t>
      </w:r>
      <w:r w:rsidR="000E2B39" w:rsidRPr="00073D09">
        <w:rPr>
          <w:lang w:val="es-CO"/>
        </w:rPr>
        <w:t>de 2</w:t>
      </w:r>
      <w:r w:rsidRPr="00073D09">
        <w:rPr>
          <w:lang w:val="es-CO"/>
        </w:rPr>
        <w:t>.39E+08 m</w:t>
      </w:r>
      <w:r w:rsidRPr="00073D09">
        <w:rPr>
          <w:vertAlign w:val="superscript"/>
          <w:lang w:val="es-CO"/>
        </w:rPr>
        <w:t>3</w:t>
      </w:r>
      <w:r w:rsidRPr="00073D09">
        <w:rPr>
          <w:lang w:val="es-CO"/>
        </w:rPr>
        <w:t xml:space="preserve">/año de </w:t>
      </w:r>
      <w:r w:rsidR="00A452EA" w:rsidRPr="00073D09">
        <w:rPr>
          <w:iCs/>
          <w:lang w:val="es-CO"/>
        </w:rPr>
        <w:t>CH</w:t>
      </w:r>
      <w:r w:rsidR="00A452EA" w:rsidRPr="00073D09">
        <w:rPr>
          <w:iCs/>
          <w:vertAlign w:val="subscript"/>
          <w:lang w:val="es-CO"/>
        </w:rPr>
        <w:t>4</w:t>
      </w:r>
      <w:r w:rsidRPr="00073D09">
        <w:rPr>
          <w:lang w:val="es-CO"/>
        </w:rPr>
        <w:t xml:space="preserve"> con una media de 5.26E+07 m</w:t>
      </w:r>
      <w:r w:rsidRPr="00073D09">
        <w:rPr>
          <w:vertAlign w:val="superscript"/>
          <w:lang w:val="es-CO"/>
        </w:rPr>
        <w:t>3</w:t>
      </w:r>
      <w:r w:rsidRPr="00073D09">
        <w:rPr>
          <w:lang w:val="es-CO"/>
        </w:rPr>
        <w:t>/año y la generación de</w:t>
      </w:r>
      <w:r w:rsidR="00A452EA" w:rsidRPr="00073D09">
        <w:rPr>
          <w:iCs/>
          <w:lang w:val="es-CO"/>
        </w:rPr>
        <w:t xml:space="preserve"> </w:t>
      </w:r>
      <w:bookmarkStart w:id="10" w:name="_Hlk43061293"/>
      <w:r w:rsidR="00A452EA" w:rsidRPr="00073D09">
        <w:rPr>
          <w:iCs/>
          <w:lang w:val="es-CO"/>
        </w:rPr>
        <w:t>CH</w:t>
      </w:r>
      <w:r w:rsidR="00A452EA" w:rsidRPr="00073D09">
        <w:rPr>
          <w:iCs/>
          <w:vertAlign w:val="subscript"/>
          <w:lang w:val="es-CO"/>
        </w:rPr>
        <w:t>4</w:t>
      </w:r>
      <w:bookmarkEnd w:id="10"/>
      <w:r w:rsidRPr="00073D09">
        <w:rPr>
          <w:lang w:val="es-CO"/>
        </w:rPr>
        <w:t xml:space="preserve"> se podría extender, según la simulación obtenida de </w:t>
      </w:r>
      <w:proofErr w:type="spellStart"/>
      <w:r w:rsidRPr="00073D09">
        <w:rPr>
          <w:lang w:val="es-CO"/>
        </w:rPr>
        <w:t>LandGEM</w:t>
      </w:r>
      <w:proofErr w:type="spellEnd"/>
      <w:r w:rsidRPr="00073D09">
        <w:rPr>
          <w:lang w:val="es-CO"/>
        </w:rPr>
        <w:t>, hasta el año 2106. Para el año 2040 se ob</w:t>
      </w:r>
      <w:r w:rsidR="004E36CC" w:rsidRPr="00073D09">
        <w:rPr>
          <w:lang w:val="es-CO"/>
        </w:rPr>
        <w:t>tuvo</w:t>
      </w:r>
      <w:r w:rsidRPr="00073D09">
        <w:rPr>
          <w:lang w:val="es-CO"/>
        </w:rPr>
        <w:t xml:space="preserve"> un máximo de 3.33E+08 m</w:t>
      </w:r>
      <w:r w:rsidRPr="00073D09">
        <w:rPr>
          <w:vertAlign w:val="superscript"/>
          <w:lang w:val="es-CO"/>
        </w:rPr>
        <w:t>3</w:t>
      </w:r>
      <w:r w:rsidRPr="00073D09">
        <w:rPr>
          <w:lang w:val="es-CO"/>
        </w:rPr>
        <w:t xml:space="preserve">/año de </w:t>
      </w:r>
      <w:r w:rsidR="00235A54" w:rsidRPr="00073D09">
        <w:rPr>
          <w:iCs/>
          <w:lang w:val="es-CO"/>
        </w:rPr>
        <w:t>CH</w:t>
      </w:r>
      <w:r w:rsidR="00235A54" w:rsidRPr="00073D09">
        <w:rPr>
          <w:iCs/>
          <w:vertAlign w:val="subscript"/>
          <w:lang w:val="es-CO"/>
        </w:rPr>
        <w:t>4</w:t>
      </w:r>
      <w:r w:rsidRPr="00073D09">
        <w:rPr>
          <w:lang w:val="es-CO"/>
        </w:rPr>
        <w:t xml:space="preserve"> con una media de 1.03E+08 m</w:t>
      </w:r>
      <w:r w:rsidRPr="00073D09">
        <w:rPr>
          <w:vertAlign w:val="superscript"/>
          <w:lang w:val="es-CO"/>
        </w:rPr>
        <w:t>3</w:t>
      </w:r>
      <w:r w:rsidRPr="00073D09">
        <w:rPr>
          <w:lang w:val="es-CO"/>
        </w:rPr>
        <w:t xml:space="preserve">/año y la </w:t>
      </w:r>
      <w:r w:rsidR="00235A54" w:rsidRPr="00073D09">
        <w:rPr>
          <w:lang w:val="es-CO"/>
        </w:rPr>
        <w:t>produc</w:t>
      </w:r>
      <w:r w:rsidRPr="00073D09">
        <w:rPr>
          <w:lang w:val="es-CO"/>
        </w:rPr>
        <w:t xml:space="preserve">ción de </w:t>
      </w:r>
      <w:r w:rsidR="00235A54" w:rsidRPr="00073D09">
        <w:rPr>
          <w:iCs/>
          <w:lang w:val="es-CO"/>
        </w:rPr>
        <w:t>CH</w:t>
      </w:r>
      <w:r w:rsidR="00235A54" w:rsidRPr="00073D09">
        <w:rPr>
          <w:iCs/>
          <w:vertAlign w:val="subscript"/>
          <w:lang w:val="es-CO"/>
        </w:rPr>
        <w:t>4</w:t>
      </w:r>
      <w:r w:rsidRPr="00073D09">
        <w:rPr>
          <w:lang w:val="es-CO"/>
        </w:rPr>
        <w:t xml:space="preserve"> se podría </w:t>
      </w:r>
      <w:r w:rsidR="00235A54" w:rsidRPr="00073D09">
        <w:rPr>
          <w:lang w:val="es-CO"/>
        </w:rPr>
        <w:t>ampliar</w:t>
      </w:r>
      <w:r w:rsidRPr="00073D09">
        <w:rPr>
          <w:lang w:val="es-CO"/>
        </w:rPr>
        <w:t xml:space="preserve"> hasta el año 2122. Para el caso del año 2070 se </w:t>
      </w:r>
      <w:r w:rsidR="004E36CC" w:rsidRPr="00073D09">
        <w:rPr>
          <w:lang w:val="es-CO"/>
        </w:rPr>
        <w:t>tiene</w:t>
      </w:r>
      <w:r w:rsidRPr="00073D09">
        <w:rPr>
          <w:lang w:val="es-CO"/>
        </w:rPr>
        <w:t xml:space="preserve"> un </w:t>
      </w:r>
      <w:r w:rsidR="00235A54" w:rsidRPr="00073D09">
        <w:rPr>
          <w:lang w:val="es-CO"/>
        </w:rPr>
        <w:t>máx.</w:t>
      </w:r>
      <w:r w:rsidRPr="00073D09">
        <w:rPr>
          <w:lang w:val="es-CO"/>
        </w:rPr>
        <w:t xml:space="preserve"> </w:t>
      </w:r>
      <w:r w:rsidR="000E2B39" w:rsidRPr="00073D09">
        <w:rPr>
          <w:lang w:val="es-CO"/>
        </w:rPr>
        <w:t>de 3</w:t>
      </w:r>
      <w:r w:rsidRPr="00073D09">
        <w:rPr>
          <w:lang w:val="es-CO"/>
        </w:rPr>
        <w:t>.83E+08 m</w:t>
      </w:r>
      <w:r w:rsidRPr="00073D09">
        <w:rPr>
          <w:vertAlign w:val="superscript"/>
          <w:lang w:val="es-CO"/>
        </w:rPr>
        <w:t>3</w:t>
      </w:r>
      <w:r w:rsidRPr="00073D09">
        <w:rPr>
          <w:lang w:val="es-CO"/>
        </w:rPr>
        <w:t>/año de metano con una media de 1.87E+08 m</w:t>
      </w:r>
      <w:r w:rsidRPr="00073D09">
        <w:rPr>
          <w:vertAlign w:val="superscript"/>
          <w:lang w:val="es-CO"/>
        </w:rPr>
        <w:t>3</w:t>
      </w:r>
      <w:r w:rsidRPr="00073D09">
        <w:rPr>
          <w:lang w:val="es-CO"/>
        </w:rPr>
        <w:t xml:space="preserve">/año y la generación de </w:t>
      </w:r>
      <w:r w:rsidR="00235A54" w:rsidRPr="00073D09">
        <w:rPr>
          <w:iCs/>
          <w:lang w:val="es-CO"/>
        </w:rPr>
        <w:t>CH</w:t>
      </w:r>
      <w:r w:rsidR="00235A54" w:rsidRPr="00073D09">
        <w:rPr>
          <w:iCs/>
          <w:vertAlign w:val="subscript"/>
          <w:lang w:val="es-CO"/>
        </w:rPr>
        <w:t>4</w:t>
      </w:r>
      <w:r w:rsidR="00235A54" w:rsidRPr="00073D09">
        <w:rPr>
          <w:lang w:val="es-CO"/>
        </w:rPr>
        <w:t xml:space="preserve"> </w:t>
      </w:r>
      <w:r w:rsidRPr="00073D09">
        <w:rPr>
          <w:lang w:val="es-CO"/>
        </w:rPr>
        <w:t xml:space="preserve">se podría extender, </w:t>
      </w:r>
      <w:r w:rsidR="004E36CC" w:rsidRPr="00073D09">
        <w:rPr>
          <w:lang w:val="es-CO"/>
        </w:rPr>
        <w:t xml:space="preserve">en términos de </w:t>
      </w:r>
      <w:r w:rsidRPr="00073D09">
        <w:rPr>
          <w:lang w:val="es-CO"/>
        </w:rPr>
        <w:t>la simulación obtenida hasta el año 2142.</w:t>
      </w:r>
    </w:p>
    <w:p w14:paraId="5F7DD644" w14:textId="77777777" w:rsidR="008073F8" w:rsidRPr="00073D09" w:rsidRDefault="008073F8" w:rsidP="00D62000">
      <w:pPr>
        <w:spacing w:after="0"/>
        <w:jc w:val="both"/>
        <w:rPr>
          <w:lang w:val="es-CO"/>
        </w:rPr>
      </w:pPr>
    </w:p>
    <w:p w14:paraId="7F443D95" w14:textId="5DEE8E1D" w:rsidR="00053188" w:rsidRPr="00073D09" w:rsidRDefault="00E43F56" w:rsidP="00D62000">
      <w:pPr>
        <w:spacing w:after="0"/>
        <w:ind w:firstLine="708"/>
        <w:jc w:val="center"/>
        <w:rPr>
          <w:lang w:val="es-CO"/>
        </w:rPr>
      </w:pPr>
      <w:r w:rsidRPr="00073D09">
        <w:rPr>
          <w:noProof/>
          <w:lang w:val="es-CO" w:eastAsia="es-CO"/>
        </w:rPr>
        <w:drawing>
          <wp:inline distT="0" distB="0" distL="0" distR="0" wp14:anchorId="284E8524" wp14:editId="23C02BDA">
            <wp:extent cx="4175760" cy="31825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3064" cy="3210946"/>
                    </a:xfrm>
                    <a:prstGeom prst="rect">
                      <a:avLst/>
                    </a:prstGeom>
                    <a:noFill/>
                    <a:ln>
                      <a:noFill/>
                    </a:ln>
                  </pic:spPr>
                </pic:pic>
              </a:graphicData>
            </a:graphic>
          </wp:inline>
        </w:drawing>
      </w:r>
    </w:p>
    <w:p w14:paraId="013ECC95" w14:textId="28EE4EF7" w:rsidR="00347BC8" w:rsidRPr="00073D09" w:rsidRDefault="00047A3B" w:rsidP="00D62000">
      <w:pPr>
        <w:spacing w:after="0"/>
        <w:jc w:val="both"/>
        <w:rPr>
          <w:lang w:val="es-CO"/>
        </w:rPr>
      </w:pPr>
      <w:r w:rsidRPr="00073D09">
        <w:rPr>
          <w:b/>
          <w:lang w:val="es-CO"/>
        </w:rPr>
        <w:t>Figura 2</w:t>
      </w:r>
      <w:r w:rsidR="00053188" w:rsidRPr="00073D09">
        <w:rPr>
          <w:lang w:val="es-CO"/>
        </w:rPr>
        <w:t xml:space="preserve">. Producción de metano para el año de clausura 2022, 2040 y 2070. </w:t>
      </w:r>
    </w:p>
    <w:p w14:paraId="3921D315" w14:textId="7D7BF129" w:rsidR="00F656AF" w:rsidRPr="00073D09" w:rsidRDefault="00265164" w:rsidP="00D62000">
      <w:pPr>
        <w:spacing w:after="0"/>
        <w:jc w:val="both"/>
        <w:rPr>
          <w:i/>
          <w:lang w:val="en-US"/>
        </w:rPr>
      </w:pPr>
      <w:r w:rsidRPr="00073D09">
        <w:rPr>
          <w:b/>
          <w:i/>
          <w:lang w:val="en-US"/>
        </w:rPr>
        <w:t xml:space="preserve">Figure 2. </w:t>
      </w:r>
      <w:r w:rsidRPr="00073D09">
        <w:rPr>
          <w:i/>
          <w:lang w:val="en-US"/>
        </w:rPr>
        <w:t>Methane production for closure year 2022, 2040 and 2070.</w:t>
      </w:r>
    </w:p>
    <w:p w14:paraId="7E6D02C5" w14:textId="77777777" w:rsidR="00053188" w:rsidRPr="00073D09" w:rsidRDefault="00053188" w:rsidP="00D62000">
      <w:pPr>
        <w:spacing w:after="0"/>
        <w:jc w:val="both"/>
        <w:rPr>
          <w:lang w:val="en-US"/>
        </w:rPr>
      </w:pPr>
    </w:p>
    <w:p w14:paraId="37104610" w14:textId="2998F336" w:rsidR="00053188" w:rsidRPr="00AB13C5" w:rsidRDefault="00053188" w:rsidP="00AB13C5">
      <w:pPr>
        <w:pStyle w:val="Prrafodelista"/>
        <w:numPr>
          <w:ilvl w:val="2"/>
          <w:numId w:val="11"/>
        </w:numPr>
        <w:spacing w:after="0"/>
        <w:ind w:left="567" w:hanging="567"/>
        <w:jc w:val="both"/>
        <w:rPr>
          <w:b/>
          <w:lang w:val="es-CO"/>
        </w:rPr>
      </w:pPr>
      <w:r w:rsidRPr="00AB13C5">
        <w:rPr>
          <w:b/>
          <w:lang w:val="es-CO"/>
        </w:rPr>
        <w:t xml:space="preserve">Producción de dióxido de </w:t>
      </w:r>
      <w:r w:rsidR="00F742F8">
        <w:rPr>
          <w:b/>
          <w:lang w:val="es-CO"/>
        </w:rPr>
        <w:t>c</w:t>
      </w:r>
      <w:r w:rsidRPr="00AB13C5">
        <w:rPr>
          <w:b/>
          <w:lang w:val="es-CO"/>
        </w:rPr>
        <w:t>arbono para el año de clausura 2022, 2040 y 2070</w:t>
      </w:r>
    </w:p>
    <w:p w14:paraId="280ADC06" w14:textId="77777777" w:rsidR="00AB13C5" w:rsidRPr="00AB13C5" w:rsidRDefault="00AB13C5" w:rsidP="00AB13C5">
      <w:pPr>
        <w:pStyle w:val="Prrafodelista"/>
        <w:spacing w:after="0"/>
        <w:jc w:val="both"/>
        <w:rPr>
          <w:b/>
          <w:lang w:val="es-CO"/>
        </w:rPr>
      </w:pPr>
    </w:p>
    <w:p w14:paraId="6B9164E0" w14:textId="39EDB8E2" w:rsidR="00053188" w:rsidRPr="00073D09" w:rsidRDefault="00053188" w:rsidP="00D62000">
      <w:pPr>
        <w:spacing w:after="0"/>
        <w:jc w:val="both"/>
        <w:rPr>
          <w:lang w:val="es-CO"/>
        </w:rPr>
      </w:pPr>
      <w:r w:rsidRPr="00073D09">
        <w:rPr>
          <w:lang w:val="es-CO"/>
        </w:rPr>
        <w:t xml:space="preserve">La </w:t>
      </w:r>
      <w:r w:rsidR="00047A3B" w:rsidRPr="00073D09">
        <w:rPr>
          <w:b/>
          <w:lang w:val="es-CO"/>
        </w:rPr>
        <w:t>Figura 3</w:t>
      </w:r>
      <w:r w:rsidRPr="00073D09">
        <w:rPr>
          <w:lang w:val="es-CO"/>
        </w:rPr>
        <w:t xml:space="preserve"> representa </w:t>
      </w:r>
      <w:r w:rsidR="00A11957" w:rsidRPr="00073D09">
        <w:rPr>
          <w:lang w:val="es-CO"/>
        </w:rPr>
        <w:t xml:space="preserve">gráficamente </w:t>
      </w:r>
      <w:r w:rsidRPr="00073D09">
        <w:rPr>
          <w:lang w:val="es-CO"/>
        </w:rPr>
        <w:t>los</w:t>
      </w:r>
      <w:r w:rsidR="00A11957" w:rsidRPr="00073D09">
        <w:rPr>
          <w:lang w:val="es-CO"/>
        </w:rPr>
        <w:t xml:space="preserve"> </w:t>
      </w:r>
      <w:r w:rsidRPr="00073D09">
        <w:rPr>
          <w:lang w:val="es-CO"/>
        </w:rPr>
        <w:t xml:space="preserve">datos </w:t>
      </w:r>
      <w:r w:rsidR="00A11957" w:rsidRPr="00073D09">
        <w:rPr>
          <w:lang w:val="es-CO"/>
        </w:rPr>
        <w:t>que corresponden a las</w:t>
      </w:r>
      <w:r w:rsidRPr="00073D09">
        <w:rPr>
          <w:lang w:val="es-CO"/>
        </w:rPr>
        <w:t xml:space="preserve"> tasas de </w:t>
      </w:r>
      <w:r w:rsidR="00A11957" w:rsidRPr="00073D09">
        <w:rPr>
          <w:lang w:val="es-CO"/>
        </w:rPr>
        <w:t>producción</w:t>
      </w:r>
      <w:r w:rsidRPr="00073D09">
        <w:rPr>
          <w:lang w:val="es-CO"/>
        </w:rPr>
        <w:t xml:space="preserve"> de CO</w:t>
      </w:r>
      <w:r w:rsidRPr="00073D09">
        <w:rPr>
          <w:vertAlign w:val="subscript"/>
          <w:lang w:val="es-CO"/>
        </w:rPr>
        <w:t>2</w:t>
      </w:r>
      <w:r w:rsidRPr="00073D09">
        <w:rPr>
          <w:lang w:val="es-CO"/>
        </w:rPr>
        <w:t xml:space="preserve"> para cada periodo de clausura del relleno sanitario</w:t>
      </w:r>
      <w:r w:rsidR="003445A5" w:rsidRPr="00073D09">
        <w:rPr>
          <w:lang w:val="es-CO"/>
        </w:rPr>
        <w:t xml:space="preserve"> en estudio</w:t>
      </w:r>
      <w:r w:rsidRPr="00073D09">
        <w:rPr>
          <w:lang w:val="es-CO"/>
        </w:rPr>
        <w:t xml:space="preserve">. Para el caso del año 2022 se observa un máximo </w:t>
      </w:r>
      <w:r w:rsidR="000E2B39" w:rsidRPr="00073D09">
        <w:rPr>
          <w:lang w:val="es-CO"/>
        </w:rPr>
        <w:t>de 4</w:t>
      </w:r>
      <w:r w:rsidRPr="00073D09">
        <w:rPr>
          <w:lang w:val="es-CO"/>
        </w:rPr>
        <w:t>.38E+05 ton/año de CO</w:t>
      </w:r>
      <w:r w:rsidRPr="00073D09">
        <w:rPr>
          <w:vertAlign w:val="subscript"/>
          <w:lang w:val="es-CO"/>
        </w:rPr>
        <w:t>2</w:t>
      </w:r>
      <w:r w:rsidRPr="00073D09">
        <w:rPr>
          <w:lang w:val="es-CO"/>
        </w:rPr>
        <w:t xml:space="preserve"> con una media de 9.63E+04 ton/año y</w:t>
      </w:r>
      <w:r w:rsidR="00925964">
        <w:rPr>
          <w:lang w:val="es-CO"/>
        </w:rPr>
        <w:t>,</w:t>
      </w:r>
      <w:r w:rsidRPr="00073D09">
        <w:rPr>
          <w:lang w:val="es-CO"/>
        </w:rPr>
        <w:t xml:space="preserve"> </w:t>
      </w:r>
      <w:r w:rsidR="00514540" w:rsidRPr="00073D09">
        <w:rPr>
          <w:lang w:val="es-CO"/>
        </w:rPr>
        <w:t>según la simulación obtenida</w:t>
      </w:r>
      <w:r w:rsidR="00925964">
        <w:rPr>
          <w:lang w:val="es-CO"/>
        </w:rPr>
        <w:t>,</w:t>
      </w:r>
      <w:r w:rsidR="00514540" w:rsidRPr="00073D09">
        <w:rPr>
          <w:lang w:val="es-CO"/>
        </w:rPr>
        <w:t xml:space="preserve"> </w:t>
      </w:r>
      <w:r w:rsidRPr="00073D09">
        <w:rPr>
          <w:lang w:val="es-CO"/>
        </w:rPr>
        <w:t>la generación se podría extender hasta el año 2106. Para el caso del año 2040 se ob</w:t>
      </w:r>
      <w:r w:rsidR="004E36CC" w:rsidRPr="00073D09">
        <w:rPr>
          <w:lang w:val="es-CO"/>
        </w:rPr>
        <w:t>tiene</w:t>
      </w:r>
      <w:r w:rsidRPr="00073D09">
        <w:rPr>
          <w:lang w:val="es-CO"/>
        </w:rPr>
        <w:t xml:space="preserve"> un máximo de 6.10E+05 ton/año de CO</w:t>
      </w:r>
      <w:r w:rsidRPr="00073D09">
        <w:rPr>
          <w:vertAlign w:val="subscript"/>
          <w:lang w:val="es-CO"/>
        </w:rPr>
        <w:t>2</w:t>
      </w:r>
      <w:r w:rsidRPr="00073D09">
        <w:rPr>
          <w:lang w:val="es-CO"/>
        </w:rPr>
        <w:t xml:space="preserve"> con una media de 1.89E+05 ton/año y la </w:t>
      </w:r>
      <w:r w:rsidR="00A11957" w:rsidRPr="00073D09">
        <w:rPr>
          <w:lang w:val="es-CO"/>
        </w:rPr>
        <w:t xml:space="preserve">producción </w:t>
      </w:r>
      <w:r w:rsidRPr="00073D09">
        <w:rPr>
          <w:lang w:val="es-CO"/>
        </w:rPr>
        <w:t xml:space="preserve">se podría </w:t>
      </w:r>
      <w:r w:rsidR="00A11957" w:rsidRPr="00073D09">
        <w:rPr>
          <w:lang w:val="es-CO"/>
        </w:rPr>
        <w:t>ampliar</w:t>
      </w:r>
      <w:r w:rsidRPr="00073D09">
        <w:rPr>
          <w:lang w:val="es-CO"/>
        </w:rPr>
        <w:t xml:space="preserve">, según la simulación obtenida de </w:t>
      </w:r>
      <w:proofErr w:type="spellStart"/>
      <w:r w:rsidRPr="00073D09">
        <w:rPr>
          <w:lang w:val="es-CO"/>
        </w:rPr>
        <w:t>LandGEM</w:t>
      </w:r>
      <w:proofErr w:type="spellEnd"/>
      <w:r w:rsidRPr="00073D09">
        <w:rPr>
          <w:lang w:val="es-CO"/>
        </w:rPr>
        <w:t xml:space="preserve"> hasta el año 2122. Para el año 2070 se </w:t>
      </w:r>
      <w:r w:rsidR="004E36CC" w:rsidRPr="00073D09">
        <w:rPr>
          <w:lang w:val="es-CO"/>
        </w:rPr>
        <w:t>tiene</w:t>
      </w:r>
      <w:r w:rsidRPr="00073D09">
        <w:rPr>
          <w:lang w:val="es-CO"/>
        </w:rPr>
        <w:t xml:space="preserve"> un máximo de 7.02E+05 ton/año de CO</w:t>
      </w:r>
      <w:r w:rsidRPr="00073D09">
        <w:rPr>
          <w:vertAlign w:val="subscript"/>
          <w:lang w:val="es-CO"/>
        </w:rPr>
        <w:t>2</w:t>
      </w:r>
      <w:r w:rsidRPr="00073D09">
        <w:rPr>
          <w:lang w:val="es-CO"/>
        </w:rPr>
        <w:t xml:space="preserve"> con una media de 3.42E+05 ton/año</w:t>
      </w:r>
      <w:r w:rsidR="004E36CC" w:rsidRPr="00073D09">
        <w:rPr>
          <w:lang w:val="es-CO"/>
        </w:rPr>
        <w:t>, en términos de</w:t>
      </w:r>
      <w:r w:rsidR="00A11957" w:rsidRPr="00073D09">
        <w:rPr>
          <w:lang w:val="es-CO"/>
        </w:rPr>
        <w:t xml:space="preserve"> la simulación</w:t>
      </w:r>
      <w:r w:rsidR="004E36CC" w:rsidRPr="00073D09">
        <w:rPr>
          <w:lang w:val="es-CO"/>
        </w:rPr>
        <w:t xml:space="preserve"> realizada</w:t>
      </w:r>
      <w:r w:rsidR="00A11957" w:rsidRPr="00073D09">
        <w:rPr>
          <w:lang w:val="es-CO"/>
        </w:rPr>
        <w:t xml:space="preserve"> la generación de dióxido de carbono se p</w:t>
      </w:r>
      <w:r w:rsidR="004E36CC" w:rsidRPr="00073D09">
        <w:rPr>
          <w:lang w:val="es-CO"/>
        </w:rPr>
        <w:t>uede</w:t>
      </w:r>
      <w:r w:rsidR="00A11957" w:rsidRPr="00073D09">
        <w:rPr>
          <w:lang w:val="es-CO"/>
        </w:rPr>
        <w:t xml:space="preserve"> extender hasta el año 2142.</w:t>
      </w:r>
      <w:r w:rsidRPr="00073D09">
        <w:rPr>
          <w:lang w:val="es-CO"/>
        </w:rPr>
        <w:t xml:space="preserve"> </w:t>
      </w:r>
    </w:p>
    <w:p w14:paraId="199F84F4" w14:textId="6EA0856F" w:rsidR="00052A52" w:rsidRPr="00073D09" w:rsidRDefault="00E43F56" w:rsidP="00D62000">
      <w:pPr>
        <w:spacing w:after="0"/>
        <w:ind w:firstLine="708"/>
        <w:jc w:val="center"/>
        <w:rPr>
          <w:lang w:val="es-CO"/>
        </w:rPr>
      </w:pPr>
      <w:r w:rsidRPr="00073D09">
        <w:rPr>
          <w:noProof/>
          <w:lang w:val="es-CO" w:eastAsia="es-CO"/>
        </w:rPr>
        <w:lastRenderedPageBreak/>
        <w:drawing>
          <wp:inline distT="0" distB="0" distL="0" distR="0" wp14:anchorId="520C66C4" wp14:editId="75DE9403">
            <wp:extent cx="4186868" cy="318516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4815" cy="3244458"/>
                    </a:xfrm>
                    <a:prstGeom prst="rect">
                      <a:avLst/>
                    </a:prstGeom>
                  </pic:spPr>
                </pic:pic>
              </a:graphicData>
            </a:graphic>
          </wp:inline>
        </w:drawing>
      </w:r>
    </w:p>
    <w:p w14:paraId="36D8E0A8" w14:textId="6BB7152A" w:rsidR="00053188" w:rsidRPr="00073D09" w:rsidRDefault="00047A3B" w:rsidP="00D62000">
      <w:pPr>
        <w:spacing w:after="0"/>
        <w:jc w:val="both"/>
        <w:rPr>
          <w:lang w:val="es-CO"/>
        </w:rPr>
      </w:pPr>
      <w:r w:rsidRPr="00073D09">
        <w:rPr>
          <w:b/>
          <w:lang w:val="es-CO"/>
        </w:rPr>
        <w:t>Figura 3</w:t>
      </w:r>
      <w:r w:rsidR="00053188" w:rsidRPr="00073D09">
        <w:rPr>
          <w:lang w:val="es-CO"/>
        </w:rPr>
        <w:t xml:space="preserve">. Producción de dióxido de </w:t>
      </w:r>
      <w:r w:rsidR="00B927E6">
        <w:rPr>
          <w:lang w:val="es-CO"/>
        </w:rPr>
        <w:t>c</w:t>
      </w:r>
      <w:r w:rsidR="00053188" w:rsidRPr="00073D09">
        <w:rPr>
          <w:lang w:val="es-CO"/>
        </w:rPr>
        <w:t xml:space="preserve">arbono para el año de clausura 2022, 2040 y 2070. </w:t>
      </w:r>
    </w:p>
    <w:p w14:paraId="16DFA9B5" w14:textId="0DBD1138" w:rsidR="00265164" w:rsidRPr="00073D09" w:rsidRDefault="00265164" w:rsidP="00D62000">
      <w:pPr>
        <w:spacing w:after="0"/>
        <w:jc w:val="both"/>
        <w:rPr>
          <w:b/>
          <w:i/>
          <w:lang w:val="en-US"/>
        </w:rPr>
      </w:pPr>
      <w:r w:rsidRPr="00073D09">
        <w:rPr>
          <w:b/>
          <w:i/>
          <w:lang w:val="en-US"/>
        </w:rPr>
        <w:t xml:space="preserve">Figure 3.  </w:t>
      </w:r>
      <w:r w:rsidRPr="00073D09">
        <w:rPr>
          <w:i/>
          <w:lang w:val="en-US"/>
        </w:rPr>
        <w:t>Production of carbon dioxide for the year of closure 2022, 2040 and 2070.</w:t>
      </w:r>
    </w:p>
    <w:p w14:paraId="68B9A042" w14:textId="77777777" w:rsidR="004C7648" w:rsidRPr="00073D09" w:rsidRDefault="004C7648" w:rsidP="00D62000">
      <w:pPr>
        <w:spacing w:after="0"/>
        <w:jc w:val="both"/>
        <w:rPr>
          <w:lang w:val="en-US"/>
        </w:rPr>
      </w:pPr>
    </w:p>
    <w:p w14:paraId="4C69D245" w14:textId="2015518C" w:rsidR="00053188" w:rsidRPr="00AB13C5" w:rsidRDefault="00CB729B" w:rsidP="00AB13C5">
      <w:pPr>
        <w:pStyle w:val="Prrafodelista"/>
        <w:numPr>
          <w:ilvl w:val="2"/>
          <w:numId w:val="11"/>
        </w:numPr>
        <w:spacing w:after="0"/>
        <w:ind w:left="567" w:hanging="567"/>
        <w:jc w:val="both"/>
        <w:rPr>
          <w:b/>
          <w:lang w:val="es-CO"/>
        </w:rPr>
      </w:pPr>
      <w:r w:rsidRPr="00AB13C5">
        <w:rPr>
          <w:b/>
          <w:lang w:val="es-CO"/>
        </w:rPr>
        <w:t>Producción de NMOC para el año de clausura 2022, 2040 y 2070</w:t>
      </w:r>
    </w:p>
    <w:p w14:paraId="11C7D55C" w14:textId="77777777" w:rsidR="00AB13C5" w:rsidRPr="00AB13C5" w:rsidRDefault="00AB13C5" w:rsidP="00AB13C5">
      <w:pPr>
        <w:pStyle w:val="Prrafodelista"/>
        <w:spacing w:after="0"/>
        <w:jc w:val="both"/>
        <w:rPr>
          <w:b/>
          <w:highlight w:val="yellow"/>
          <w:lang w:val="es-CO"/>
        </w:rPr>
      </w:pPr>
    </w:p>
    <w:p w14:paraId="6D70387F" w14:textId="053449B7" w:rsidR="008073F8" w:rsidRPr="00073D09" w:rsidRDefault="00CB729B" w:rsidP="00D62000">
      <w:pPr>
        <w:spacing w:after="0"/>
        <w:jc w:val="both"/>
        <w:rPr>
          <w:lang w:val="es-CO"/>
        </w:rPr>
      </w:pPr>
      <w:r w:rsidRPr="00073D09">
        <w:rPr>
          <w:lang w:val="es-CO"/>
        </w:rPr>
        <w:t>los datos de</w:t>
      </w:r>
      <w:r w:rsidR="00A11957" w:rsidRPr="00073D09">
        <w:rPr>
          <w:lang w:val="es-CO"/>
        </w:rPr>
        <w:t xml:space="preserve"> las</w:t>
      </w:r>
      <w:r w:rsidRPr="00073D09">
        <w:rPr>
          <w:lang w:val="es-CO"/>
        </w:rPr>
        <w:t xml:space="preserve"> tasas de generación de NMOC para cada periodo de clausura del relleno sanitario </w:t>
      </w:r>
      <w:r w:rsidR="00A11957" w:rsidRPr="00073D09">
        <w:rPr>
          <w:lang w:val="es-CO"/>
        </w:rPr>
        <w:t>objeto de esta investigación</w:t>
      </w:r>
      <w:r w:rsidR="000E7C33" w:rsidRPr="00073D09">
        <w:rPr>
          <w:lang w:val="es-CO"/>
        </w:rPr>
        <w:t xml:space="preserve"> se ilustran en La </w:t>
      </w:r>
      <w:r w:rsidR="000E7C33" w:rsidRPr="00073D09">
        <w:rPr>
          <w:b/>
          <w:lang w:val="es-CO"/>
        </w:rPr>
        <w:t>Figura 4</w:t>
      </w:r>
      <w:r w:rsidRPr="00073D09">
        <w:rPr>
          <w:lang w:val="es-CO"/>
        </w:rPr>
        <w:t xml:space="preserve">. Para el caso del año 2022 se observa un máximo </w:t>
      </w:r>
      <w:r w:rsidR="00B524B9" w:rsidRPr="00073D09">
        <w:rPr>
          <w:lang w:val="es-CO"/>
        </w:rPr>
        <w:t>de 1</w:t>
      </w:r>
      <w:r w:rsidRPr="00073D09">
        <w:rPr>
          <w:lang w:val="es-CO"/>
        </w:rPr>
        <w:t>.91E+06 m</w:t>
      </w:r>
      <w:r w:rsidRPr="00073D09">
        <w:rPr>
          <w:vertAlign w:val="superscript"/>
          <w:lang w:val="es-CO"/>
        </w:rPr>
        <w:t>3</w:t>
      </w:r>
      <w:r w:rsidRPr="00073D09">
        <w:rPr>
          <w:lang w:val="es-CO"/>
        </w:rPr>
        <w:t>/año de NMOC con una media de 4.21E+05 m</w:t>
      </w:r>
      <w:r w:rsidRPr="00073D09">
        <w:rPr>
          <w:vertAlign w:val="superscript"/>
          <w:lang w:val="es-CO"/>
        </w:rPr>
        <w:t>3</w:t>
      </w:r>
      <w:r w:rsidRPr="00073D09">
        <w:rPr>
          <w:lang w:val="es-CO"/>
        </w:rPr>
        <w:t xml:space="preserve">/año y la </w:t>
      </w:r>
      <w:r w:rsidR="00975E86" w:rsidRPr="00073D09">
        <w:rPr>
          <w:lang w:val="es-CO"/>
        </w:rPr>
        <w:t xml:space="preserve">producción </w:t>
      </w:r>
      <w:r w:rsidRPr="00073D09">
        <w:rPr>
          <w:lang w:val="es-CO"/>
        </w:rPr>
        <w:t>se p</w:t>
      </w:r>
      <w:r w:rsidR="004E36CC" w:rsidRPr="00073D09">
        <w:rPr>
          <w:lang w:val="es-CO"/>
        </w:rPr>
        <w:t>uede</w:t>
      </w:r>
      <w:r w:rsidRPr="00073D09">
        <w:rPr>
          <w:lang w:val="es-CO"/>
        </w:rPr>
        <w:t xml:space="preserve"> extender, según la simulación obtenida hasta el año 2106. Para el año 2040 se ob</w:t>
      </w:r>
      <w:r w:rsidR="00514540" w:rsidRPr="00073D09">
        <w:rPr>
          <w:lang w:val="es-CO"/>
        </w:rPr>
        <w:t>tiene</w:t>
      </w:r>
      <w:r w:rsidRPr="00073D09">
        <w:rPr>
          <w:lang w:val="es-CO"/>
        </w:rPr>
        <w:t xml:space="preserve"> un máximo de 2.67E+06 m</w:t>
      </w:r>
      <w:r w:rsidRPr="00073D09">
        <w:rPr>
          <w:vertAlign w:val="superscript"/>
          <w:lang w:val="es-CO"/>
        </w:rPr>
        <w:t>3</w:t>
      </w:r>
      <w:r w:rsidRPr="00073D09">
        <w:rPr>
          <w:lang w:val="es-CO"/>
        </w:rPr>
        <w:t>/año de NMOC con una media de 8.25E+05 m</w:t>
      </w:r>
      <w:r w:rsidRPr="00073D09">
        <w:rPr>
          <w:vertAlign w:val="superscript"/>
          <w:lang w:val="es-CO"/>
        </w:rPr>
        <w:t>3</w:t>
      </w:r>
      <w:r w:rsidRPr="00073D09">
        <w:rPr>
          <w:lang w:val="es-CO"/>
        </w:rPr>
        <w:t xml:space="preserve">/año y </w:t>
      </w:r>
      <w:r w:rsidR="00975E86" w:rsidRPr="00073D09">
        <w:rPr>
          <w:lang w:val="es-CO"/>
        </w:rPr>
        <w:t>según la simulación e</w:t>
      </w:r>
      <w:r w:rsidR="004E36CC" w:rsidRPr="00073D09">
        <w:rPr>
          <w:lang w:val="es-CO"/>
        </w:rPr>
        <w:t>n</w:t>
      </w:r>
      <w:r w:rsidR="00975E86" w:rsidRPr="00073D09">
        <w:rPr>
          <w:lang w:val="es-CO"/>
        </w:rPr>
        <w:t xml:space="preserve"> </w:t>
      </w:r>
      <w:proofErr w:type="spellStart"/>
      <w:r w:rsidR="00975E86" w:rsidRPr="00073D09">
        <w:rPr>
          <w:lang w:val="es-CO"/>
        </w:rPr>
        <w:t>LandGEM</w:t>
      </w:r>
      <w:proofErr w:type="spellEnd"/>
      <w:r w:rsidR="00975E86" w:rsidRPr="00073D09">
        <w:rPr>
          <w:lang w:val="es-CO"/>
        </w:rPr>
        <w:t xml:space="preserve">, </w:t>
      </w:r>
      <w:r w:rsidRPr="00073D09">
        <w:rPr>
          <w:lang w:val="es-CO"/>
        </w:rPr>
        <w:t xml:space="preserve">la generación se podría </w:t>
      </w:r>
      <w:r w:rsidR="00975E86" w:rsidRPr="00073D09">
        <w:rPr>
          <w:lang w:val="es-CO"/>
        </w:rPr>
        <w:t>ampliar</w:t>
      </w:r>
      <w:r w:rsidRPr="00073D09">
        <w:rPr>
          <w:lang w:val="es-CO"/>
        </w:rPr>
        <w:t xml:space="preserve"> hasta el año 2122. Para el caso del año 2070 se observa un máximo de 3.07E+06 m</w:t>
      </w:r>
      <w:r w:rsidRPr="00073D09">
        <w:rPr>
          <w:vertAlign w:val="superscript"/>
          <w:lang w:val="es-CO"/>
        </w:rPr>
        <w:t>3</w:t>
      </w:r>
      <w:r w:rsidRPr="00073D09">
        <w:rPr>
          <w:lang w:val="es-CO"/>
        </w:rPr>
        <w:t>/año de NMOC con una media de 1.49E+06 m</w:t>
      </w:r>
      <w:r w:rsidRPr="00073D09">
        <w:rPr>
          <w:vertAlign w:val="superscript"/>
          <w:lang w:val="es-CO"/>
        </w:rPr>
        <w:t>3</w:t>
      </w:r>
      <w:r w:rsidRPr="00073D09">
        <w:rPr>
          <w:lang w:val="es-CO"/>
        </w:rPr>
        <w:t xml:space="preserve">/año y </w:t>
      </w:r>
      <w:r w:rsidR="00975E86" w:rsidRPr="00073D09">
        <w:rPr>
          <w:lang w:val="es-CO"/>
        </w:rPr>
        <w:t>su</w:t>
      </w:r>
      <w:r w:rsidRPr="00073D09">
        <w:rPr>
          <w:lang w:val="es-CO"/>
        </w:rPr>
        <w:t xml:space="preserve"> </w:t>
      </w:r>
      <w:r w:rsidR="00975E86" w:rsidRPr="00073D09">
        <w:rPr>
          <w:lang w:val="es-CO"/>
        </w:rPr>
        <w:t>producción</w:t>
      </w:r>
      <w:r w:rsidRPr="00073D09">
        <w:rPr>
          <w:lang w:val="es-CO"/>
        </w:rPr>
        <w:t xml:space="preserve"> se podría </w:t>
      </w:r>
      <w:r w:rsidR="00975E86" w:rsidRPr="00073D09">
        <w:rPr>
          <w:lang w:val="es-CO"/>
        </w:rPr>
        <w:t>dar</w:t>
      </w:r>
      <w:r w:rsidRPr="00073D09">
        <w:rPr>
          <w:lang w:val="es-CO"/>
        </w:rPr>
        <w:t xml:space="preserve"> hasta el año 2142.</w:t>
      </w:r>
    </w:p>
    <w:p w14:paraId="7641D86E" w14:textId="2DEE2230" w:rsidR="00052A52" w:rsidRPr="00073D09" w:rsidRDefault="00E43F56" w:rsidP="00D62000">
      <w:pPr>
        <w:spacing w:after="0"/>
        <w:ind w:firstLine="708"/>
        <w:jc w:val="center"/>
        <w:rPr>
          <w:lang w:val="es-CO"/>
        </w:rPr>
      </w:pPr>
      <w:r w:rsidRPr="00073D09">
        <w:rPr>
          <w:noProof/>
          <w:lang w:val="es-CO" w:eastAsia="es-CO"/>
        </w:rPr>
        <w:lastRenderedPageBreak/>
        <w:drawing>
          <wp:inline distT="0" distB="0" distL="0" distR="0" wp14:anchorId="190E2BD8" wp14:editId="38843FAD">
            <wp:extent cx="4335780" cy="322578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6998" cy="3241569"/>
                    </a:xfrm>
                    <a:prstGeom prst="rect">
                      <a:avLst/>
                    </a:prstGeom>
                  </pic:spPr>
                </pic:pic>
              </a:graphicData>
            </a:graphic>
          </wp:inline>
        </w:drawing>
      </w:r>
    </w:p>
    <w:p w14:paraId="2ADFC9DA" w14:textId="3D834CC1" w:rsidR="00CB729B" w:rsidRPr="00073D09" w:rsidRDefault="00047A3B" w:rsidP="00D62000">
      <w:pPr>
        <w:spacing w:after="0"/>
        <w:jc w:val="both"/>
        <w:rPr>
          <w:lang w:val="es-CO"/>
        </w:rPr>
      </w:pPr>
      <w:r w:rsidRPr="00073D09">
        <w:rPr>
          <w:b/>
          <w:lang w:val="es-CO"/>
        </w:rPr>
        <w:t>Figura 4</w:t>
      </w:r>
      <w:r w:rsidR="00364184" w:rsidRPr="00073D09">
        <w:rPr>
          <w:lang w:val="es-CO"/>
        </w:rPr>
        <w:t xml:space="preserve">. Producción de NMOC para el año de clausura 2022, 2040 y 2070. </w:t>
      </w:r>
      <w:r w:rsidR="00C910A4" w:rsidRPr="00073D09">
        <w:rPr>
          <w:lang w:val="es-CO"/>
        </w:rPr>
        <w:t xml:space="preserve"> </w:t>
      </w:r>
    </w:p>
    <w:p w14:paraId="294A486B" w14:textId="5897875D" w:rsidR="00265164" w:rsidRPr="00073D09" w:rsidRDefault="00B83D05" w:rsidP="00D62000">
      <w:pPr>
        <w:spacing w:after="0"/>
        <w:jc w:val="both"/>
        <w:rPr>
          <w:b/>
          <w:i/>
          <w:highlight w:val="yellow"/>
          <w:lang w:val="en-US"/>
        </w:rPr>
      </w:pPr>
      <w:r w:rsidRPr="00073D09">
        <w:rPr>
          <w:b/>
          <w:i/>
          <w:lang w:val="en-US"/>
        </w:rPr>
        <w:t xml:space="preserve">Figure 4.  </w:t>
      </w:r>
      <w:r w:rsidRPr="00073D09">
        <w:rPr>
          <w:i/>
          <w:lang w:val="en-US"/>
        </w:rPr>
        <w:t>NMOC production for closure year 2022, 2040 and 2070.</w:t>
      </w:r>
    </w:p>
    <w:p w14:paraId="664F6F95" w14:textId="77777777" w:rsidR="00CB729B" w:rsidRPr="00073D09" w:rsidRDefault="00CB729B" w:rsidP="00D62000">
      <w:pPr>
        <w:spacing w:after="0"/>
        <w:jc w:val="both"/>
        <w:rPr>
          <w:highlight w:val="yellow"/>
          <w:lang w:val="en-US"/>
        </w:rPr>
      </w:pPr>
    </w:p>
    <w:p w14:paraId="2A935148" w14:textId="7D33279D" w:rsidR="00643169" w:rsidRDefault="00643169" w:rsidP="00AB13C5">
      <w:pPr>
        <w:pStyle w:val="Prrafodelista"/>
        <w:numPr>
          <w:ilvl w:val="0"/>
          <w:numId w:val="13"/>
        </w:numPr>
        <w:spacing w:after="0"/>
        <w:ind w:left="284" w:hanging="284"/>
        <w:jc w:val="both"/>
        <w:rPr>
          <w:b/>
          <w:lang w:val="es-CO"/>
        </w:rPr>
      </w:pPr>
      <w:r w:rsidRPr="00073D09">
        <w:rPr>
          <w:b/>
          <w:lang w:val="es-CO"/>
        </w:rPr>
        <w:t>Análisis de las simulaciones</w:t>
      </w:r>
    </w:p>
    <w:p w14:paraId="2E839D7C" w14:textId="77777777" w:rsidR="00AB13C5" w:rsidRPr="00073D09" w:rsidRDefault="00AB13C5" w:rsidP="00AB13C5">
      <w:pPr>
        <w:pStyle w:val="Prrafodelista"/>
        <w:spacing w:after="0"/>
        <w:ind w:left="0"/>
        <w:jc w:val="both"/>
        <w:rPr>
          <w:b/>
          <w:lang w:val="es-CO"/>
        </w:rPr>
      </w:pPr>
    </w:p>
    <w:p w14:paraId="50000AE4" w14:textId="69B3CF16" w:rsidR="00364184" w:rsidRPr="00073D09" w:rsidRDefault="002939A5" w:rsidP="00D62000">
      <w:pPr>
        <w:spacing w:after="0"/>
        <w:jc w:val="both"/>
        <w:rPr>
          <w:lang w:val="es-CO"/>
        </w:rPr>
      </w:pPr>
      <w:r w:rsidRPr="00073D09">
        <w:rPr>
          <w:lang w:val="es-CO"/>
        </w:rPr>
        <w:t xml:space="preserve">Como se evidencia en las </w:t>
      </w:r>
      <w:r w:rsidR="00514540" w:rsidRPr="00073D09">
        <w:rPr>
          <w:b/>
          <w:lang w:val="es-CO"/>
        </w:rPr>
        <w:t>Figuras</w:t>
      </w:r>
      <w:r w:rsidRPr="00073D09">
        <w:rPr>
          <w:b/>
          <w:lang w:val="es-CO"/>
        </w:rPr>
        <w:t xml:space="preserve"> 2, 3 y 4</w:t>
      </w:r>
      <w:r w:rsidRPr="00073D09">
        <w:rPr>
          <w:lang w:val="es-CO"/>
        </w:rPr>
        <w:t>, las proyecciones de las tasas de emisión de</w:t>
      </w:r>
      <w:r w:rsidR="00514540" w:rsidRPr="00073D09">
        <w:rPr>
          <w:iCs/>
          <w:lang w:val="es-CO"/>
        </w:rPr>
        <w:t xml:space="preserve"> CH</w:t>
      </w:r>
      <w:r w:rsidR="00514540" w:rsidRPr="00073D09">
        <w:rPr>
          <w:iCs/>
          <w:vertAlign w:val="subscript"/>
          <w:lang w:val="es-CO"/>
        </w:rPr>
        <w:t>4</w:t>
      </w:r>
      <w:r w:rsidRPr="00073D09">
        <w:rPr>
          <w:lang w:val="es-CO"/>
        </w:rPr>
        <w:t xml:space="preserve">, </w:t>
      </w:r>
      <w:r w:rsidR="00B47C58" w:rsidRPr="00073D09">
        <w:rPr>
          <w:lang w:val="es-CO"/>
        </w:rPr>
        <w:t>CO</w:t>
      </w:r>
      <w:r w:rsidR="00B47C58" w:rsidRPr="00073D09">
        <w:rPr>
          <w:vertAlign w:val="subscript"/>
          <w:lang w:val="es-CO"/>
        </w:rPr>
        <w:t>2</w:t>
      </w:r>
      <w:r w:rsidRPr="00073D09">
        <w:rPr>
          <w:lang w:val="es-CO"/>
        </w:rPr>
        <w:t xml:space="preserve"> y NMOC son elevadas</w:t>
      </w:r>
      <w:r w:rsidR="00B927E6">
        <w:rPr>
          <w:lang w:val="es-CO"/>
        </w:rPr>
        <w:t>,</w:t>
      </w:r>
      <w:r w:rsidRPr="00073D09">
        <w:rPr>
          <w:lang w:val="es-CO"/>
        </w:rPr>
        <w:t xml:space="preserve"> lo </w:t>
      </w:r>
      <w:r w:rsidR="00514540" w:rsidRPr="00073D09">
        <w:rPr>
          <w:lang w:val="es-CO"/>
        </w:rPr>
        <w:t xml:space="preserve">que </w:t>
      </w:r>
      <w:r w:rsidRPr="00073D09">
        <w:rPr>
          <w:lang w:val="es-CO"/>
        </w:rPr>
        <w:t>se puede verificar con el</w:t>
      </w:r>
      <w:r w:rsidR="008070E4" w:rsidRPr="00073D09">
        <w:rPr>
          <w:lang w:val="es-CO"/>
        </w:rPr>
        <w:t xml:space="preserve"> informe publicado por el </w:t>
      </w:r>
      <w:r w:rsidR="008070E4" w:rsidRPr="00AB13C5">
        <w:rPr>
          <w:color w:val="0070C0"/>
          <w:lang w:val="es-CO"/>
        </w:rPr>
        <w:fldChar w:fldCharType="begin" w:fldLock="1"/>
      </w:r>
      <w:r w:rsidR="008070E4" w:rsidRPr="00AB13C5">
        <w:rPr>
          <w:color w:val="0070C0"/>
          <w:lang w:val="es-CO"/>
        </w:rPr>
        <w:instrText>ADDIN CSL_CITATION {"citationItems":[{"id":"ITEM-1","itemData":{"ISBN":"9789588971599","author":[{"dropping-particle":"","family":"IDEAM","given":"","non-dropping-particle":"","parse-names":false,"suffix":""},{"dropping-particle":"","family":"PNUD","given":"","non-dropping-particle":"","parse-names":false,"suffix":""}],"id":"ITEM-1","issued":{"date-parts":[["2017"]]},"publisher-place":"Bogotá DC","title":"TERCERA COMUNICACIÓN NACIONAL DE COLOMBIA RESUMEN EJECUTIVO","type":"book"},"uris":["http://www.mendeley.com/documents/?uuid=79809431-8669-3f3d-b86e-c3f430eee928"]}],"mendeley":{"formattedCitation":"(IDEAM &amp; PNUD, 2017)","manualFormatting":"IDEAM &amp; PNUD (2017)","plainTextFormattedCitation":"(IDEAM &amp; PNUD, 2017)","previouslyFormattedCitation":"(IDEAM &amp; PNUD, 2017)"},"properties":{"noteIndex":0},"schema":"https://github.com/citation-style-language/schema/raw/master/csl-citation.json"}</w:instrText>
      </w:r>
      <w:r w:rsidR="008070E4" w:rsidRPr="00AB13C5">
        <w:rPr>
          <w:color w:val="0070C0"/>
          <w:lang w:val="es-CO"/>
        </w:rPr>
        <w:fldChar w:fldCharType="separate"/>
      </w:r>
      <w:r w:rsidR="008070E4" w:rsidRPr="00AB13C5">
        <w:rPr>
          <w:noProof/>
          <w:color w:val="0070C0"/>
          <w:lang w:val="es-CO"/>
        </w:rPr>
        <w:t>IDEAM &amp; PNUD (2017)</w:t>
      </w:r>
      <w:r w:rsidR="008070E4" w:rsidRPr="00AB13C5">
        <w:rPr>
          <w:color w:val="0070C0"/>
          <w:lang w:val="es-CO"/>
        </w:rPr>
        <w:fldChar w:fldCharType="end"/>
      </w:r>
      <w:r w:rsidR="008070E4" w:rsidRPr="00073D09">
        <w:rPr>
          <w:lang w:val="es-CO"/>
        </w:rPr>
        <w:t>,</w:t>
      </w:r>
      <w:r w:rsidRPr="00073D09">
        <w:rPr>
          <w:lang w:val="es-CO"/>
        </w:rPr>
        <w:t xml:space="preserve"> ya que se diagnosticaba un aumento de los GEI por el sector de </w:t>
      </w:r>
      <w:r w:rsidR="004C46AE" w:rsidRPr="00073D09">
        <w:rPr>
          <w:lang w:val="es-CO"/>
        </w:rPr>
        <w:t>r</w:t>
      </w:r>
      <w:r w:rsidRPr="00073D09">
        <w:rPr>
          <w:lang w:val="es-CO"/>
        </w:rPr>
        <w:t xml:space="preserve">esiduos </w:t>
      </w:r>
      <w:r w:rsidR="004C46AE" w:rsidRPr="00073D09">
        <w:rPr>
          <w:lang w:val="es-CO"/>
        </w:rPr>
        <w:t>s</w:t>
      </w:r>
      <w:r w:rsidRPr="00073D09">
        <w:rPr>
          <w:lang w:val="es-CO"/>
        </w:rPr>
        <w:t>ólidos</w:t>
      </w:r>
      <w:r w:rsidR="00514540" w:rsidRPr="00073D09">
        <w:rPr>
          <w:lang w:val="es-CO"/>
        </w:rPr>
        <w:t>. A</w:t>
      </w:r>
      <w:r w:rsidR="00C22FE4" w:rsidRPr="00073D09">
        <w:rPr>
          <w:lang w:val="es-CO"/>
        </w:rPr>
        <w:t xml:space="preserve">sí mismo, como se </w:t>
      </w:r>
      <w:r w:rsidR="00514540" w:rsidRPr="00073D09">
        <w:rPr>
          <w:lang w:val="es-CO"/>
        </w:rPr>
        <w:t>observa</w:t>
      </w:r>
      <w:r w:rsidR="00C22FE4" w:rsidRPr="00073D09">
        <w:rPr>
          <w:lang w:val="es-CO"/>
        </w:rPr>
        <w:t xml:space="preserve"> en la </w:t>
      </w:r>
      <w:r w:rsidR="00514540" w:rsidRPr="00073D09">
        <w:rPr>
          <w:b/>
          <w:lang w:val="es-CO"/>
        </w:rPr>
        <w:t>Figura 1</w:t>
      </w:r>
      <w:r w:rsidR="00C22FE4" w:rsidRPr="00073D09">
        <w:rPr>
          <w:lang w:val="es-CO"/>
        </w:rPr>
        <w:t xml:space="preserve"> y </w:t>
      </w:r>
      <w:r w:rsidR="009472BC" w:rsidRPr="00073D09">
        <w:rPr>
          <w:lang w:val="es-CO"/>
        </w:rPr>
        <w:t xml:space="preserve">en </w:t>
      </w:r>
      <w:r w:rsidR="00C22FE4" w:rsidRPr="00073D09">
        <w:rPr>
          <w:lang w:val="es-CO"/>
        </w:rPr>
        <w:t xml:space="preserve">la </w:t>
      </w:r>
      <w:r w:rsidR="009472BC" w:rsidRPr="00073D09">
        <w:rPr>
          <w:lang w:val="es-CO"/>
        </w:rPr>
        <w:t xml:space="preserve">aplicación de la </w:t>
      </w:r>
      <w:r w:rsidR="00514540" w:rsidRPr="00073D09">
        <w:rPr>
          <w:b/>
          <w:lang w:val="es-CO"/>
        </w:rPr>
        <w:t>E</w:t>
      </w:r>
      <w:r w:rsidR="00C22FE4" w:rsidRPr="00073D09">
        <w:rPr>
          <w:b/>
          <w:lang w:val="es-CO"/>
        </w:rPr>
        <w:t>cuación 3</w:t>
      </w:r>
      <w:r w:rsidR="00C22FE4" w:rsidRPr="00073D09">
        <w:rPr>
          <w:lang w:val="es-CO"/>
        </w:rPr>
        <w:t>, la generación y acumulación de basuras será elevada</w:t>
      </w:r>
      <w:r w:rsidR="004E4A5E">
        <w:rPr>
          <w:lang w:val="es-CO"/>
        </w:rPr>
        <w:t xml:space="preserve">, </w:t>
      </w:r>
      <w:r w:rsidRPr="00073D09">
        <w:rPr>
          <w:lang w:val="es-CO"/>
        </w:rPr>
        <w:t xml:space="preserve">para lo cual se deben contemplar medidas de mitigación en cuanto a la gestión y tratamiento adecuado de los residuos sólidos depositados en el </w:t>
      </w:r>
      <w:r w:rsidR="009472BC" w:rsidRPr="00073D09">
        <w:rPr>
          <w:lang w:val="es-CO"/>
        </w:rPr>
        <w:t>r</w:t>
      </w:r>
      <w:r w:rsidRPr="00073D09">
        <w:rPr>
          <w:lang w:val="es-CO"/>
        </w:rPr>
        <w:t xml:space="preserve">elleno </w:t>
      </w:r>
      <w:r w:rsidR="009472BC" w:rsidRPr="00073D09">
        <w:rPr>
          <w:lang w:val="es-CO"/>
        </w:rPr>
        <w:t>s</w:t>
      </w:r>
      <w:r w:rsidRPr="00073D09">
        <w:rPr>
          <w:lang w:val="es-CO"/>
        </w:rPr>
        <w:t xml:space="preserve">anitario </w:t>
      </w:r>
      <w:r w:rsidR="009472BC" w:rsidRPr="00073D09">
        <w:rPr>
          <w:lang w:val="es-CO"/>
        </w:rPr>
        <w:t xml:space="preserve">de </w:t>
      </w:r>
      <w:r w:rsidRPr="00073D09">
        <w:rPr>
          <w:lang w:val="es-CO"/>
        </w:rPr>
        <w:t xml:space="preserve">Doña Juana. Por otro lado, </w:t>
      </w:r>
      <w:r w:rsidR="009472BC" w:rsidRPr="00073D09">
        <w:rPr>
          <w:lang w:val="es-CO"/>
        </w:rPr>
        <w:t>en</w:t>
      </w:r>
      <w:r w:rsidRPr="00073D09">
        <w:rPr>
          <w:lang w:val="es-CO"/>
        </w:rPr>
        <w:t xml:space="preserve"> </w:t>
      </w:r>
      <w:r w:rsidR="00514540" w:rsidRPr="00073D09">
        <w:rPr>
          <w:lang w:val="es-CO"/>
        </w:rPr>
        <w:t xml:space="preserve">el estudio </w:t>
      </w:r>
      <w:r w:rsidRPr="00073D09">
        <w:rPr>
          <w:lang w:val="es-CO"/>
        </w:rPr>
        <w:t xml:space="preserve">de </w:t>
      </w:r>
      <w:r w:rsidR="008070E4" w:rsidRPr="00AB13C5">
        <w:rPr>
          <w:color w:val="0070C0"/>
          <w:lang w:val="es-CO"/>
        </w:rPr>
        <w:fldChar w:fldCharType="begin" w:fldLock="1"/>
      </w:r>
      <w:r w:rsidR="00E2109D" w:rsidRPr="00AB13C5">
        <w:rPr>
          <w:color w:val="0070C0"/>
          <w:lang w:val="es-CO"/>
        </w:rPr>
        <w:instrText>ADDIN CSL_CITATION {"citationItems":[{"id":"ITEM-1","itemData":{"abstract":"ARRAY(0x5650746149c8)","author":[{"dropping-particle":"","family":"Barreto Pulido","given":"Ower Rolando","non-dropping-particle":"","parse-names":false,"suffix":""}],"id":"ITEM-1","issued":{"date-parts":[["2017","6"]]},"title":"Comparación del desempeño de varias calidades de gas natural y evaluación de viabilidad para el uso de biogás como combustible para vehículos que operan con GNCV.","type":"report"},"uris":["http://www.mendeley.com/documents/?uuid=80f2a802-d42d-4bef-9196-f8763b960061"]}],"mendeley":{"formattedCitation":"(Barreto Pulido, 2017)","manualFormatting":"Barreto Pulido (2017)","plainTextFormattedCitation":"(Barreto Pulido, 2017)","previouslyFormattedCitation":"(Barreto Pulido, 2017)"},"properties":{"noteIndex":0},"schema":"https://github.com/citation-style-language/schema/raw/master/csl-citation.json"}</w:instrText>
      </w:r>
      <w:r w:rsidR="008070E4" w:rsidRPr="00AB13C5">
        <w:rPr>
          <w:color w:val="0070C0"/>
          <w:lang w:val="es-CO"/>
        </w:rPr>
        <w:fldChar w:fldCharType="separate"/>
      </w:r>
      <w:r w:rsidR="008070E4" w:rsidRPr="00AB13C5">
        <w:rPr>
          <w:noProof/>
          <w:color w:val="0070C0"/>
          <w:lang w:val="es-CO"/>
        </w:rPr>
        <w:t>Barreto (2017)</w:t>
      </w:r>
      <w:r w:rsidR="008070E4" w:rsidRPr="00AB13C5">
        <w:rPr>
          <w:color w:val="0070C0"/>
          <w:lang w:val="es-CO"/>
        </w:rPr>
        <w:fldChar w:fldCharType="end"/>
      </w:r>
      <w:r w:rsidRPr="00073D09">
        <w:rPr>
          <w:lang w:val="es-CO"/>
        </w:rPr>
        <w:t xml:space="preserve">, se explica que </w:t>
      </w:r>
      <w:r w:rsidR="004C46AE" w:rsidRPr="00073D09">
        <w:rPr>
          <w:lang w:val="es-CO"/>
        </w:rPr>
        <w:t>d</w:t>
      </w:r>
      <w:r w:rsidRPr="00073D09">
        <w:rPr>
          <w:lang w:val="es-CO"/>
        </w:rPr>
        <w:t xml:space="preserve">el </w:t>
      </w:r>
      <w:r w:rsidR="00514540" w:rsidRPr="00073D09">
        <w:rPr>
          <w:iCs/>
          <w:lang w:val="es-CO"/>
        </w:rPr>
        <w:t>CH</w:t>
      </w:r>
      <w:r w:rsidR="00514540" w:rsidRPr="00073D09">
        <w:rPr>
          <w:iCs/>
          <w:vertAlign w:val="subscript"/>
          <w:lang w:val="es-CO"/>
        </w:rPr>
        <w:t>4</w:t>
      </w:r>
      <w:r w:rsidRPr="00073D09">
        <w:rPr>
          <w:lang w:val="es-CO"/>
        </w:rPr>
        <w:t xml:space="preserve"> que se genera en </w:t>
      </w:r>
      <w:r w:rsidR="009472BC" w:rsidRPr="00073D09">
        <w:rPr>
          <w:lang w:val="es-CO"/>
        </w:rPr>
        <w:t>este</w:t>
      </w:r>
      <w:r w:rsidRPr="00073D09">
        <w:rPr>
          <w:lang w:val="es-CO"/>
        </w:rPr>
        <w:t xml:space="preserve"> </w:t>
      </w:r>
      <w:r w:rsidR="009472BC" w:rsidRPr="00073D09">
        <w:rPr>
          <w:lang w:val="es-CO"/>
        </w:rPr>
        <w:t>r</w:t>
      </w:r>
      <w:r w:rsidRPr="00073D09">
        <w:rPr>
          <w:lang w:val="es-CO"/>
        </w:rPr>
        <w:t>elleno se puede extraer y aprovechar el 98</w:t>
      </w:r>
      <w:r w:rsidR="00D72F30">
        <w:rPr>
          <w:lang w:val="es-CO"/>
        </w:rPr>
        <w:t xml:space="preserve"> </w:t>
      </w:r>
      <w:r w:rsidRPr="00073D09">
        <w:rPr>
          <w:lang w:val="es-CO"/>
        </w:rPr>
        <w:t xml:space="preserve">% </w:t>
      </w:r>
      <w:r w:rsidR="000E2B39" w:rsidRPr="00073D09">
        <w:rPr>
          <w:lang w:val="es-CO"/>
        </w:rPr>
        <w:t xml:space="preserve">, </w:t>
      </w:r>
      <w:r w:rsidR="004C46AE" w:rsidRPr="00073D09">
        <w:rPr>
          <w:lang w:val="es-CO"/>
        </w:rPr>
        <w:t>en</w:t>
      </w:r>
      <w:r w:rsidRPr="00073D09">
        <w:rPr>
          <w:lang w:val="es-CO"/>
        </w:rPr>
        <w:t xml:space="preserve"> la </w:t>
      </w:r>
      <w:r w:rsidR="00514540" w:rsidRPr="00073D09">
        <w:rPr>
          <w:b/>
          <w:lang w:val="es-CO"/>
        </w:rPr>
        <w:t xml:space="preserve">Figura </w:t>
      </w:r>
      <w:r w:rsidRPr="00073D09">
        <w:rPr>
          <w:b/>
          <w:lang w:val="es-CO"/>
        </w:rPr>
        <w:t>5</w:t>
      </w:r>
      <w:r w:rsidRPr="00073D09">
        <w:rPr>
          <w:lang w:val="es-CO"/>
        </w:rPr>
        <w:t xml:space="preserve"> se puede apreciar la disminución proyectada de </w:t>
      </w:r>
      <w:r w:rsidR="00B47C58" w:rsidRPr="00073D09">
        <w:rPr>
          <w:iCs/>
          <w:lang w:val="es-CO"/>
        </w:rPr>
        <w:t>CH</w:t>
      </w:r>
      <w:r w:rsidR="00B47C58" w:rsidRPr="00073D09">
        <w:rPr>
          <w:iCs/>
          <w:vertAlign w:val="subscript"/>
          <w:lang w:val="es-CO"/>
        </w:rPr>
        <w:t xml:space="preserve">4 </w:t>
      </w:r>
      <w:r w:rsidRPr="00073D09">
        <w:rPr>
          <w:lang w:val="es-CO"/>
        </w:rPr>
        <w:t>para los años de clausura establecidos.</w:t>
      </w:r>
    </w:p>
    <w:p w14:paraId="13EF6113" w14:textId="77777777" w:rsidR="008073F8" w:rsidRPr="00073D09" w:rsidRDefault="008073F8" w:rsidP="00D62000">
      <w:pPr>
        <w:spacing w:after="0"/>
        <w:jc w:val="both"/>
        <w:rPr>
          <w:lang w:val="es-CO"/>
        </w:rPr>
      </w:pPr>
    </w:p>
    <w:p w14:paraId="0E8DE6DA" w14:textId="50268108" w:rsidR="00643169" w:rsidRPr="00073D09" w:rsidRDefault="00E43F56" w:rsidP="00D62000">
      <w:pPr>
        <w:spacing w:after="0"/>
        <w:jc w:val="center"/>
        <w:rPr>
          <w:highlight w:val="yellow"/>
          <w:lang w:val="es-CO"/>
        </w:rPr>
      </w:pPr>
      <w:r w:rsidRPr="00073D09">
        <w:rPr>
          <w:noProof/>
          <w:lang w:val="es-CO" w:eastAsia="es-CO"/>
        </w:rPr>
        <w:lastRenderedPageBreak/>
        <w:drawing>
          <wp:inline distT="0" distB="0" distL="0" distR="0" wp14:anchorId="7030E4B9" wp14:editId="457AC53F">
            <wp:extent cx="4297680" cy="3224919"/>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7803" cy="3255027"/>
                    </a:xfrm>
                    <a:prstGeom prst="rect">
                      <a:avLst/>
                    </a:prstGeom>
                  </pic:spPr>
                </pic:pic>
              </a:graphicData>
            </a:graphic>
          </wp:inline>
        </w:drawing>
      </w:r>
    </w:p>
    <w:p w14:paraId="5B943D1F" w14:textId="321C6F50" w:rsidR="005C6E20" w:rsidRPr="00073D09" w:rsidRDefault="00176097" w:rsidP="00D62000">
      <w:pPr>
        <w:spacing w:after="0"/>
        <w:jc w:val="both"/>
        <w:rPr>
          <w:lang w:val="es-CO"/>
        </w:rPr>
      </w:pPr>
      <w:r w:rsidRPr="00073D09">
        <w:rPr>
          <w:b/>
          <w:lang w:val="es-CO"/>
        </w:rPr>
        <w:t>Figura 5.</w:t>
      </w:r>
      <w:r w:rsidR="005C6E20" w:rsidRPr="00073D09">
        <w:rPr>
          <w:lang w:val="es-CO"/>
        </w:rPr>
        <w:t xml:space="preserve"> Producción de </w:t>
      </w:r>
      <w:r w:rsidR="004E4A5E">
        <w:rPr>
          <w:lang w:val="es-CO"/>
        </w:rPr>
        <w:t>m</w:t>
      </w:r>
      <w:r w:rsidR="005C6E20" w:rsidRPr="00073D09">
        <w:rPr>
          <w:lang w:val="es-CO"/>
        </w:rPr>
        <w:t>etano con reducción del 98</w:t>
      </w:r>
      <w:r w:rsidR="004E4A5E">
        <w:rPr>
          <w:lang w:val="es-CO"/>
        </w:rPr>
        <w:t xml:space="preserve"> </w:t>
      </w:r>
      <w:r w:rsidR="005C6E20" w:rsidRPr="00073D09">
        <w:rPr>
          <w:lang w:val="es-CO"/>
        </w:rPr>
        <w:t xml:space="preserve">% para el año de clausura 2022, 2040 y 2070. </w:t>
      </w:r>
    </w:p>
    <w:p w14:paraId="4830EBED" w14:textId="4602ABCC" w:rsidR="00B83D05" w:rsidRPr="00073D09" w:rsidRDefault="00B83D05" w:rsidP="00D62000">
      <w:pPr>
        <w:spacing w:after="0"/>
        <w:jc w:val="both"/>
        <w:rPr>
          <w:b/>
          <w:i/>
          <w:lang w:val="en-US"/>
        </w:rPr>
      </w:pPr>
      <w:r w:rsidRPr="00073D09">
        <w:rPr>
          <w:b/>
          <w:i/>
          <w:lang w:val="en-US"/>
        </w:rPr>
        <w:t xml:space="preserve">Figure 5.  </w:t>
      </w:r>
      <w:r w:rsidRPr="00073D09">
        <w:rPr>
          <w:i/>
          <w:lang w:val="en-US"/>
        </w:rPr>
        <w:t>Methane production with reduction of 98% for the year of closure 2022, 2040 and 2070.</w:t>
      </w:r>
    </w:p>
    <w:p w14:paraId="7D322958" w14:textId="77777777" w:rsidR="004C7648" w:rsidRPr="00073D09" w:rsidRDefault="004C7648" w:rsidP="00D62000">
      <w:pPr>
        <w:spacing w:after="0"/>
        <w:jc w:val="both"/>
        <w:rPr>
          <w:highlight w:val="yellow"/>
          <w:lang w:val="en-US"/>
        </w:rPr>
      </w:pPr>
    </w:p>
    <w:p w14:paraId="7F4E6FF8" w14:textId="37BEF362" w:rsidR="00F82CD9" w:rsidRPr="00073D09" w:rsidRDefault="005C6E20" w:rsidP="00D62000">
      <w:pPr>
        <w:spacing w:after="0"/>
        <w:jc w:val="both"/>
        <w:rPr>
          <w:lang w:val="es-CO"/>
        </w:rPr>
      </w:pPr>
      <w:r w:rsidRPr="00073D09">
        <w:rPr>
          <w:lang w:val="es-CO"/>
        </w:rPr>
        <w:t xml:space="preserve">Con base a las </w:t>
      </w:r>
      <w:r w:rsidR="00176097" w:rsidRPr="00073D09">
        <w:rPr>
          <w:b/>
          <w:lang w:val="es-CO"/>
        </w:rPr>
        <w:t xml:space="preserve">Figuras </w:t>
      </w:r>
      <w:r w:rsidRPr="00073D09">
        <w:rPr>
          <w:b/>
          <w:lang w:val="es-CO"/>
        </w:rPr>
        <w:t>2, 3, 4 y 5</w:t>
      </w:r>
      <w:r w:rsidRPr="00073D09">
        <w:rPr>
          <w:lang w:val="es-CO"/>
        </w:rPr>
        <w:t xml:space="preserve"> se evidencia la necesidad de establecer estrategias y tratamientos óptimos de los residuos provenientes de Bogotá</w:t>
      </w:r>
      <w:r w:rsidR="004E4A5E">
        <w:rPr>
          <w:lang w:val="es-CO"/>
        </w:rPr>
        <w:t>,</w:t>
      </w:r>
      <w:r w:rsidRPr="00073D09">
        <w:rPr>
          <w:lang w:val="es-CO"/>
        </w:rPr>
        <w:t xml:space="preserve"> ya que esto disminuiría la emisión de gases de efecto invernadero</w:t>
      </w:r>
      <w:r w:rsidR="00B47C58" w:rsidRPr="00073D09">
        <w:rPr>
          <w:lang w:val="es-CO"/>
        </w:rPr>
        <w:t>.</w:t>
      </w:r>
      <w:r w:rsidRPr="00073D09">
        <w:rPr>
          <w:lang w:val="es-CO"/>
        </w:rPr>
        <w:t xml:space="preserve"> </w:t>
      </w:r>
      <w:r w:rsidR="00B47C58" w:rsidRPr="00073D09">
        <w:rPr>
          <w:lang w:val="es-CO"/>
        </w:rPr>
        <w:t>A</w:t>
      </w:r>
      <w:r w:rsidRPr="00073D09">
        <w:rPr>
          <w:lang w:val="es-CO"/>
        </w:rPr>
        <w:t xml:space="preserve">sí mismo, teniendo en cuenta la </w:t>
      </w:r>
      <w:r w:rsidR="00514540" w:rsidRPr="00073D09">
        <w:rPr>
          <w:b/>
          <w:lang w:val="es-CO"/>
        </w:rPr>
        <w:t>Figur</w:t>
      </w:r>
      <w:r w:rsidR="00B47C58" w:rsidRPr="00073D09">
        <w:rPr>
          <w:b/>
          <w:lang w:val="es-CO"/>
        </w:rPr>
        <w:t>a</w:t>
      </w:r>
      <w:r w:rsidRPr="00073D09">
        <w:rPr>
          <w:b/>
          <w:lang w:val="es-CO"/>
        </w:rPr>
        <w:t xml:space="preserve"> 1</w:t>
      </w:r>
      <w:r w:rsidRPr="00073D09">
        <w:rPr>
          <w:lang w:val="es-CO"/>
        </w:rPr>
        <w:t xml:space="preserve"> y la </w:t>
      </w:r>
      <w:r w:rsidR="00B47C58" w:rsidRPr="00073D09">
        <w:rPr>
          <w:b/>
          <w:lang w:val="es-CO"/>
        </w:rPr>
        <w:t>E</w:t>
      </w:r>
      <w:r w:rsidRPr="00073D09">
        <w:rPr>
          <w:b/>
          <w:lang w:val="es-CO"/>
        </w:rPr>
        <w:t>cuación 3</w:t>
      </w:r>
      <w:r w:rsidRPr="00073D09">
        <w:rPr>
          <w:lang w:val="es-CO"/>
        </w:rPr>
        <w:t xml:space="preserve">, la gestión de los residuos sólidos que se disponen en el relleno sanitario </w:t>
      </w:r>
      <w:r w:rsidR="000E2B39" w:rsidRPr="00073D09">
        <w:rPr>
          <w:lang w:val="es-CO"/>
        </w:rPr>
        <w:t>requiere</w:t>
      </w:r>
      <w:r w:rsidRPr="00073D09">
        <w:rPr>
          <w:lang w:val="es-CO"/>
        </w:rPr>
        <w:t xml:space="preserve"> un mayor análisis en cuanto a </w:t>
      </w:r>
      <w:r w:rsidR="009F62D6">
        <w:rPr>
          <w:lang w:val="es-CO"/>
        </w:rPr>
        <w:t xml:space="preserve">su </w:t>
      </w:r>
      <w:r w:rsidRPr="00073D09">
        <w:rPr>
          <w:lang w:val="es-CO"/>
        </w:rPr>
        <w:t>generación. Con base en lo anterior, en Colombia se podrían implementar algunas alternativas para la disminución de GEI en el relleno sanitario Doña Juana como las establecidas en Europa para las áreas municipales, donde se reduce la cantidad de materia orgánica que llegan a la acumulación mediante separación de la fuente</w:t>
      </w:r>
      <w:r w:rsidR="009F62D6">
        <w:rPr>
          <w:lang w:val="es-CO"/>
        </w:rPr>
        <w:t>,</w:t>
      </w:r>
      <w:r w:rsidRPr="00073D09">
        <w:rPr>
          <w:lang w:val="es-CO"/>
        </w:rPr>
        <w:t xml:space="preserve"> y se realiza un aprovechamiento de los gases provenientes de los residuos en el relleno sanitario mediante la captación del metan</w:t>
      </w:r>
      <w:r w:rsidR="00821700" w:rsidRPr="00073D09">
        <w:rPr>
          <w:lang w:val="es-CO"/>
        </w:rPr>
        <w:t>o como combustible</w:t>
      </w:r>
      <w:r w:rsidR="00B306F1">
        <w:rPr>
          <w:lang w:val="es-CO"/>
        </w:rPr>
        <w:t xml:space="preserve"> (</w:t>
      </w:r>
      <w:r w:rsidR="00E2109D" w:rsidRPr="00CD1E6D">
        <w:rPr>
          <w:color w:val="0070C0"/>
          <w:lang w:val="es-CO"/>
        </w:rPr>
        <w:fldChar w:fldCharType="begin" w:fldLock="1"/>
      </w:r>
      <w:r w:rsidR="00E2109D" w:rsidRPr="00CD1E6D">
        <w:rPr>
          <w:color w:val="0070C0"/>
          <w:lang w:val="es-CO"/>
        </w:rPr>
        <w:instrText>ADDIN CSL_CITATION {"citationItems":[{"id":"ITEM-1","itemData":{"author":[{"dropping-particle":"","family":"Gobierno de España.","given":"","non-dropping-particle":"","parse-names":false,"suffix":""}],"id":"ITEM-1","issued":{"date-parts":[["0"]]},"title":"Miteco. (Ministerio para la transición ecológica)","type":"article-journal"},"uris":["http://www.mendeley.com/documents/?uuid=0b8c1e24-c034-4dd4-9908-902ccf3ead0a"]}],"mendeley":{"formattedCitation":"(Gobierno de España., n.d.)","manualFormatting":"Gobierno de España. (n.d.)","plainTextFormattedCitation":"(Gobierno de España., n.d.)","previouslyFormattedCitation":"(Gobierno de España., n.d.)"},"properties":{"noteIndex":0},"schema":"https://github.com/citation-style-language/schema/raw/master/csl-citation.json"}</w:instrText>
      </w:r>
      <w:r w:rsidR="00E2109D" w:rsidRPr="00CD1E6D">
        <w:rPr>
          <w:color w:val="0070C0"/>
          <w:lang w:val="es-CO"/>
        </w:rPr>
        <w:fldChar w:fldCharType="separate"/>
      </w:r>
      <w:r w:rsidR="00E2109D" w:rsidRPr="00CD1E6D">
        <w:rPr>
          <w:noProof/>
          <w:color w:val="0070C0"/>
          <w:lang w:val="es-CO"/>
        </w:rPr>
        <w:t>Gobierno de España</w:t>
      </w:r>
      <w:r w:rsidR="00B306F1">
        <w:rPr>
          <w:noProof/>
          <w:color w:val="0070C0"/>
          <w:lang w:val="es-CO"/>
        </w:rPr>
        <w:t>, s. f.</w:t>
      </w:r>
      <w:r w:rsidR="00E2109D" w:rsidRPr="00CD1E6D">
        <w:rPr>
          <w:noProof/>
          <w:color w:val="0070C0"/>
          <w:lang w:val="es-CO"/>
        </w:rPr>
        <w:t>)</w:t>
      </w:r>
      <w:r w:rsidR="00E2109D" w:rsidRPr="00CD1E6D">
        <w:rPr>
          <w:color w:val="0070C0"/>
          <w:lang w:val="es-CO"/>
        </w:rPr>
        <w:fldChar w:fldCharType="end"/>
      </w:r>
      <w:r w:rsidR="00E2109D" w:rsidRPr="00073D09">
        <w:rPr>
          <w:lang w:val="es-CO"/>
        </w:rPr>
        <w:t xml:space="preserve"> </w:t>
      </w:r>
      <w:r w:rsidRPr="00073D09">
        <w:rPr>
          <w:lang w:val="es-CO"/>
        </w:rPr>
        <w:t>de esta manera el cumplimiento del</w:t>
      </w:r>
      <w:r w:rsidR="008B06A2" w:rsidRPr="00073D09">
        <w:rPr>
          <w:lang w:val="es-CO"/>
        </w:rPr>
        <w:t xml:space="preserve"> </w:t>
      </w:r>
      <w:r w:rsidR="00242A2E" w:rsidRPr="00CD1E6D">
        <w:rPr>
          <w:color w:val="0070C0"/>
          <w:lang w:val="es-CO"/>
        </w:rPr>
        <w:fldChar w:fldCharType="begin" w:fldLock="1"/>
      </w:r>
      <w:r w:rsidR="007C1B58" w:rsidRPr="00CD1E6D">
        <w:rPr>
          <w:color w:val="0070C0"/>
          <w:lang w:val="es-CO"/>
        </w:rPr>
        <w:instrText>ADDIN CSL_CITATION {"citationItems":[{"id":"ITEM-1","itemData":{"author":[{"dropping-particle":"","family":"Decreto 298","given":"","non-dropping-particle":"","parse-names":false,"suffix":""}],"id":"ITEM-1","issued":{"date-parts":[["2016"]]},"publisher-place":"Bogotá DC","title":"\"Por el cual se establece la organización y funcionamiento del Sistema Nacional de Cambio Climático y se dictan otras disposiciones\"","type":"report"},"uris":["http://www.mendeley.com/documents/?uuid=e01c24d0-45d2-4335-af53-0602ffba4bfa"]}],"mendeley":{"formattedCitation":"(Decreto 298, 2016)","manualFormatting":"Decreto 298 (2016)","plainTextFormattedCitation":"(Decreto 298, 2016)","previouslyFormattedCitation":"(Decreto 298, 2016)"},"properties":{"noteIndex":0},"schema":"https://github.com/citation-style-language/schema/raw/master/csl-citation.json"}</w:instrText>
      </w:r>
      <w:r w:rsidR="00242A2E" w:rsidRPr="00CD1E6D">
        <w:rPr>
          <w:color w:val="0070C0"/>
          <w:lang w:val="es-CO"/>
        </w:rPr>
        <w:fldChar w:fldCharType="separate"/>
      </w:r>
      <w:r w:rsidR="00242A2E" w:rsidRPr="00CD1E6D">
        <w:rPr>
          <w:noProof/>
          <w:color w:val="0070C0"/>
          <w:lang w:val="es-CO"/>
        </w:rPr>
        <w:t>Decreto 298 (2016)</w:t>
      </w:r>
      <w:r w:rsidR="00242A2E" w:rsidRPr="00CD1E6D">
        <w:rPr>
          <w:color w:val="0070C0"/>
          <w:lang w:val="es-CO"/>
        </w:rPr>
        <w:fldChar w:fldCharType="end"/>
      </w:r>
      <w:r w:rsidR="007C1B58" w:rsidRPr="00073D09">
        <w:rPr>
          <w:lang w:val="es-CO"/>
        </w:rPr>
        <w:t xml:space="preserve"> </w:t>
      </w:r>
      <w:r w:rsidR="00242A2E" w:rsidRPr="00073D09">
        <w:rPr>
          <w:lang w:val="es-CO"/>
        </w:rPr>
        <w:t>“</w:t>
      </w:r>
      <w:r w:rsidRPr="00073D09">
        <w:rPr>
          <w:lang w:val="es-CO"/>
        </w:rPr>
        <w:t xml:space="preserve">por el cual se establece la organización y funcionamiento del Sistema Nacional de Cambio Climático y se dictan </w:t>
      </w:r>
      <w:r w:rsidR="00242A2E" w:rsidRPr="00073D09">
        <w:rPr>
          <w:lang w:val="es-CO"/>
        </w:rPr>
        <w:t>otras disposiciones en Colombia”</w:t>
      </w:r>
      <w:r w:rsidR="000517D6" w:rsidRPr="00073D09">
        <w:rPr>
          <w:lang w:val="es-CO"/>
        </w:rPr>
        <w:t>,</w:t>
      </w:r>
      <w:r w:rsidRPr="00073D09">
        <w:rPr>
          <w:lang w:val="es-CO"/>
        </w:rPr>
        <w:t xml:space="preserve"> estaría acorde </w:t>
      </w:r>
      <w:r w:rsidR="00B306F1">
        <w:rPr>
          <w:lang w:val="es-CO"/>
        </w:rPr>
        <w:t>con</w:t>
      </w:r>
      <w:r w:rsidRPr="00073D09">
        <w:rPr>
          <w:lang w:val="es-CO"/>
        </w:rPr>
        <w:t xml:space="preserve"> las necesidades actuales</w:t>
      </w:r>
      <w:r w:rsidR="00B306F1">
        <w:rPr>
          <w:lang w:val="es-CO"/>
        </w:rPr>
        <w:t>,</w:t>
      </w:r>
      <w:r w:rsidR="00E2109D" w:rsidRPr="00073D09">
        <w:rPr>
          <w:lang w:val="es-CO"/>
        </w:rPr>
        <w:t xml:space="preserve"> en términos de la mitigación del impacto ambiental debido a los gases de efecto invernadero emitidos por los rellenos sanitarios</w:t>
      </w:r>
      <w:r w:rsidRPr="00073D09">
        <w:rPr>
          <w:lang w:val="es-CO"/>
        </w:rPr>
        <w:t>.</w:t>
      </w:r>
    </w:p>
    <w:p w14:paraId="4E1D4D7B" w14:textId="77777777" w:rsidR="005C6E20" w:rsidRPr="00073D09" w:rsidRDefault="005C6E20" w:rsidP="00D62000">
      <w:pPr>
        <w:spacing w:after="0"/>
        <w:jc w:val="both"/>
        <w:rPr>
          <w:lang w:val="es-CO"/>
        </w:rPr>
      </w:pPr>
    </w:p>
    <w:p w14:paraId="45F6BA1F" w14:textId="67DC48BD" w:rsidR="00F0704A" w:rsidRDefault="00012B2E" w:rsidP="00AB13C5">
      <w:pPr>
        <w:pStyle w:val="Prrafodelista"/>
        <w:numPr>
          <w:ilvl w:val="0"/>
          <w:numId w:val="13"/>
        </w:numPr>
        <w:spacing w:after="0"/>
        <w:ind w:left="284" w:hanging="284"/>
        <w:jc w:val="both"/>
        <w:rPr>
          <w:b/>
        </w:rPr>
      </w:pPr>
      <w:r w:rsidRPr="00073D09">
        <w:rPr>
          <w:b/>
        </w:rPr>
        <w:t>Conclusiones</w:t>
      </w:r>
    </w:p>
    <w:p w14:paraId="08DF6224" w14:textId="77777777" w:rsidR="0068763D" w:rsidRPr="00073D09" w:rsidRDefault="0068763D" w:rsidP="00D62000">
      <w:pPr>
        <w:pStyle w:val="Prrafodelista"/>
        <w:spacing w:after="0"/>
        <w:ind w:left="0"/>
        <w:jc w:val="both"/>
        <w:rPr>
          <w:b/>
        </w:rPr>
      </w:pPr>
    </w:p>
    <w:p w14:paraId="190238CE" w14:textId="6B271135" w:rsidR="00821700" w:rsidRPr="00073D09" w:rsidRDefault="00821700" w:rsidP="00D62000">
      <w:pPr>
        <w:spacing w:after="0"/>
        <w:jc w:val="both"/>
        <w:rPr>
          <w:lang w:val="es-CO"/>
        </w:rPr>
      </w:pPr>
      <w:r w:rsidRPr="00073D09">
        <w:rPr>
          <w:lang w:val="es-CO"/>
        </w:rPr>
        <w:t>Se comprobó que los registros de disposición de residuos sólidos</w:t>
      </w:r>
      <w:r w:rsidR="00176097" w:rsidRPr="00073D09">
        <w:rPr>
          <w:b/>
          <w:lang w:val="es-CO"/>
        </w:rPr>
        <w:t xml:space="preserve"> </w:t>
      </w:r>
      <w:r w:rsidR="00B47C58" w:rsidRPr="00073D09">
        <w:rPr>
          <w:lang w:val="es-CO"/>
        </w:rPr>
        <w:t>representados en la</w:t>
      </w:r>
      <w:r w:rsidR="00B47C58" w:rsidRPr="00073D09">
        <w:rPr>
          <w:b/>
          <w:lang w:val="es-CO"/>
        </w:rPr>
        <w:t xml:space="preserve"> </w:t>
      </w:r>
      <w:r w:rsidR="00176097" w:rsidRPr="00073D09">
        <w:rPr>
          <w:b/>
          <w:lang w:val="es-CO"/>
        </w:rPr>
        <w:t>Figura 3</w:t>
      </w:r>
      <w:r w:rsidRPr="00073D09">
        <w:rPr>
          <w:lang w:val="es-CO"/>
        </w:rPr>
        <w:t xml:space="preserve"> tiene</w:t>
      </w:r>
      <w:r w:rsidR="00B47C58" w:rsidRPr="00073D09">
        <w:rPr>
          <w:lang w:val="es-CO"/>
        </w:rPr>
        <w:t>n</w:t>
      </w:r>
      <w:r w:rsidRPr="00073D09">
        <w:rPr>
          <w:lang w:val="es-CO"/>
        </w:rPr>
        <w:t xml:space="preserve"> un comportamiento proporcional a medida que aumentan los años de recolección, como se observa en la </w:t>
      </w:r>
      <w:r w:rsidR="00B47C58" w:rsidRPr="00073D09">
        <w:rPr>
          <w:b/>
          <w:lang w:val="es-CO"/>
        </w:rPr>
        <w:t>Figura</w:t>
      </w:r>
      <w:r w:rsidR="00FD386A" w:rsidRPr="00073D09">
        <w:rPr>
          <w:b/>
          <w:lang w:val="es-CO"/>
        </w:rPr>
        <w:t xml:space="preserve"> </w:t>
      </w:r>
      <w:r w:rsidRPr="00073D09">
        <w:rPr>
          <w:b/>
          <w:lang w:val="es-CO"/>
        </w:rPr>
        <w:t>1</w:t>
      </w:r>
      <w:r w:rsidRPr="00073D09">
        <w:rPr>
          <w:lang w:val="es-CO"/>
        </w:rPr>
        <w:t xml:space="preserve"> y la explicación de correlación lineal de la </w:t>
      </w:r>
      <w:r w:rsidR="00B47C58" w:rsidRPr="00073D09">
        <w:rPr>
          <w:b/>
          <w:lang w:val="es-CO"/>
        </w:rPr>
        <w:t>E</w:t>
      </w:r>
      <w:r w:rsidRPr="00073D09">
        <w:rPr>
          <w:b/>
          <w:lang w:val="es-CO"/>
        </w:rPr>
        <w:t>cuación 3</w:t>
      </w:r>
      <w:r w:rsidRPr="00073D09">
        <w:rPr>
          <w:lang w:val="es-CO"/>
        </w:rPr>
        <w:t xml:space="preserve">. En ese orden de ideas, la </w:t>
      </w:r>
      <w:r w:rsidR="003D278E" w:rsidRPr="00073D09">
        <w:rPr>
          <w:lang w:val="es-CO"/>
        </w:rPr>
        <w:t>proyec</w:t>
      </w:r>
      <w:r w:rsidRPr="00073D09">
        <w:rPr>
          <w:lang w:val="es-CO"/>
        </w:rPr>
        <w:t>ción de basuras en el relleno sanitario podría ser excesiva</w:t>
      </w:r>
      <w:r w:rsidR="00B306F1">
        <w:rPr>
          <w:lang w:val="es-CO"/>
        </w:rPr>
        <w:t>,</w:t>
      </w:r>
      <w:r w:rsidRPr="00073D09">
        <w:rPr>
          <w:lang w:val="es-CO"/>
        </w:rPr>
        <w:t xml:space="preserve"> lo que generaría afectaciones en la salud pública y alteraciones en la calidad del </w:t>
      </w:r>
      <w:r w:rsidR="00FD386A" w:rsidRPr="00073D09">
        <w:rPr>
          <w:lang w:val="es-CO"/>
        </w:rPr>
        <w:t xml:space="preserve">aire </w:t>
      </w:r>
      <w:r w:rsidRPr="00073D09">
        <w:rPr>
          <w:lang w:val="es-CO"/>
        </w:rPr>
        <w:t>mediante gases de efecto invernadero como CH</w:t>
      </w:r>
      <w:r w:rsidRPr="00073D09">
        <w:rPr>
          <w:vertAlign w:val="subscript"/>
          <w:lang w:val="es-CO"/>
        </w:rPr>
        <w:t>4</w:t>
      </w:r>
      <w:r w:rsidRPr="00073D09">
        <w:rPr>
          <w:lang w:val="es-CO"/>
        </w:rPr>
        <w:t>, CO</w:t>
      </w:r>
      <w:r w:rsidRPr="00073D09">
        <w:rPr>
          <w:vertAlign w:val="subscript"/>
          <w:lang w:val="es-CO"/>
        </w:rPr>
        <w:t>2</w:t>
      </w:r>
      <w:r w:rsidRPr="00073D09">
        <w:rPr>
          <w:lang w:val="es-CO"/>
        </w:rPr>
        <w:t xml:space="preserve"> y NMOC para lo cual se deben tomar medidas pertinentes por parte de las autoridades ambientales.  </w:t>
      </w:r>
    </w:p>
    <w:p w14:paraId="08691A1F" w14:textId="77777777" w:rsidR="004C7648" w:rsidRPr="00073D09" w:rsidRDefault="004C7648" w:rsidP="00D62000">
      <w:pPr>
        <w:spacing w:after="0"/>
        <w:jc w:val="both"/>
        <w:rPr>
          <w:lang w:val="es-CO"/>
        </w:rPr>
      </w:pPr>
    </w:p>
    <w:p w14:paraId="599ECD71" w14:textId="7FA7541B" w:rsidR="003D278E" w:rsidRPr="00073D09" w:rsidRDefault="003D278E" w:rsidP="00D62000">
      <w:pPr>
        <w:spacing w:after="0"/>
        <w:jc w:val="both"/>
        <w:rPr>
          <w:lang w:val="es-CO"/>
        </w:rPr>
      </w:pPr>
      <w:r w:rsidRPr="00073D09">
        <w:rPr>
          <w:lang w:val="es-CO"/>
        </w:rPr>
        <w:t xml:space="preserve">Se obtuvo la estimación, mediante </w:t>
      </w:r>
      <w:proofErr w:type="spellStart"/>
      <w:r w:rsidRPr="00073D09">
        <w:rPr>
          <w:lang w:val="es-CO"/>
        </w:rPr>
        <w:t>LandGEM</w:t>
      </w:r>
      <w:proofErr w:type="spellEnd"/>
      <w:r w:rsidR="00425D40">
        <w:rPr>
          <w:lang w:val="es-CO"/>
        </w:rPr>
        <w:t>,</w:t>
      </w:r>
      <w:r w:rsidRPr="00073D09">
        <w:rPr>
          <w:lang w:val="es-CO"/>
        </w:rPr>
        <w:t xml:space="preserve"> de</w:t>
      </w:r>
      <w:r w:rsidR="00425D40">
        <w:rPr>
          <w:lang w:val="es-CO"/>
        </w:rPr>
        <w:t>l</w:t>
      </w:r>
      <w:r w:rsidRPr="00073D09">
        <w:rPr>
          <w:lang w:val="es-CO"/>
        </w:rPr>
        <w:t xml:space="preserve"> CH</w:t>
      </w:r>
      <w:r w:rsidRPr="00073D09">
        <w:rPr>
          <w:vertAlign w:val="subscript"/>
          <w:lang w:val="es-CO"/>
        </w:rPr>
        <w:t>4</w:t>
      </w:r>
      <w:r w:rsidRPr="00073D09">
        <w:rPr>
          <w:lang w:val="es-CO"/>
        </w:rPr>
        <w:t>, CO</w:t>
      </w:r>
      <w:r w:rsidRPr="00073D09">
        <w:rPr>
          <w:vertAlign w:val="subscript"/>
          <w:lang w:val="es-CO"/>
        </w:rPr>
        <w:t>2</w:t>
      </w:r>
      <w:r w:rsidRPr="00073D09">
        <w:rPr>
          <w:lang w:val="es-CO"/>
        </w:rPr>
        <w:t xml:space="preserve"> y NMOC que se genera en el relleno sanitario Doña Juana, con base en las tasas de disposición de residuos, desde el año 2002 al 2018 y proyectando la vida útil del relleno, para los años 2022, 2040 y 2070. El comportamiento de cada tasa de emisión inicia de forma creciente, con tendencia logarítmica, hasta un punto máximo que representa la tasa máxima de emisión y el año en donde cesa la disposición de residuos en el relleno sanitario estudiado; luego decrece la producción, conforme va avanzando la descomposición de los residuos en el depósito.</w:t>
      </w:r>
    </w:p>
    <w:p w14:paraId="430EBE52" w14:textId="77777777" w:rsidR="003D278E" w:rsidRPr="00073D09" w:rsidRDefault="003D278E" w:rsidP="00D62000">
      <w:pPr>
        <w:spacing w:after="0"/>
        <w:jc w:val="both"/>
        <w:rPr>
          <w:lang w:val="es-CO"/>
        </w:rPr>
      </w:pPr>
    </w:p>
    <w:p w14:paraId="0E05D91B" w14:textId="7713924C" w:rsidR="00B524B9" w:rsidRPr="00073D09" w:rsidRDefault="00821700" w:rsidP="00D62000">
      <w:pPr>
        <w:spacing w:after="0"/>
        <w:jc w:val="both"/>
        <w:rPr>
          <w:lang w:val="es-CO"/>
        </w:rPr>
      </w:pPr>
      <w:r w:rsidRPr="00073D09">
        <w:rPr>
          <w:lang w:val="es-CO"/>
        </w:rPr>
        <w:t xml:space="preserve">Los resultados obtenidos </w:t>
      </w:r>
      <w:r w:rsidR="00DC0AF0" w:rsidRPr="00073D09">
        <w:rPr>
          <w:lang w:val="es-CO"/>
        </w:rPr>
        <w:t>que se evidencian en la estimación</w:t>
      </w:r>
      <w:r w:rsidR="00425D40">
        <w:rPr>
          <w:lang w:val="es-CO"/>
        </w:rPr>
        <w:t>,</w:t>
      </w:r>
      <w:r w:rsidR="00DC0AF0" w:rsidRPr="00073D09">
        <w:rPr>
          <w:lang w:val="es-CO"/>
        </w:rPr>
        <w:t xml:space="preserve"> como se ilustra en la </w:t>
      </w:r>
      <w:r w:rsidR="00DC0AF0" w:rsidRPr="00073D09">
        <w:rPr>
          <w:b/>
          <w:lang w:val="es-CO"/>
        </w:rPr>
        <w:t>Figura 2</w:t>
      </w:r>
      <w:r w:rsidR="00693E86">
        <w:rPr>
          <w:b/>
          <w:lang w:val="es-CO"/>
        </w:rPr>
        <w:t>,</w:t>
      </w:r>
      <w:r w:rsidR="00DC0AF0" w:rsidRPr="00073D09">
        <w:rPr>
          <w:b/>
          <w:lang w:val="es-CO"/>
        </w:rPr>
        <w:t xml:space="preserve"> </w:t>
      </w:r>
      <w:r w:rsidRPr="00073D09">
        <w:rPr>
          <w:lang w:val="es-CO"/>
        </w:rPr>
        <w:t xml:space="preserve">resaltan el potencial energético en términos </w:t>
      </w:r>
      <w:r w:rsidR="00FD386A" w:rsidRPr="00073D09">
        <w:rPr>
          <w:lang w:val="es-CO"/>
        </w:rPr>
        <w:t>CH</w:t>
      </w:r>
      <w:r w:rsidR="00FD386A" w:rsidRPr="00073D09">
        <w:rPr>
          <w:vertAlign w:val="subscript"/>
          <w:lang w:val="es-CO"/>
        </w:rPr>
        <w:t>4</w:t>
      </w:r>
      <w:r w:rsidRPr="00073D09">
        <w:rPr>
          <w:lang w:val="es-CO"/>
        </w:rPr>
        <w:t xml:space="preserve"> que se puede obtener con los años de vida útil del relleno sanitario Doña </w:t>
      </w:r>
      <w:r w:rsidR="00730753" w:rsidRPr="00073D09">
        <w:rPr>
          <w:lang w:val="es-CO"/>
        </w:rPr>
        <w:t>Juana</w:t>
      </w:r>
      <w:r w:rsidRPr="00073D09">
        <w:rPr>
          <w:lang w:val="es-CO"/>
        </w:rPr>
        <w:t>.</w:t>
      </w:r>
      <w:r w:rsidR="0053650C">
        <w:rPr>
          <w:lang w:val="es-CO"/>
        </w:rPr>
        <w:t xml:space="preserve"> </w:t>
      </w:r>
      <w:r w:rsidRPr="00073D09">
        <w:rPr>
          <w:lang w:val="es-CO"/>
        </w:rPr>
        <w:t xml:space="preserve">Por otro lado, </w:t>
      </w:r>
      <w:r w:rsidR="00DC0AF0" w:rsidRPr="00073D09">
        <w:rPr>
          <w:lang w:val="es-CO"/>
        </w:rPr>
        <w:t>l</w:t>
      </w:r>
      <w:r w:rsidRPr="00073D09">
        <w:rPr>
          <w:lang w:val="es-CO"/>
        </w:rPr>
        <w:t xml:space="preserve">as estimaciones de emisiones de </w:t>
      </w:r>
      <w:r w:rsidR="00DC0AF0" w:rsidRPr="00073D09">
        <w:rPr>
          <w:lang w:val="es-CO"/>
        </w:rPr>
        <w:t>CO</w:t>
      </w:r>
      <w:r w:rsidR="00DC0AF0" w:rsidRPr="00073D09">
        <w:rPr>
          <w:vertAlign w:val="subscript"/>
          <w:lang w:val="es-CO"/>
        </w:rPr>
        <w:t>2</w:t>
      </w:r>
      <w:r w:rsidRPr="00073D09">
        <w:rPr>
          <w:lang w:val="es-CO"/>
        </w:rPr>
        <w:t xml:space="preserve"> en toneladas por </w:t>
      </w:r>
      <w:r w:rsidR="00730753" w:rsidRPr="00073D09">
        <w:rPr>
          <w:lang w:val="es-CO"/>
        </w:rPr>
        <w:t>año y</w:t>
      </w:r>
      <w:r w:rsidRPr="00073D09">
        <w:rPr>
          <w:lang w:val="es-CO"/>
        </w:rPr>
        <w:t xml:space="preserve"> NMOC en </w:t>
      </w:r>
      <m:oMath>
        <m:sSup>
          <m:sSupPr>
            <m:ctrlPr>
              <w:rPr>
                <w:rFonts w:ascii="Cambria Math" w:hAnsi="Cambria Math"/>
                <w:i/>
                <w:lang w:val="es-CO"/>
              </w:rPr>
            </m:ctrlPr>
          </m:sSupPr>
          <m:e>
            <m:r>
              <w:rPr>
                <w:rFonts w:ascii="Cambria Math" w:hAnsi="Cambria Math"/>
                <w:lang w:val="es-CO"/>
              </w:rPr>
              <m:t>m</m:t>
            </m:r>
          </m:e>
          <m:sup>
            <m:r>
              <w:rPr>
                <w:rFonts w:ascii="Cambria Math" w:hAnsi="Cambria Math"/>
                <w:lang w:val="es-CO"/>
              </w:rPr>
              <m:t>3</m:t>
            </m:r>
          </m:sup>
        </m:sSup>
      </m:oMath>
      <w:r w:rsidRPr="00073D09">
        <w:rPr>
          <w:lang w:val="es-CO"/>
        </w:rPr>
        <w:t>por año,</w:t>
      </w:r>
      <w:r w:rsidR="00DC0AF0" w:rsidRPr="00073D09">
        <w:rPr>
          <w:lang w:val="es-CO"/>
        </w:rPr>
        <w:t xml:space="preserve"> que se presentan en las </w:t>
      </w:r>
      <w:r w:rsidR="00DC0AF0" w:rsidRPr="00073D09">
        <w:rPr>
          <w:b/>
          <w:lang w:val="es-CO"/>
        </w:rPr>
        <w:t>Figuras 3 y 4</w:t>
      </w:r>
      <w:r w:rsidRPr="00073D09">
        <w:rPr>
          <w:lang w:val="es-CO"/>
        </w:rPr>
        <w:t xml:space="preserve"> evidencian la importancia de complementar la disposición de residuos sólidos con un tratamiento óptimo</w:t>
      </w:r>
      <w:r w:rsidR="00144CC5">
        <w:rPr>
          <w:lang w:val="es-CO"/>
        </w:rPr>
        <w:t>,</w:t>
      </w:r>
      <w:r w:rsidRPr="00073D09">
        <w:rPr>
          <w:lang w:val="es-CO"/>
        </w:rPr>
        <w:t xml:space="preserve"> ya que representan gases de efecto invernadero que se emiten en grandes </w:t>
      </w:r>
      <w:r w:rsidR="003D278E" w:rsidRPr="00073D09">
        <w:rPr>
          <w:lang w:val="es-CO"/>
        </w:rPr>
        <w:t>cantidades</w:t>
      </w:r>
      <w:r w:rsidRPr="00073D09">
        <w:rPr>
          <w:lang w:val="es-CO"/>
        </w:rPr>
        <w:t>.</w:t>
      </w:r>
      <w:r w:rsidR="00BC4E38" w:rsidRPr="00073D09">
        <w:rPr>
          <w:lang w:val="es-CO"/>
        </w:rPr>
        <w:t xml:space="preserve"> </w:t>
      </w:r>
    </w:p>
    <w:p w14:paraId="29DFAA3E" w14:textId="77777777" w:rsidR="00C46228" w:rsidRPr="00073D09" w:rsidRDefault="00C46228" w:rsidP="00D62000">
      <w:pPr>
        <w:spacing w:after="0"/>
        <w:ind w:firstLine="708"/>
        <w:jc w:val="both"/>
        <w:rPr>
          <w:lang w:val="es-CO"/>
        </w:rPr>
      </w:pPr>
    </w:p>
    <w:p w14:paraId="33E70227" w14:textId="77777777" w:rsidR="00AB13C5" w:rsidRPr="00144CC5" w:rsidRDefault="00637DFA" w:rsidP="00AB13C5">
      <w:pPr>
        <w:pStyle w:val="Prrafodelista"/>
        <w:numPr>
          <w:ilvl w:val="0"/>
          <w:numId w:val="13"/>
        </w:numPr>
        <w:spacing w:after="0"/>
        <w:ind w:left="284" w:hanging="284"/>
        <w:jc w:val="both"/>
        <w:rPr>
          <w:b/>
          <w:lang w:val="es-CO"/>
        </w:rPr>
      </w:pPr>
      <w:r w:rsidRPr="00144CC5">
        <w:rPr>
          <w:b/>
          <w:lang w:val="es-CO"/>
        </w:rPr>
        <w:t>Ética</w:t>
      </w:r>
      <w:r w:rsidR="003E0E6B" w:rsidRPr="00144CC5">
        <w:rPr>
          <w:b/>
          <w:lang w:val="es-CO"/>
        </w:rPr>
        <w:t xml:space="preserve"> y c</w:t>
      </w:r>
      <w:r w:rsidR="00B524B9" w:rsidRPr="00144CC5">
        <w:rPr>
          <w:b/>
          <w:lang w:val="es-CO"/>
        </w:rPr>
        <w:t>onflicto de intereses</w:t>
      </w:r>
    </w:p>
    <w:p w14:paraId="7CA100A2" w14:textId="57A6C52C" w:rsidR="00B524B9" w:rsidRPr="00073D09" w:rsidRDefault="00B524B9" w:rsidP="00AB13C5">
      <w:pPr>
        <w:pStyle w:val="Prrafodelista"/>
        <w:spacing w:after="0"/>
        <w:ind w:left="360"/>
        <w:jc w:val="both"/>
        <w:rPr>
          <w:b/>
          <w:lang w:val="es-CO"/>
        </w:rPr>
      </w:pPr>
      <w:r w:rsidRPr="00073D09">
        <w:rPr>
          <w:b/>
          <w:lang w:val="es-CO"/>
        </w:rPr>
        <w:t xml:space="preserve"> </w:t>
      </w:r>
    </w:p>
    <w:p w14:paraId="76EDF38D" w14:textId="338BD6D0" w:rsidR="003E0E6B" w:rsidRPr="00073D09" w:rsidRDefault="00AB13C5" w:rsidP="00D62000">
      <w:pPr>
        <w:spacing w:after="0"/>
        <w:jc w:val="both"/>
        <w:rPr>
          <w:lang w:val="es-CO"/>
        </w:rPr>
      </w:pPr>
      <w:r w:rsidRPr="00073D09">
        <w:rPr>
          <w:lang w:val="es-CO"/>
        </w:rPr>
        <w:t>Las personas</w:t>
      </w:r>
      <w:r w:rsidR="003E0E6B" w:rsidRPr="00073D09">
        <w:rPr>
          <w:lang w:val="es-CO"/>
        </w:rPr>
        <w:t xml:space="preserve"> autor</w:t>
      </w:r>
      <w:r w:rsidR="00637DFA" w:rsidRPr="00073D09">
        <w:rPr>
          <w:lang w:val="es-CO"/>
        </w:rPr>
        <w:t>a</w:t>
      </w:r>
      <w:r w:rsidR="003E0E6B" w:rsidRPr="00073D09">
        <w:rPr>
          <w:lang w:val="es-CO"/>
        </w:rPr>
        <w:t xml:space="preserve">s declaran que han cumplido totalmente con los requisitos éticos y legales pertinentes, tanto durante </w:t>
      </w:r>
      <w:r w:rsidR="00637DFA" w:rsidRPr="00073D09">
        <w:rPr>
          <w:lang w:val="es-CO"/>
        </w:rPr>
        <w:t>el estudio como en la producción del manuscrito; que no hay conflictos de intereses de ningún tipo; que todas las fuentes financieras se mencionan de forma completa y clara en la sección de agradecimientos</w:t>
      </w:r>
      <w:r w:rsidR="00086D0F">
        <w:rPr>
          <w:lang w:val="es-CO"/>
        </w:rPr>
        <w:t>,</w:t>
      </w:r>
      <w:r w:rsidR="00637DFA" w:rsidRPr="00073D09">
        <w:rPr>
          <w:lang w:val="es-CO"/>
        </w:rPr>
        <w:t xml:space="preserve"> y que están totalmente de acuerdo con la versión final editada del artículo. </w:t>
      </w:r>
    </w:p>
    <w:p w14:paraId="1120E088" w14:textId="77777777" w:rsidR="00C46228" w:rsidRPr="00073D09" w:rsidRDefault="00C46228" w:rsidP="00D62000">
      <w:pPr>
        <w:spacing w:after="0"/>
        <w:ind w:firstLine="708"/>
        <w:jc w:val="both"/>
        <w:rPr>
          <w:lang w:val="es-CO"/>
        </w:rPr>
      </w:pPr>
    </w:p>
    <w:p w14:paraId="29B95513" w14:textId="3AE4DEAA" w:rsidR="00F83E0D" w:rsidRDefault="00012B2E" w:rsidP="00AB13C5">
      <w:pPr>
        <w:pStyle w:val="Prrafodelista"/>
        <w:numPr>
          <w:ilvl w:val="0"/>
          <w:numId w:val="13"/>
        </w:numPr>
        <w:spacing w:after="0"/>
        <w:ind w:left="284" w:hanging="284"/>
        <w:jc w:val="both"/>
        <w:rPr>
          <w:b/>
          <w:lang w:val="es-CO"/>
        </w:rPr>
      </w:pPr>
      <w:r w:rsidRPr="00073D09">
        <w:rPr>
          <w:b/>
          <w:lang w:val="es-CO"/>
        </w:rPr>
        <w:t>Agradecimientos</w:t>
      </w:r>
    </w:p>
    <w:p w14:paraId="793EE3A4" w14:textId="77777777" w:rsidR="00AB13C5" w:rsidRPr="00073D09" w:rsidRDefault="00AB13C5" w:rsidP="00AB13C5">
      <w:pPr>
        <w:pStyle w:val="Prrafodelista"/>
        <w:spacing w:after="0"/>
        <w:ind w:left="360"/>
        <w:jc w:val="both"/>
        <w:rPr>
          <w:b/>
          <w:lang w:val="es-CO"/>
        </w:rPr>
      </w:pPr>
    </w:p>
    <w:p w14:paraId="58A2680E" w14:textId="16BCA5BC" w:rsidR="00B47C58" w:rsidRPr="00073D09" w:rsidRDefault="00451F7F" w:rsidP="00D62000">
      <w:pPr>
        <w:pStyle w:val="Prrafodelista"/>
        <w:spacing w:after="0"/>
        <w:ind w:left="0"/>
        <w:jc w:val="both"/>
        <w:rPr>
          <w:rFonts w:eastAsia="Calibri"/>
          <w:lang w:val="es-CO" w:eastAsia="en-US"/>
        </w:rPr>
      </w:pPr>
      <w:r w:rsidRPr="00073D09">
        <w:rPr>
          <w:lang w:val="es-CO"/>
        </w:rPr>
        <w:t xml:space="preserve">Al programa de </w:t>
      </w:r>
      <w:r w:rsidR="00C46228" w:rsidRPr="00073D09">
        <w:rPr>
          <w:lang w:val="es-CO"/>
        </w:rPr>
        <w:t>I</w:t>
      </w:r>
      <w:r w:rsidRPr="00073D09">
        <w:rPr>
          <w:lang w:val="es-CO"/>
        </w:rPr>
        <w:t xml:space="preserve">ngeniería </w:t>
      </w:r>
      <w:r w:rsidR="00C46228" w:rsidRPr="00073D09">
        <w:rPr>
          <w:lang w:val="es-CO"/>
        </w:rPr>
        <w:t>S</w:t>
      </w:r>
      <w:r w:rsidRPr="00073D09">
        <w:rPr>
          <w:lang w:val="es-CO"/>
        </w:rPr>
        <w:t xml:space="preserve">anitaria de la </w:t>
      </w:r>
      <w:r w:rsidR="00C46228" w:rsidRPr="00073D09">
        <w:rPr>
          <w:lang w:val="es-CO"/>
        </w:rPr>
        <w:t>F</w:t>
      </w:r>
      <w:r w:rsidRPr="00073D09">
        <w:rPr>
          <w:lang w:val="es-CO"/>
        </w:rPr>
        <w:t xml:space="preserve">acultad de </w:t>
      </w:r>
      <w:r w:rsidR="00C46228" w:rsidRPr="00073D09">
        <w:rPr>
          <w:lang w:val="es-CO"/>
        </w:rPr>
        <w:t>M</w:t>
      </w:r>
      <w:r w:rsidRPr="00073D09">
        <w:rPr>
          <w:lang w:val="es-CO"/>
        </w:rPr>
        <w:t xml:space="preserve">edio </w:t>
      </w:r>
      <w:r w:rsidR="00C46228" w:rsidRPr="00073D09">
        <w:rPr>
          <w:lang w:val="es-CO"/>
        </w:rPr>
        <w:t>A</w:t>
      </w:r>
      <w:r w:rsidRPr="00073D09">
        <w:rPr>
          <w:lang w:val="es-CO"/>
        </w:rPr>
        <w:t xml:space="preserve">mbiente y </w:t>
      </w:r>
      <w:r w:rsidR="00C46228" w:rsidRPr="00073D09">
        <w:rPr>
          <w:lang w:val="es-CO"/>
        </w:rPr>
        <w:t>R</w:t>
      </w:r>
      <w:r w:rsidRPr="00073D09">
        <w:rPr>
          <w:lang w:val="es-CO"/>
        </w:rPr>
        <w:t xml:space="preserve">ecursos </w:t>
      </w:r>
      <w:r w:rsidR="00C46228" w:rsidRPr="00073D09">
        <w:rPr>
          <w:lang w:val="es-CO"/>
        </w:rPr>
        <w:t>N</w:t>
      </w:r>
      <w:r w:rsidRPr="00073D09">
        <w:rPr>
          <w:lang w:val="es-CO"/>
        </w:rPr>
        <w:t xml:space="preserve">aturales de la Universidad Distrital Francisco </w:t>
      </w:r>
      <w:r w:rsidR="00C46228" w:rsidRPr="00073D09">
        <w:rPr>
          <w:lang w:val="es-CO"/>
        </w:rPr>
        <w:t>José</w:t>
      </w:r>
      <w:r w:rsidRPr="00073D09">
        <w:rPr>
          <w:lang w:val="es-CO"/>
        </w:rPr>
        <w:t xml:space="preserve"> de Caldas</w:t>
      </w:r>
      <w:r w:rsidR="003664D6" w:rsidRPr="00073D09">
        <w:rPr>
          <w:lang w:val="es-CO"/>
        </w:rPr>
        <w:t>,</w:t>
      </w:r>
      <w:r w:rsidRPr="00073D09">
        <w:rPr>
          <w:lang w:val="es-CO"/>
        </w:rPr>
        <w:t xml:space="preserve"> al Núcleo de Investigación en </w:t>
      </w:r>
      <w:r w:rsidR="00C46228" w:rsidRPr="00073D09">
        <w:rPr>
          <w:lang w:val="es-CO"/>
        </w:rPr>
        <w:t>C</w:t>
      </w:r>
      <w:r w:rsidRPr="00073D09">
        <w:rPr>
          <w:lang w:val="es-CO"/>
        </w:rPr>
        <w:t xml:space="preserve">iencias para </w:t>
      </w:r>
      <w:r w:rsidR="00C46228" w:rsidRPr="00073D09">
        <w:rPr>
          <w:lang w:val="es-CO"/>
        </w:rPr>
        <w:t>I</w:t>
      </w:r>
      <w:r w:rsidRPr="00073D09">
        <w:rPr>
          <w:lang w:val="es-CO"/>
        </w:rPr>
        <w:t xml:space="preserve">ngeniería </w:t>
      </w:r>
      <w:r w:rsidR="00C46228" w:rsidRPr="00073D09">
        <w:rPr>
          <w:lang w:val="es-CO"/>
        </w:rPr>
        <w:t>S</w:t>
      </w:r>
      <w:r w:rsidRPr="00073D09">
        <w:rPr>
          <w:lang w:val="es-CO"/>
        </w:rPr>
        <w:t>anitaria NICIS</w:t>
      </w:r>
      <w:r w:rsidR="003664D6" w:rsidRPr="00073D09">
        <w:rPr>
          <w:lang w:val="es-CO"/>
        </w:rPr>
        <w:t xml:space="preserve"> y</w:t>
      </w:r>
      <w:r w:rsidR="00C46228" w:rsidRPr="00073D09">
        <w:rPr>
          <w:lang w:val="es-CO"/>
        </w:rPr>
        <w:t xml:space="preserve"> al</w:t>
      </w:r>
      <w:bookmarkStart w:id="11" w:name="_Hlk23798256"/>
      <w:r w:rsidR="00C46228" w:rsidRPr="00073D09">
        <w:rPr>
          <w:rFonts w:eastAsia="Calibri"/>
          <w:lang w:val="es-CO" w:eastAsia="en-US"/>
        </w:rPr>
        <w:t xml:space="preserve"> proyecto</w:t>
      </w:r>
      <w:r w:rsidR="00DB38A6" w:rsidRPr="00073D09">
        <w:rPr>
          <w:rFonts w:eastAsia="Calibri"/>
          <w:lang w:val="es-CO" w:eastAsia="en-US"/>
        </w:rPr>
        <w:t xml:space="preserve"> curricular de Licenciatura en ciencias naturales y educación ambiental de la Universidad Pedagógica Nacional</w:t>
      </w:r>
      <w:bookmarkEnd w:id="11"/>
      <w:r w:rsidR="00C46228" w:rsidRPr="00073D09">
        <w:rPr>
          <w:rFonts w:eastAsia="Calibri"/>
          <w:lang w:val="es-CO" w:eastAsia="en-US"/>
        </w:rPr>
        <w:t>.</w:t>
      </w:r>
      <w:r w:rsidR="0068763D">
        <w:rPr>
          <w:rFonts w:eastAsia="Calibri"/>
          <w:lang w:val="es-CO" w:eastAsia="en-US"/>
        </w:rPr>
        <w:t xml:space="preserve"> A la </w:t>
      </w:r>
      <w:r w:rsidR="00086D0F">
        <w:rPr>
          <w:rFonts w:eastAsia="Calibri"/>
          <w:lang w:val="es-CO" w:eastAsia="en-US"/>
        </w:rPr>
        <w:t>R</w:t>
      </w:r>
      <w:r w:rsidR="0068763D">
        <w:rPr>
          <w:rFonts w:eastAsia="Calibri"/>
          <w:lang w:val="es-CO" w:eastAsia="en-US"/>
        </w:rPr>
        <w:t>evista y quienes dictaminaron de manera anónima la versión final del escrito.</w:t>
      </w:r>
    </w:p>
    <w:p w14:paraId="385208A7" w14:textId="77777777" w:rsidR="00C46228" w:rsidRPr="00073D09" w:rsidRDefault="00C46228" w:rsidP="00D62000">
      <w:pPr>
        <w:pStyle w:val="Prrafodelista"/>
        <w:spacing w:after="0"/>
        <w:ind w:left="0" w:firstLine="360"/>
        <w:jc w:val="both"/>
        <w:rPr>
          <w:lang w:val="es-CO"/>
        </w:rPr>
      </w:pPr>
    </w:p>
    <w:p w14:paraId="76444193" w14:textId="22FD6E41" w:rsidR="00B04FD7" w:rsidRDefault="00012B2E" w:rsidP="00AB13C5">
      <w:pPr>
        <w:pStyle w:val="Prrafodelista"/>
        <w:numPr>
          <w:ilvl w:val="0"/>
          <w:numId w:val="13"/>
        </w:numPr>
        <w:spacing w:after="0"/>
        <w:ind w:left="284" w:hanging="284"/>
        <w:jc w:val="both"/>
        <w:rPr>
          <w:b/>
        </w:rPr>
      </w:pPr>
      <w:r w:rsidRPr="00073D09">
        <w:rPr>
          <w:b/>
        </w:rPr>
        <w:t xml:space="preserve">Referencias </w:t>
      </w:r>
    </w:p>
    <w:p w14:paraId="6F7B8A27" w14:textId="77777777" w:rsidR="00AB13C5" w:rsidRPr="00073D09" w:rsidRDefault="00AB13C5" w:rsidP="00AB13C5">
      <w:pPr>
        <w:pStyle w:val="Prrafodelista"/>
        <w:spacing w:after="0"/>
        <w:ind w:left="360"/>
        <w:jc w:val="both"/>
        <w:rPr>
          <w:b/>
        </w:rPr>
      </w:pPr>
    </w:p>
    <w:p w14:paraId="2A043BCA" w14:textId="4A5B6917" w:rsidR="007C1B58" w:rsidRDefault="007C1B58" w:rsidP="00D62000">
      <w:pPr>
        <w:widowControl w:val="0"/>
        <w:autoSpaceDE w:val="0"/>
        <w:autoSpaceDN w:val="0"/>
        <w:adjustRightInd w:val="0"/>
        <w:spacing w:after="0"/>
        <w:ind w:left="480" w:hanging="480"/>
        <w:jc w:val="both"/>
        <w:rPr>
          <w:noProof/>
        </w:rPr>
      </w:pPr>
      <w:r w:rsidRPr="00073D09">
        <w:rPr>
          <w:b/>
        </w:rPr>
        <w:fldChar w:fldCharType="begin" w:fldLock="1"/>
      </w:r>
      <w:r w:rsidRPr="00073D09">
        <w:rPr>
          <w:b/>
        </w:rPr>
        <w:instrText xml:space="preserve">ADDIN Mendeley Bibliography CSL_BIBLIOGRAPHY </w:instrText>
      </w:r>
      <w:r w:rsidRPr="00073D09">
        <w:rPr>
          <w:b/>
        </w:rPr>
        <w:fldChar w:fldCharType="separate"/>
      </w:r>
      <w:r w:rsidRPr="00073D09">
        <w:rPr>
          <w:noProof/>
        </w:rPr>
        <w:t xml:space="preserve">Alcaldía mayor de Bogotá DC. (2018). </w:t>
      </w:r>
      <w:r w:rsidRPr="00073D09">
        <w:rPr>
          <w:i/>
          <w:iCs/>
          <w:noProof/>
        </w:rPr>
        <w:t>Observatorio Ambiental de Bogotá</w:t>
      </w:r>
      <w:r w:rsidRPr="00073D09">
        <w:rPr>
          <w:noProof/>
        </w:rPr>
        <w:t>. https://oab.ambientebogota.gov.co/indicadores/?id=37</w:t>
      </w:r>
    </w:p>
    <w:p w14:paraId="2FDB7C0F" w14:textId="77777777" w:rsidR="00AB13C5" w:rsidRPr="00073D09" w:rsidRDefault="00AB13C5" w:rsidP="00D62000">
      <w:pPr>
        <w:widowControl w:val="0"/>
        <w:autoSpaceDE w:val="0"/>
        <w:autoSpaceDN w:val="0"/>
        <w:adjustRightInd w:val="0"/>
        <w:spacing w:after="0"/>
        <w:ind w:left="480" w:hanging="480"/>
        <w:jc w:val="both"/>
        <w:rPr>
          <w:noProof/>
        </w:rPr>
      </w:pPr>
    </w:p>
    <w:p w14:paraId="7F76878D" w14:textId="5E2ECB4D" w:rsidR="007C1B58" w:rsidRDefault="007C1B58" w:rsidP="00D62000">
      <w:pPr>
        <w:widowControl w:val="0"/>
        <w:autoSpaceDE w:val="0"/>
        <w:autoSpaceDN w:val="0"/>
        <w:adjustRightInd w:val="0"/>
        <w:spacing w:after="0"/>
        <w:ind w:left="480" w:hanging="480"/>
        <w:jc w:val="both"/>
        <w:rPr>
          <w:noProof/>
        </w:rPr>
      </w:pPr>
      <w:r w:rsidRPr="00073D09">
        <w:rPr>
          <w:noProof/>
        </w:rPr>
        <w:t>Anzola</w:t>
      </w:r>
      <w:r w:rsidR="0013696D">
        <w:rPr>
          <w:noProof/>
        </w:rPr>
        <w:t>,</w:t>
      </w:r>
      <w:r w:rsidRPr="00073D09">
        <w:rPr>
          <w:noProof/>
        </w:rPr>
        <w:t xml:space="preserve"> D. (2015). </w:t>
      </w:r>
      <w:r w:rsidRPr="00073D09">
        <w:rPr>
          <w:i/>
          <w:iCs/>
          <w:noProof/>
        </w:rPr>
        <w:t xml:space="preserve">Estudio del manejo de residuos sólidos en el </w:t>
      </w:r>
      <w:r w:rsidR="00086D0F" w:rsidRPr="00073D09">
        <w:rPr>
          <w:i/>
          <w:iCs/>
          <w:noProof/>
        </w:rPr>
        <w:t>relleno sa</w:t>
      </w:r>
      <w:r w:rsidRPr="00073D09">
        <w:rPr>
          <w:i/>
          <w:iCs/>
          <w:noProof/>
        </w:rPr>
        <w:t>nitario Doña Juana con el fin de delinear un borrador de propuesta para el manejo integral de residuos sólidos en la ciudad de Bogotá DC</w:t>
      </w:r>
      <w:r w:rsidRPr="00073D09">
        <w:rPr>
          <w:noProof/>
        </w:rPr>
        <w:t>. Universidad del Rosario.</w:t>
      </w:r>
      <w:r w:rsidR="00CD1E6D">
        <w:rPr>
          <w:noProof/>
        </w:rPr>
        <w:t xml:space="preserve"> </w:t>
      </w:r>
    </w:p>
    <w:p w14:paraId="768C5DB9" w14:textId="77777777" w:rsidR="00AB13C5" w:rsidRPr="00073D09" w:rsidRDefault="00AB13C5" w:rsidP="00D62000">
      <w:pPr>
        <w:widowControl w:val="0"/>
        <w:autoSpaceDE w:val="0"/>
        <w:autoSpaceDN w:val="0"/>
        <w:adjustRightInd w:val="0"/>
        <w:spacing w:after="0"/>
        <w:ind w:left="480" w:hanging="480"/>
        <w:jc w:val="both"/>
        <w:rPr>
          <w:noProof/>
        </w:rPr>
      </w:pPr>
    </w:p>
    <w:p w14:paraId="013B2965" w14:textId="01F48C87" w:rsidR="007C1B58" w:rsidRDefault="007C1B58" w:rsidP="00D62000">
      <w:pPr>
        <w:widowControl w:val="0"/>
        <w:autoSpaceDE w:val="0"/>
        <w:autoSpaceDN w:val="0"/>
        <w:adjustRightInd w:val="0"/>
        <w:spacing w:after="0"/>
        <w:ind w:left="480" w:hanging="480"/>
        <w:jc w:val="both"/>
        <w:rPr>
          <w:noProof/>
        </w:rPr>
      </w:pPr>
      <w:r w:rsidRPr="00073D09">
        <w:rPr>
          <w:noProof/>
        </w:rPr>
        <w:t xml:space="preserve">Barreto Pulido, O. R. (2017). </w:t>
      </w:r>
      <w:r w:rsidRPr="00073D09">
        <w:rPr>
          <w:i/>
          <w:iCs/>
          <w:noProof/>
        </w:rPr>
        <w:t>Comparación del desempeño de varias calidades de gas natural y evaluación de viabilidad para el uso de biogás como combustible para vehículos que operan con GNCV.</w:t>
      </w:r>
      <w:r w:rsidRPr="00073D09">
        <w:rPr>
          <w:noProof/>
        </w:rPr>
        <w:t xml:space="preserve"> http://bdigital.unal.edu.co/57715/</w:t>
      </w:r>
    </w:p>
    <w:p w14:paraId="1DBFD682" w14:textId="77777777" w:rsidR="00AB13C5" w:rsidRPr="00073D09" w:rsidRDefault="00AB13C5" w:rsidP="00D62000">
      <w:pPr>
        <w:widowControl w:val="0"/>
        <w:autoSpaceDE w:val="0"/>
        <w:autoSpaceDN w:val="0"/>
        <w:adjustRightInd w:val="0"/>
        <w:spacing w:after="0"/>
        <w:ind w:left="480" w:hanging="480"/>
        <w:jc w:val="both"/>
        <w:rPr>
          <w:noProof/>
        </w:rPr>
      </w:pPr>
    </w:p>
    <w:p w14:paraId="55AFB89E" w14:textId="63950D4C" w:rsidR="007C1B58" w:rsidRDefault="007C1B58" w:rsidP="00D62000">
      <w:pPr>
        <w:widowControl w:val="0"/>
        <w:autoSpaceDE w:val="0"/>
        <w:autoSpaceDN w:val="0"/>
        <w:adjustRightInd w:val="0"/>
        <w:spacing w:after="0"/>
        <w:ind w:left="480" w:hanging="480"/>
        <w:jc w:val="both"/>
        <w:rPr>
          <w:noProof/>
        </w:rPr>
      </w:pPr>
      <w:r w:rsidRPr="00F42B83">
        <w:rPr>
          <w:noProof/>
          <w:lang w:val="en-US"/>
        </w:rPr>
        <w:t xml:space="preserve">Camargo, F. M. (2019). Bogotá‘s doña juana landfill: The political production of a toxic landscape, 1988-2019. </w:t>
      </w:r>
      <w:r w:rsidRPr="00073D09">
        <w:rPr>
          <w:i/>
          <w:iCs/>
          <w:noProof/>
        </w:rPr>
        <w:t>Historia Critica</w:t>
      </w:r>
      <w:r w:rsidRPr="00073D09">
        <w:rPr>
          <w:noProof/>
        </w:rPr>
        <w:t xml:space="preserve">, </w:t>
      </w:r>
      <w:r w:rsidRPr="00073D09">
        <w:rPr>
          <w:i/>
          <w:iCs/>
          <w:noProof/>
        </w:rPr>
        <w:t>2019</w:t>
      </w:r>
      <w:r w:rsidRPr="00073D09">
        <w:rPr>
          <w:noProof/>
        </w:rPr>
        <w:t>(74), 127–149. https://doi.org/10.7440/histcrit74.2019.06</w:t>
      </w:r>
    </w:p>
    <w:p w14:paraId="682C05CE" w14:textId="77777777" w:rsidR="00AB13C5" w:rsidRPr="00073D09" w:rsidRDefault="00AB13C5" w:rsidP="00D62000">
      <w:pPr>
        <w:widowControl w:val="0"/>
        <w:autoSpaceDE w:val="0"/>
        <w:autoSpaceDN w:val="0"/>
        <w:adjustRightInd w:val="0"/>
        <w:spacing w:after="0"/>
        <w:ind w:left="480" w:hanging="480"/>
        <w:jc w:val="both"/>
        <w:rPr>
          <w:noProof/>
        </w:rPr>
      </w:pPr>
    </w:p>
    <w:p w14:paraId="514A76B1" w14:textId="718F5F15" w:rsidR="007C1B58" w:rsidRDefault="007C1B58" w:rsidP="00D62000">
      <w:pPr>
        <w:widowControl w:val="0"/>
        <w:autoSpaceDE w:val="0"/>
        <w:autoSpaceDN w:val="0"/>
        <w:adjustRightInd w:val="0"/>
        <w:spacing w:after="0"/>
        <w:ind w:left="480" w:hanging="480"/>
        <w:jc w:val="both"/>
        <w:rPr>
          <w:noProof/>
        </w:rPr>
      </w:pPr>
      <w:r w:rsidRPr="00073D09">
        <w:rPr>
          <w:noProof/>
        </w:rPr>
        <w:t xml:space="preserve">Concejo de Bogotá. (2017). </w:t>
      </w:r>
      <w:r w:rsidRPr="00073D09">
        <w:rPr>
          <w:i/>
          <w:iCs/>
          <w:noProof/>
        </w:rPr>
        <w:t xml:space="preserve">Informe </w:t>
      </w:r>
      <w:r w:rsidR="00F7111A" w:rsidRPr="00073D09">
        <w:rPr>
          <w:i/>
          <w:iCs/>
          <w:noProof/>
        </w:rPr>
        <w:t>de gestión de relleno san</w:t>
      </w:r>
      <w:r w:rsidRPr="00073D09">
        <w:rPr>
          <w:i/>
          <w:iCs/>
          <w:noProof/>
        </w:rPr>
        <w:t>itario Doña Juana. Bogotá D.C.: Concejo de Bogotá D.C.</w:t>
      </w:r>
      <w:r w:rsidRPr="00073D09">
        <w:rPr>
          <w:noProof/>
        </w:rPr>
        <w:t xml:space="preserve"> http://concejodebogota.gov.co/relleno-sanitario-dona-juana/cbogota/2017-07-07/131059.php</w:t>
      </w:r>
    </w:p>
    <w:p w14:paraId="027BBFC2" w14:textId="77777777" w:rsidR="00AB13C5" w:rsidRPr="00073D09" w:rsidRDefault="00AB13C5" w:rsidP="00D62000">
      <w:pPr>
        <w:widowControl w:val="0"/>
        <w:autoSpaceDE w:val="0"/>
        <w:autoSpaceDN w:val="0"/>
        <w:adjustRightInd w:val="0"/>
        <w:spacing w:after="0"/>
        <w:ind w:left="480" w:hanging="480"/>
        <w:jc w:val="both"/>
        <w:rPr>
          <w:noProof/>
        </w:rPr>
      </w:pPr>
    </w:p>
    <w:p w14:paraId="30B83BD1" w14:textId="36E6E007" w:rsidR="007C1B58" w:rsidRDefault="007C1B58" w:rsidP="00D62000">
      <w:pPr>
        <w:widowControl w:val="0"/>
        <w:autoSpaceDE w:val="0"/>
        <w:autoSpaceDN w:val="0"/>
        <w:adjustRightInd w:val="0"/>
        <w:spacing w:after="0"/>
        <w:ind w:left="480" w:hanging="480"/>
        <w:jc w:val="both"/>
        <w:rPr>
          <w:noProof/>
        </w:rPr>
      </w:pPr>
      <w:r w:rsidRPr="00073D09">
        <w:rPr>
          <w:noProof/>
        </w:rPr>
        <w:t xml:space="preserve">Corrales, L. C., Antolinez Romero, D. M., Bohórquez Macías, J. A., &amp; Corredor Vargas, A. M. (2015). Bacterias anaerobias: </w:t>
      </w:r>
      <w:r w:rsidR="00F7111A" w:rsidRPr="00073D09">
        <w:rPr>
          <w:noProof/>
        </w:rPr>
        <w:t>P</w:t>
      </w:r>
      <w:r w:rsidRPr="00073D09">
        <w:rPr>
          <w:noProof/>
        </w:rPr>
        <w:t xml:space="preserve">rocesos que realizan y contribuyen a la sostenibilidad de la vida en el planeta. </w:t>
      </w:r>
      <w:r w:rsidRPr="00073D09">
        <w:rPr>
          <w:i/>
          <w:iCs/>
          <w:noProof/>
        </w:rPr>
        <w:t>Nova</w:t>
      </w:r>
      <w:r w:rsidRPr="00073D09">
        <w:rPr>
          <w:noProof/>
        </w:rPr>
        <w:t xml:space="preserve">, </w:t>
      </w:r>
      <w:r w:rsidRPr="00073D09">
        <w:rPr>
          <w:i/>
          <w:iCs/>
          <w:noProof/>
        </w:rPr>
        <w:t>13</w:t>
      </w:r>
      <w:r w:rsidRPr="00073D09">
        <w:rPr>
          <w:noProof/>
        </w:rPr>
        <w:t>(24), 55. https://doi.org/10.22490/24629448.1717</w:t>
      </w:r>
    </w:p>
    <w:p w14:paraId="7B12FDF8" w14:textId="77777777" w:rsidR="00AB13C5" w:rsidRPr="00073D09" w:rsidRDefault="00AB13C5" w:rsidP="00D62000">
      <w:pPr>
        <w:widowControl w:val="0"/>
        <w:autoSpaceDE w:val="0"/>
        <w:autoSpaceDN w:val="0"/>
        <w:adjustRightInd w:val="0"/>
        <w:spacing w:after="0"/>
        <w:ind w:left="480" w:hanging="480"/>
        <w:jc w:val="both"/>
        <w:rPr>
          <w:noProof/>
        </w:rPr>
      </w:pPr>
    </w:p>
    <w:p w14:paraId="26DBA0C3" w14:textId="22A61014" w:rsidR="007C1B58" w:rsidRDefault="007C1B58" w:rsidP="00D62000">
      <w:pPr>
        <w:widowControl w:val="0"/>
        <w:autoSpaceDE w:val="0"/>
        <w:autoSpaceDN w:val="0"/>
        <w:adjustRightInd w:val="0"/>
        <w:spacing w:after="0"/>
        <w:ind w:left="480" w:hanging="480"/>
        <w:jc w:val="both"/>
        <w:rPr>
          <w:noProof/>
        </w:rPr>
      </w:pPr>
      <w:r w:rsidRPr="00073D09">
        <w:rPr>
          <w:noProof/>
        </w:rPr>
        <w:t xml:space="preserve">Decreto 298. (2016). </w:t>
      </w:r>
      <w:r w:rsidRPr="00073D09">
        <w:rPr>
          <w:i/>
          <w:iCs/>
          <w:noProof/>
        </w:rPr>
        <w:t>“Por el cual se establece la organización y funcionamiento del Sistema Nacional de Cambio Climático y se dictan otras disposiciones.”</w:t>
      </w:r>
      <w:r w:rsidRPr="00073D09">
        <w:rPr>
          <w:noProof/>
        </w:rPr>
        <w:t xml:space="preserve"> http://es.presidencia.gov.co/normativa/normativa/DECRETO 298 DEL 24 DE FEBRERO DE 2016.pdf</w:t>
      </w:r>
    </w:p>
    <w:p w14:paraId="57C381D7" w14:textId="77777777" w:rsidR="00AB13C5" w:rsidRPr="00073D09" w:rsidRDefault="00AB13C5" w:rsidP="00D62000">
      <w:pPr>
        <w:widowControl w:val="0"/>
        <w:autoSpaceDE w:val="0"/>
        <w:autoSpaceDN w:val="0"/>
        <w:adjustRightInd w:val="0"/>
        <w:spacing w:after="0"/>
        <w:ind w:left="480" w:hanging="480"/>
        <w:jc w:val="both"/>
        <w:rPr>
          <w:noProof/>
        </w:rPr>
      </w:pPr>
    </w:p>
    <w:p w14:paraId="52B31887" w14:textId="443A370B" w:rsidR="007C1B58" w:rsidRDefault="007C1B58" w:rsidP="00D62000">
      <w:pPr>
        <w:widowControl w:val="0"/>
        <w:autoSpaceDE w:val="0"/>
        <w:autoSpaceDN w:val="0"/>
        <w:adjustRightInd w:val="0"/>
        <w:spacing w:after="0"/>
        <w:ind w:left="480" w:hanging="480"/>
        <w:jc w:val="both"/>
        <w:rPr>
          <w:noProof/>
        </w:rPr>
      </w:pPr>
      <w:r w:rsidRPr="00073D09">
        <w:rPr>
          <w:noProof/>
        </w:rPr>
        <w:t>Gobierno de España. (</w:t>
      </w:r>
      <w:r w:rsidR="00EC346A">
        <w:rPr>
          <w:noProof/>
        </w:rPr>
        <w:t>s</w:t>
      </w:r>
      <w:r w:rsidRPr="00073D09">
        <w:rPr>
          <w:noProof/>
        </w:rPr>
        <w:t>.</w:t>
      </w:r>
      <w:r w:rsidR="00EC346A">
        <w:rPr>
          <w:noProof/>
        </w:rPr>
        <w:t xml:space="preserve"> f.</w:t>
      </w:r>
      <w:r w:rsidRPr="00073D09">
        <w:rPr>
          <w:noProof/>
        </w:rPr>
        <w:t xml:space="preserve">). </w:t>
      </w:r>
      <w:r w:rsidRPr="00073D09">
        <w:rPr>
          <w:i/>
          <w:iCs/>
          <w:noProof/>
        </w:rPr>
        <w:t>Miteco. (Ministerio para la transición ecológica)</w:t>
      </w:r>
      <w:r w:rsidRPr="00073D09">
        <w:rPr>
          <w:noProof/>
        </w:rPr>
        <w:t>. https://www.miteco.gob.es/es/cambio-climatico/temas/mitigacion-politicas-y-medidas/gestion-residuos.aspx</w:t>
      </w:r>
    </w:p>
    <w:p w14:paraId="2C51835E" w14:textId="77777777" w:rsidR="00AB13C5" w:rsidRPr="00073D09" w:rsidRDefault="00AB13C5" w:rsidP="00D62000">
      <w:pPr>
        <w:widowControl w:val="0"/>
        <w:autoSpaceDE w:val="0"/>
        <w:autoSpaceDN w:val="0"/>
        <w:adjustRightInd w:val="0"/>
        <w:spacing w:after="0"/>
        <w:ind w:left="480" w:hanging="480"/>
        <w:jc w:val="both"/>
        <w:rPr>
          <w:noProof/>
        </w:rPr>
      </w:pPr>
    </w:p>
    <w:p w14:paraId="3BC0DC05" w14:textId="661B3263" w:rsidR="007C1B58" w:rsidRDefault="007C1B58" w:rsidP="00D62000">
      <w:pPr>
        <w:widowControl w:val="0"/>
        <w:autoSpaceDE w:val="0"/>
        <w:autoSpaceDN w:val="0"/>
        <w:adjustRightInd w:val="0"/>
        <w:spacing w:after="0"/>
        <w:ind w:left="480" w:hanging="480"/>
        <w:jc w:val="both"/>
        <w:rPr>
          <w:noProof/>
        </w:rPr>
      </w:pPr>
      <w:r w:rsidRPr="00073D09">
        <w:rPr>
          <w:noProof/>
        </w:rPr>
        <w:t xml:space="preserve">Gómez, A. H., Robles, R. R., &amp; Calderon, F. V. S. (2013). Cambios en el uso del suelo asociados a la expansión urbana y la planeación en el corregimiento de Pasquilla, zona rural de Bogotá (Colombia). </w:t>
      </w:r>
      <w:r w:rsidRPr="00073D09">
        <w:rPr>
          <w:i/>
          <w:iCs/>
          <w:noProof/>
        </w:rPr>
        <w:t>Cuadernos de Geografía: Revista Colombiana de Geografía</w:t>
      </w:r>
      <w:r w:rsidRPr="00073D09">
        <w:rPr>
          <w:noProof/>
        </w:rPr>
        <w:t xml:space="preserve">, </w:t>
      </w:r>
      <w:r w:rsidRPr="00073D09">
        <w:rPr>
          <w:i/>
          <w:iCs/>
          <w:noProof/>
        </w:rPr>
        <w:t>22</w:t>
      </w:r>
      <w:r w:rsidRPr="00073D09">
        <w:rPr>
          <w:noProof/>
        </w:rPr>
        <w:t>(2), 257–271.</w:t>
      </w:r>
      <w:r w:rsidR="005F7307">
        <w:rPr>
          <w:noProof/>
        </w:rPr>
        <w:t xml:space="preserve"> </w:t>
      </w:r>
      <w:hyperlink r:id="rId16" w:tgtFrame="_blank" w:history="1">
        <w:r w:rsidR="005F7307" w:rsidRPr="00CD1E6D">
          <w:rPr>
            <w:rStyle w:val="Hipervnculo"/>
          </w:rPr>
          <w:t>https://doi.org/10.15446/rcdg.v22n2.37024</w:t>
        </w:r>
      </w:hyperlink>
    </w:p>
    <w:p w14:paraId="27C27C64" w14:textId="77777777" w:rsidR="00AB13C5" w:rsidRPr="00073D09" w:rsidRDefault="00AB13C5" w:rsidP="00D62000">
      <w:pPr>
        <w:widowControl w:val="0"/>
        <w:autoSpaceDE w:val="0"/>
        <w:autoSpaceDN w:val="0"/>
        <w:adjustRightInd w:val="0"/>
        <w:spacing w:after="0"/>
        <w:ind w:left="480" w:hanging="480"/>
        <w:jc w:val="both"/>
        <w:rPr>
          <w:noProof/>
        </w:rPr>
      </w:pPr>
    </w:p>
    <w:p w14:paraId="70C571A6" w14:textId="00C4DCC1" w:rsidR="007C1B58" w:rsidRDefault="007C1B58" w:rsidP="00D62000">
      <w:pPr>
        <w:widowControl w:val="0"/>
        <w:autoSpaceDE w:val="0"/>
        <w:autoSpaceDN w:val="0"/>
        <w:adjustRightInd w:val="0"/>
        <w:spacing w:after="0"/>
        <w:ind w:left="480" w:hanging="480"/>
        <w:jc w:val="both"/>
        <w:rPr>
          <w:noProof/>
        </w:rPr>
      </w:pPr>
      <w:r w:rsidRPr="00073D09">
        <w:rPr>
          <w:noProof/>
        </w:rPr>
        <w:t xml:space="preserve">Hincapie, R. A. (2018). </w:t>
      </w:r>
      <w:r w:rsidRPr="00073D09">
        <w:rPr>
          <w:i/>
          <w:iCs/>
          <w:noProof/>
        </w:rPr>
        <w:t xml:space="preserve">Análisis multitemporal de imágenes landsat para identificar áreas habitadas afectadas por la zona de influencia del </w:t>
      </w:r>
      <w:r w:rsidR="001D1F69" w:rsidRPr="00073D09">
        <w:rPr>
          <w:i/>
          <w:iCs/>
          <w:noProof/>
        </w:rPr>
        <w:t>relleno sa</w:t>
      </w:r>
      <w:r w:rsidRPr="00073D09">
        <w:rPr>
          <w:i/>
          <w:iCs/>
          <w:noProof/>
        </w:rPr>
        <w:t>nitario Doña Juana (RSDJ), Bogotá DC, Colombia</w:t>
      </w:r>
      <w:r w:rsidRPr="00073D09">
        <w:rPr>
          <w:noProof/>
        </w:rPr>
        <w:t>.</w:t>
      </w:r>
    </w:p>
    <w:p w14:paraId="66532761" w14:textId="77777777" w:rsidR="00AB13C5" w:rsidRPr="00073D09" w:rsidRDefault="00AB13C5" w:rsidP="00D62000">
      <w:pPr>
        <w:widowControl w:val="0"/>
        <w:autoSpaceDE w:val="0"/>
        <w:autoSpaceDN w:val="0"/>
        <w:adjustRightInd w:val="0"/>
        <w:spacing w:after="0"/>
        <w:ind w:left="480" w:hanging="480"/>
        <w:jc w:val="both"/>
        <w:rPr>
          <w:noProof/>
        </w:rPr>
      </w:pPr>
    </w:p>
    <w:p w14:paraId="61A5D23B" w14:textId="1F1A9C2B" w:rsidR="007C1B58" w:rsidRDefault="007C1B58" w:rsidP="00D62000">
      <w:pPr>
        <w:widowControl w:val="0"/>
        <w:autoSpaceDE w:val="0"/>
        <w:autoSpaceDN w:val="0"/>
        <w:adjustRightInd w:val="0"/>
        <w:spacing w:after="0"/>
        <w:ind w:left="480" w:hanging="480"/>
        <w:jc w:val="both"/>
        <w:rPr>
          <w:noProof/>
        </w:rPr>
      </w:pPr>
      <w:r w:rsidRPr="00073D09">
        <w:rPr>
          <w:noProof/>
        </w:rPr>
        <w:t xml:space="preserve">IDEAM, &amp; PNUD. (2017). </w:t>
      </w:r>
      <w:r w:rsidRPr="00073D09">
        <w:rPr>
          <w:i/>
          <w:iCs/>
          <w:noProof/>
        </w:rPr>
        <w:t>TERCERA COMUNICACIÓN NACIONAL DE COLOMBIA RESUMEN EJECUTIVO</w:t>
      </w:r>
      <w:r w:rsidRPr="00073D09">
        <w:rPr>
          <w:noProof/>
        </w:rPr>
        <w:t>. https://www4.unfccc.int/sites/SubmissionsStaging/NationalReports/Documents/4617350_Colombia-NC3-1-RESUMEN EJECUTIVO TCNCC COLOMBIA A LA CMNUCC 2017.pdf</w:t>
      </w:r>
    </w:p>
    <w:p w14:paraId="5AE5CE9F" w14:textId="77777777" w:rsidR="00AB13C5" w:rsidRPr="00073D09" w:rsidRDefault="00AB13C5" w:rsidP="00D62000">
      <w:pPr>
        <w:widowControl w:val="0"/>
        <w:autoSpaceDE w:val="0"/>
        <w:autoSpaceDN w:val="0"/>
        <w:adjustRightInd w:val="0"/>
        <w:spacing w:after="0"/>
        <w:ind w:left="480" w:hanging="480"/>
        <w:jc w:val="both"/>
        <w:rPr>
          <w:noProof/>
        </w:rPr>
      </w:pPr>
    </w:p>
    <w:p w14:paraId="317F150D" w14:textId="3D34A206" w:rsidR="007C1B58" w:rsidRDefault="007C1B58" w:rsidP="00D62000">
      <w:pPr>
        <w:widowControl w:val="0"/>
        <w:autoSpaceDE w:val="0"/>
        <w:autoSpaceDN w:val="0"/>
        <w:adjustRightInd w:val="0"/>
        <w:spacing w:after="0"/>
        <w:ind w:left="480" w:hanging="480"/>
        <w:jc w:val="both"/>
        <w:rPr>
          <w:noProof/>
        </w:rPr>
      </w:pPr>
      <w:r w:rsidRPr="00073D09">
        <w:rPr>
          <w:noProof/>
        </w:rPr>
        <w:t xml:space="preserve">Jaramillo, J. (2002). Guía para el diseño, construcción y operación de rellenos sanitarios manuales. </w:t>
      </w:r>
      <w:r w:rsidRPr="00073D09">
        <w:rPr>
          <w:i/>
          <w:iCs/>
          <w:noProof/>
        </w:rPr>
        <w:t xml:space="preserve">Centro Panamericano de Ingeniería Sanitaria y Ciencias </w:t>
      </w:r>
      <w:r w:rsidR="0068763D">
        <w:rPr>
          <w:i/>
          <w:iCs/>
          <w:noProof/>
        </w:rPr>
        <w:t>d</w:t>
      </w:r>
      <w:r w:rsidRPr="00073D09">
        <w:rPr>
          <w:i/>
          <w:iCs/>
          <w:noProof/>
        </w:rPr>
        <w:t>el Ambiente</w:t>
      </w:r>
      <w:r w:rsidRPr="00073D09">
        <w:rPr>
          <w:noProof/>
        </w:rPr>
        <w:t>, 19–24.</w:t>
      </w:r>
    </w:p>
    <w:p w14:paraId="2738881D" w14:textId="77777777" w:rsidR="00AB13C5" w:rsidRPr="00073D09" w:rsidRDefault="00AB13C5" w:rsidP="00D62000">
      <w:pPr>
        <w:widowControl w:val="0"/>
        <w:autoSpaceDE w:val="0"/>
        <w:autoSpaceDN w:val="0"/>
        <w:adjustRightInd w:val="0"/>
        <w:spacing w:after="0"/>
        <w:ind w:left="480" w:hanging="480"/>
        <w:jc w:val="both"/>
        <w:rPr>
          <w:noProof/>
        </w:rPr>
      </w:pPr>
    </w:p>
    <w:p w14:paraId="7357519C" w14:textId="0CB5BFFC" w:rsidR="007C1B58" w:rsidRDefault="007C1B58" w:rsidP="00D62000">
      <w:pPr>
        <w:widowControl w:val="0"/>
        <w:autoSpaceDE w:val="0"/>
        <w:autoSpaceDN w:val="0"/>
        <w:adjustRightInd w:val="0"/>
        <w:spacing w:after="0"/>
        <w:ind w:left="480" w:hanging="480"/>
        <w:jc w:val="both"/>
        <w:rPr>
          <w:noProof/>
        </w:rPr>
      </w:pPr>
      <w:r w:rsidRPr="00073D09">
        <w:rPr>
          <w:noProof/>
        </w:rPr>
        <w:t xml:space="preserve">Noguera, K., Olivero, J. (2010). Los rellenos sanitarios en Latinoamérica: </w:t>
      </w:r>
      <w:r w:rsidR="00FC4DA0" w:rsidRPr="00073D09">
        <w:rPr>
          <w:noProof/>
        </w:rPr>
        <w:t>C</w:t>
      </w:r>
      <w:r w:rsidRPr="00073D09">
        <w:rPr>
          <w:noProof/>
        </w:rPr>
        <w:t xml:space="preserve">aso colombiano. </w:t>
      </w:r>
      <w:r w:rsidRPr="00073D09">
        <w:rPr>
          <w:i/>
          <w:iCs/>
          <w:noProof/>
        </w:rPr>
        <w:t>Revista de La Academia Colombiana de Ciencias Exactas, Físicas y Naturales</w:t>
      </w:r>
      <w:r w:rsidRPr="00073D09">
        <w:rPr>
          <w:noProof/>
        </w:rPr>
        <w:t xml:space="preserve">, </w:t>
      </w:r>
      <w:r w:rsidRPr="00073D09">
        <w:rPr>
          <w:i/>
          <w:iCs/>
          <w:noProof/>
        </w:rPr>
        <w:t>34</w:t>
      </w:r>
      <w:r w:rsidRPr="00073D09">
        <w:rPr>
          <w:noProof/>
        </w:rPr>
        <w:t>(132), 347–356.</w:t>
      </w:r>
    </w:p>
    <w:p w14:paraId="79F94FEE" w14:textId="77777777" w:rsidR="00AB13C5" w:rsidRPr="00073D09" w:rsidRDefault="00AB13C5" w:rsidP="00D62000">
      <w:pPr>
        <w:widowControl w:val="0"/>
        <w:autoSpaceDE w:val="0"/>
        <w:autoSpaceDN w:val="0"/>
        <w:adjustRightInd w:val="0"/>
        <w:spacing w:after="0"/>
        <w:ind w:left="480" w:hanging="480"/>
        <w:jc w:val="both"/>
        <w:rPr>
          <w:noProof/>
        </w:rPr>
      </w:pPr>
    </w:p>
    <w:p w14:paraId="77E2CF38" w14:textId="24EAFC88" w:rsidR="007C1B58" w:rsidRDefault="007C1B58" w:rsidP="00D62000">
      <w:pPr>
        <w:widowControl w:val="0"/>
        <w:autoSpaceDE w:val="0"/>
        <w:autoSpaceDN w:val="0"/>
        <w:adjustRightInd w:val="0"/>
        <w:spacing w:after="0"/>
        <w:ind w:left="480" w:hanging="480"/>
        <w:jc w:val="both"/>
        <w:rPr>
          <w:noProof/>
        </w:rPr>
      </w:pPr>
      <w:r w:rsidRPr="00073D09">
        <w:rPr>
          <w:noProof/>
        </w:rPr>
        <w:t xml:space="preserve">Observatorio de </w:t>
      </w:r>
      <w:r w:rsidR="00A75449" w:rsidRPr="00073D09">
        <w:rPr>
          <w:noProof/>
        </w:rPr>
        <w:t>Salud Ambiental</w:t>
      </w:r>
      <w:r w:rsidRPr="00073D09">
        <w:rPr>
          <w:noProof/>
        </w:rPr>
        <w:t xml:space="preserve">. (2015). </w:t>
      </w:r>
      <w:r w:rsidRPr="00073D09">
        <w:rPr>
          <w:i/>
          <w:iCs/>
          <w:noProof/>
        </w:rPr>
        <w:t xml:space="preserve">Relleno </w:t>
      </w:r>
      <w:r w:rsidR="00FC4DA0" w:rsidRPr="00073D09">
        <w:rPr>
          <w:i/>
          <w:iCs/>
          <w:noProof/>
        </w:rPr>
        <w:t>s</w:t>
      </w:r>
      <w:r w:rsidRPr="00073D09">
        <w:rPr>
          <w:i/>
          <w:iCs/>
          <w:noProof/>
        </w:rPr>
        <w:t>anitario Doña Juana, Observatorio de Salud Ambiental</w:t>
      </w:r>
      <w:r w:rsidRPr="00073D09">
        <w:rPr>
          <w:noProof/>
        </w:rPr>
        <w:t>.</w:t>
      </w:r>
    </w:p>
    <w:p w14:paraId="7678FEA9" w14:textId="77777777" w:rsidR="00AB13C5" w:rsidRPr="00073D09" w:rsidRDefault="00AB13C5" w:rsidP="00D62000">
      <w:pPr>
        <w:widowControl w:val="0"/>
        <w:autoSpaceDE w:val="0"/>
        <w:autoSpaceDN w:val="0"/>
        <w:adjustRightInd w:val="0"/>
        <w:spacing w:after="0"/>
        <w:ind w:left="480" w:hanging="480"/>
        <w:jc w:val="both"/>
        <w:rPr>
          <w:noProof/>
        </w:rPr>
      </w:pPr>
    </w:p>
    <w:p w14:paraId="533499CB" w14:textId="776F9023" w:rsidR="007C1B58" w:rsidRDefault="007C1B58" w:rsidP="00D62000">
      <w:pPr>
        <w:widowControl w:val="0"/>
        <w:autoSpaceDE w:val="0"/>
        <w:autoSpaceDN w:val="0"/>
        <w:adjustRightInd w:val="0"/>
        <w:spacing w:after="0"/>
        <w:ind w:left="480" w:hanging="480"/>
        <w:jc w:val="both"/>
        <w:rPr>
          <w:noProof/>
        </w:rPr>
      </w:pPr>
      <w:r w:rsidRPr="00073D09">
        <w:rPr>
          <w:noProof/>
        </w:rPr>
        <w:t>Pinzón</w:t>
      </w:r>
      <w:r w:rsidR="00A75449">
        <w:rPr>
          <w:noProof/>
        </w:rPr>
        <w:t>,</w:t>
      </w:r>
      <w:r w:rsidRPr="00073D09">
        <w:rPr>
          <w:noProof/>
        </w:rPr>
        <w:t xml:space="preserve"> L. F. (2009). </w:t>
      </w:r>
      <w:r w:rsidRPr="00073D09">
        <w:rPr>
          <w:i/>
          <w:iCs/>
          <w:noProof/>
        </w:rPr>
        <w:t xml:space="preserve">Influencia de los </w:t>
      </w:r>
      <w:r w:rsidR="006B1460">
        <w:rPr>
          <w:i/>
          <w:iCs/>
          <w:noProof/>
        </w:rPr>
        <w:t>r</w:t>
      </w:r>
      <w:r w:rsidRPr="00073D09">
        <w:rPr>
          <w:i/>
          <w:iCs/>
          <w:noProof/>
        </w:rPr>
        <w:t xml:space="preserve">ellenos </w:t>
      </w:r>
      <w:r w:rsidR="006B1460">
        <w:rPr>
          <w:i/>
          <w:iCs/>
          <w:noProof/>
        </w:rPr>
        <w:t>s</w:t>
      </w:r>
      <w:r w:rsidRPr="00073D09">
        <w:rPr>
          <w:i/>
          <w:iCs/>
          <w:noProof/>
        </w:rPr>
        <w:t xml:space="preserve">anitarios en el </w:t>
      </w:r>
      <w:r w:rsidR="006B1460">
        <w:rPr>
          <w:i/>
          <w:iCs/>
          <w:noProof/>
        </w:rPr>
        <w:t>c</w:t>
      </w:r>
      <w:r w:rsidRPr="00073D09">
        <w:rPr>
          <w:i/>
          <w:iCs/>
          <w:noProof/>
        </w:rPr>
        <w:t xml:space="preserve">ambio </w:t>
      </w:r>
      <w:r w:rsidR="006B1460">
        <w:rPr>
          <w:i/>
          <w:iCs/>
          <w:noProof/>
        </w:rPr>
        <w:t>c</w:t>
      </w:r>
      <w:r w:rsidRPr="00073D09">
        <w:rPr>
          <w:i/>
          <w:iCs/>
          <w:noProof/>
        </w:rPr>
        <w:t>limatico</w:t>
      </w:r>
      <w:r w:rsidRPr="00073D09">
        <w:rPr>
          <w:noProof/>
        </w:rPr>
        <w:t>. https://www.researchgate.net/publication/334000986</w:t>
      </w:r>
    </w:p>
    <w:p w14:paraId="040107A9" w14:textId="77777777" w:rsidR="00AB13C5" w:rsidRPr="00073D09" w:rsidRDefault="00AB13C5" w:rsidP="00D62000">
      <w:pPr>
        <w:widowControl w:val="0"/>
        <w:autoSpaceDE w:val="0"/>
        <w:autoSpaceDN w:val="0"/>
        <w:adjustRightInd w:val="0"/>
        <w:spacing w:after="0"/>
        <w:ind w:left="480" w:hanging="480"/>
        <w:jc w:val="both"/>
        <w:rPr>
          <w:noProof/>
        </w:rPr>
      </w:pPr>
    </w:p>
    <w:p w14:paraId="23FCE3BA" w14:textId="0FA0996D" w:rsidR="007C1B58" w:rsidRDefault="007C1B58" w:rsidP="00D62000">
      <w:pPr>
        <w:widowControl w:val="0"/>
        <w:autoSpaceDE w:val="0"/>
        <w:autoSpaceDN w:val="0"/>
        <w:adjustRightInd w:val="0"/>
        <w:spacing w:after="0"/>
        <w:ind w:left="480" w:hanging="480"/>
        <w:jc w:val="both"/>
        <w:rPr>
          <w:noProof/>
        </w:rPr>
      </w:pPr>
      <w:r w:rsidRPr="00073D09">
        <w:rPr>
          <w:noProof/>
        </w:rPr>
        <w:t xml:space="preserve">Resolución Defensorial No. 61. (2010). </w:t>
      </w:r>
      <w:r w:rsidRPr="00073D09">
        <w:rPr>
          <w:i/>
          <w:iCs/>
          <w:noProof/>
        </w:rPr>
        <w:t xml:space="preserve">Situación actual del aprovechamiento de los residuos sólidos y la disposición final en el </w:t>
      </w:r>
      <w:r w:rsidR="006B1460" w:rsidRPr="00073D09">
        <w:rPr>
          <w:i/>
          <w:iCs/>
          <w:noProof/>
        </w:rPr>
        <w:t>relleno sani</w:t>
      </w:r>
      <w:r w:rsidRPr="00073D09">
        <w:rPr>
          <w:i/>
          <w:iCs/>
          <w:noProof/>
        </w:rPr>
        <w:t>tario Doña Juana en la ciudad de Bogotá DC</w:t>
      </w:r>
      <w:r w:rsidRPr="00073D09">
        <w:rPr>
          <w:noProof/>
        </w:rPr>
        <w:t xml:space="preserve">. </w:t>
      </w:r>
      <w:r w:rsidRPr="00073D09">
        <w:rPr>
          <w:noProof/>
        </w:rPr>
        <w:lastRenderedPageBreak/>
        <w:t>Bogotá.</w:t>
      </w:r>
    </w:p>
    <w:p w14:paraId="3ACDE15A" w14:textId="77777777" w:rsidR="00AB13C5" w:rsidRPr="00073D09" w:rsidRDefault="00AB13C5" w:rsidP="00D62000">
      <w:pPr>
        <w:widowControl w:val="0"/>
        <w:autoSpaceDE w:val="0"/>
        <w:autoSpaceDN w:val="0"/>
        <w:adjustRightInd w:val="0"/>
        <w:spacing w:after="0"/>
        <w:ind w:left="480" w:hanging="480"/>
        <w:jc w:val="both"/>
        <w:rPr>
          <w:noProof/>
        </w:rPr>
      </w:pPr>
    </w:p>
    <w:p w14:paraId="37B92E63" w14:textId="074B05FA" w:rsidR="007C1B58" w:rsidRDefault="007C1B58" w:rsidP="00D62000">
      <w:pPr>
        <w:widowControl w:val="0"/>
        <w:autoSpaceDE w:val="0"/>
        <w:autoSpaceDN w:val="0"/>
        <w:adjustRightInd w:val="0"/>
        <w:spacing w:after="0"/>
        <w:ind w:left="480" w:hanging="480"/>
        <w:jc w:val="both"/>
        <w:rPr>
          <w:noProof/>
        </w:rPr>
      </w:pPr>
      <w:r w:rsidRPr="00073D09">
        <w:rPr>
          <w:noProof/>
        </w:rPr>
        <w:t xml:space="preserve">Resolución No. 1484. (2018). </w:t>
      </w:r>
      <w:r w:rsidRPr="00073D09">
        <w:rPr>
          <w:i/>
          <w:iCs/>
          <w:noProof/>
        </w:rPr>
        <w:t>Por el cual se asume la competencia del proyecto “Relleno sanitario Doña Juana” y se toman otras determinaciones</w:t>
      </w:r>
      <w:r w:rsidRPr="00073D09">
        <w:rPr>
          <w:noProof/>
        </w:rPr>
        <w:t>. https://www.minambiente.gov.co/images/normativa/app/resoluciones/a4-RES 1484 DE 2018.pdf</w:t>
      </w:r>
    </w:p>
    <w:p w14:paraId="6430F7D9" w14:textId="77777777" w:rsidR="00AB13C5" w:rsidRPr="00073D09" w:rsidRDefault="00AB13C5" w:rsidP="00D62000">
      <w:pPr>
        <w:widowControl w:val="0"/>
        <w:autoSpaceDE w:val="0"/>
        <w:autoSpaceDN w:val="0"/>
        <w:adjustRightInd w:val="0"/>
        <w:spacing w:after="0"/>
        <w:ind w:left="480" w:hanging="480"/>
        <w:jc w:val="both"/>
        <w:rPr>
          <w:noProof/>
        </w:rPr>
      </w:pPr>
    </w:p>
    <w:p w14:paraId="5635614F" w14:textId="0820498D" w:rsidR="007C1B58" w:rsidRPr="008F73E9" w:rsidRDefault="007C1B58" w:rsidP="00D62000">
      <w:pPr>
        <w:widowControl w:val="0"/>
        <w:autoSpaceDE w:val="0"/>
        <w:autoSpaceDN w:val="0"/>
        <w:adjustRightInd w:val="0"/>
        <w:spacing w:after="0"/>
        <w:ind w:left="480" w:hanging="480"/>
        <w:jc w:val="both"/>
        <w:rPr>
          <w:noProof/>
          <w:lang w:val="es-CR"/>
        </w:rPr>
      </w:pPr>
      <w:r w:rsidRPr="00073D09">
        <w:rPr>
          <w:noProof/>
        </w:rPr>
        <w:t xml:space="preserve">Sáez, A., Urdaneta, J. A. (2014). Manejo de residuos sólidos en América Latina y el Caribe. </w:t>
      </w:r>
      <w:r w:rsidRPr="008F73E9">
        <w:rPr>
          <w:i/>
          <w:iCs/>
          <w:noProof/>
          <w:lang w:val="es-CR"/>
        </w:rPr>
        <w:t>Omnia</w:t>
      </w:r>
      <w:r w:rsidR="00BA38AA" w:rsidRPr="008F73E9">
        <w:rPr>
          <w:i/>
          <w:iCs/>
          <w:noProof/>
          <w:lang w:val="es-CR"/>
        </w:rPr>
        <w:t xml:space="preserve">, </w:t>
      </w:r>
      <w:r w:rsidRPr="008F73E9">
        <w:rPr>
          <w:noProof/>
          <w:lang w:val="es-CR"/>
        </w:rPr>
        <w:t>20</w:t>
      </w:r>
      <w:r w:rsidR="00BA38AA" w:rsidRPr="008F73E9">
        <w:rPr>
          <w:noProof/>
          <w:lang w:val="es-CR"/>
        </w:rPr>
        <w:t>(</w:t>
      </w:r>
      <w:r w:rsidRPr="008F73E9">
        <w:rPr>
          <w:noProof/>
          <w:lang w:val="es-CR"/>
        </w:rPr>
        <w:t>3)</w:t>
      </w:r>
      <w:r w:rsidR="00BA38AA" w:rsidRPr="008F73E9">
        <w:rPr>
          <w:noProof/>
          <w:lang w:val="es-CR"/>
        </w:rPr>
        <w:t>,</w:t>
      </w:r>
      <w:r w:rsidR="00B450AA" w:rsidRPr="008F73E9">
        <w:rPr>
          <w:noProof/>
          <w:lang w:val="es-CR"/>
        </w:rPr>
        <w:t xml:space="preserve"> 121-135.</w:t>
      </w:r>
      <w:r w:rsidRPr="008F73E9">
        <w:rPr>
          <w:noProof/>
          <w:lang w:val="es-CR"/>
        </w:rPr>
        <w:t xml:space="preserve"> https://www.redalyc.org/pdf/737/73737091009.pdf</w:t>
      </w:r>
    </w:p>
    <w:p w14:paraId="52DDF093" w14:textId="77777777" w:rsidR="00AB13C5" w:rsidRPr="008F73E9" w:rsidRDefault="00AB13C5" w:rsidP="00D62000">
      <w:pPr>
        <w:widowControl w:val="0"/>
        <w:autoSpaceDE w:val="0"/>
        <w:autoSpaceDN w:val="0"/>
        <w:adjustRightInd w:val="0"/>
        <w:spacing w:after="0"/>
        <w:ind w:left="480" w:hanging="480"/>
        <w:jc w:val="both"/>
        <w:rPr>
          <w:noProof/>
          <w:lang w:val="es-CR"/>
        </w:rPr>
      </w:pPr>
    </w:p>
    <w:p w14:paraId="58E2E944" w14:textId="27631AC2" w:rsidR="007C1B58" w:rsidRDefault="007C1B58" w:rsidP="00D62000">
      <w:pPr>
        <w:widowControl w:val="0"/>
        <w:autoSpaceDE w:val="0"/>
        <w:autoSpaceDN w:val="0"/>
        <w:adjustRightInd w:val="0"/>
        <w:spacing w:after="0"/>
        <w:ind w:left="480" w:hanging="480"/>
        <w:jc w:val="both"/>
        <w:rPr>
          <w:noProof/>
        </w:rPr>
      </w:pPr>
      <w:r w:rsidRPr="00073D09">
        <w:rPr>
          <w:noProof/>
        </w:rPr>
        <w:t xml:space="preserve">Superintendencia de servicios públicos domiciliarios Bogotá DC. (2017). </w:t>
      </w:r>
      <w:r w:rsidRPr="00073D09">
        <w:rPr>
          <w:i/>
          <w:iCs/>
          <w:noProof/>
        </w:rPr>
        <w:t>Evaluación integral de prestadores centro de gerenciamiento de residuos doña juana S.A. E.S.P.</w:t>
      </w:r>
      <w:r w:rsidRPr="00073D09">
        <w:rPr>
          <w:noProof/>
        </w:rPr>
        <w:t xml:space="preserve"> https://www.superservicios.gov.co/sites/default/archivos/Acueducto%2C alcantarillado y aseo/Aseo/2018/Sep/evaluacionintegral2017-centrodegerenciamientoderesiduosdonajuanas.a.e.s.p.pdf</w:t>
      </w:r>
    </w:p>
    <w:p w14:paraId="200658C6" w14:textId="77777777" w:rsidR="00AB13C5" w:rsidRPr="00073D09" w:rsidRDefault="00AB13C5" w:rsidP="00D62000">
      <w:pPr>
        <w:widowControl w:val="0"/>
        <w:autoSpaceDE w:val="0"/>
        <w:autoSpaceDN w:val="0"/>
        <w:adjustRightInd w:val="0"/>
        <w:spacing w:after="0"/>
        <w:ind w:left="480" w:hanging="480"/>
        <w:jc w:val="both"/>
        <w:rPr>
          <w:noProof/>
        </w:rPr>
      </w:pPr>
    </w:p>
    <w:p w14:paraId="141BC02E" w14:textId="38813DD1" w:rsidR="007C1B58" w:rsidRDefault="007C1B58" w:rsidP="00D62000">
      <w:pPr>
        <w:widowControl w:val="0"/>
        <w:autoSpaceDE w:val="0"/>
        <w:autoSpaceDN w:val="0"/>
        <w:adjustRightInd w:val="0"/>
        <w:spacing w:after="0"/>
        <w:ind w:left="480" w:hanging="480"/>
        <w:jc w:val="both"/>
        <w:rPr>
          <w:noProof/>
          <w:lang w:val="en-US"/>
        </w:rPr>
      </w:pPr>
      <w:r w:rsidRPr="00F42B83">
        <w:rPr>
          <w:noProof/>
          <w:lang w:val="en-US"/>
        </w:rPr>
        <w:t>United States Environmental Protection Agency</w:t>
      </w:r>
      <w:r w:rsidR="002D7938">
        <w:rPr>
          <w:noProof/>
          <w:lang w:val="en-US"/>
        </w:rPr>
        <w:t xml:space="preserve"> [U.S. EPA]</w:t>
      </w:r>
      <w:r w:rsidRPr="00F42B83">
        <w:rPr>
          <w:noProof/>
          <w:lang w:val="en-US"/>
        </w:rPr>
        <w:t xml:space="preserve">. (2005). </w:t>
      </w:r>
      <w:r w:rsidRPr="00F42B83">
        <w:rPr>
          <w:i/>
          <w:iCs/>
          <w:noProof/>
          <w:lang w:val="en-US"/>
        </w:rPr>
        <w:t>Landfill Gas Emissions Model (LandGEM) Version 3.02 User’s Guide</w:t>
      </w:r>
      <w:r w:rsidRPr="00F42B83">
        <w:rPr>
          <w:noProof/>
          <w:lang w:val="en-US"/>
        </w:rPr>
        <w:t>.</w:t>
      </w:r>
    </w:p>
    <w:p w14:paraId="418ACB90" w14:textId="77777777" w:rsidR="00AB13C5" w:rsidRPr="00F42B83" w:rsidRDefault="00AB13C5" w:rsidP="00D62000">
      <w:pPr>
        <w:widowControl w:val="0"/>
        <w:autoSpaceDE w:val="0"/>
        <w:autoSpaceDN w:val="0"/>
        <w:adjustRightInd w:val="0"/>
        <w:spacing w:after="0"/>
        <w:ind w:left="480" w:hanging="480"/>
        <w:jc w:val="both"/>
        <w:rPr>
          <w:noProof/>
          <w:lang w:val="en-US"/>
        </w:rPr>
      </w:pPr>
    </w:p>
    <w:p w14:paraId="07A85C76" w14:textId="77777777" w:rsidR="007C1B58" w:rsidRPr="00073D09" w:rsidRDefault="007C1B58" w:rsidP="00D62000">
      <w:pPr>
        <w:widowControl w:val="0"/>
        <w:autoSpaceDE w:val="0"/>
        <w:autoSpaceDN w:val="0"/>
        <w:adjustRightInd w:val="0"/>
        <w:spacing w:after="0"/>
        <w:ind w:left="480" w:hanging="480"/>
        <w:jc w:val="both"/>
        <w:rPr>
          <w:noProof/>
        </w:rPr>
      </w:pPr>
      <w:r w:rsidRPr="00073D09">
        <w:rPr>
          <w:noProof/>
        </w:rPr>
        <w:t xml:space="preserve">Yusuf, R. O., Adeniran, J. A., Sonibare, J. A., &amp; Noor, Z. Z. (2019). </w:t>
      </w:r>
      <w:r w:rsidRPr="00F42B83">
        <w:rPr>
          <w:noProof/>
          <w:lang w:val="en-US"/>
        </w:rPr>
        <w:t xml:space="preserve">Application of the Triangular Model in quantifying landfill gas emission from municipal solid wastes. </w:t>
      </w:r>
      <w:r w:rsidRPr="00073D09">
        <w:rPr>
          <w:i/>
          <w:iCs/>
          <w:noProof/>
        </w:rPr>
        <w:t>Pollution</w:t>
      </w:r>
      <w:r w:rsidRPr="00073D09">
        <w:rPr>
          <w:noProof/>
        </w:rPr>
        <w:t xml:space="preserve">, </w:t>
      </w:r>
      <w:r w:rsidRPr="00073D09">
        <w:rPr>
          <w:i/>
          <w:iCs/>
          <w:noProof/>
        </w:rPr>
        <w:t>5</w:t>
      </w:r>
      <w:r w:rsidRPr="00073D09">
        <w:rPr>
          <w:noProof/>
        </w:rPr>
        <w:t>(1), 71–80.</w:t>
      </w:r>
    </w:p>
    <w:p w14:paraId="42138282" w14:textId="6B9ACE54" w:rsidR="007C1B58" w:rsidRPr="00073D09" w:rsidRDefault="007C1B58" w:rsidP="00D62000">
      <w:pPr>
        <w:spacing w:after="0"/>
        <w:jc w:val="both"/>
        <w:rPr>
          <w:b/>
        </w:rPr>
      </w:pPr>
      <w:r w:rsidRPr="00073D09">
        <w:rPr>
          <w:b/>
        </w:rPr>
        <w:fldChar w:fldCharType="end"/>
      </w:r>
    </w:p>
    <w:p w14:paraId="2A93ED04" w14:textId="77777777" w:rsidR="00821700" w:rsidRPr="00073D09" w:rsidRDefault="00821700" w:rsidP="00D62000">
      <w:pPr>
        <w:spacing w:after="0"/>
        <w:jc w:val="both"/>
        <w:rPr>
          <w:lang w:val="es-CO"/>
        </w:rPr>
      </w:pPr>
    </w:p>
    <w:sectPr w:rsidR="00821700" w:rsidRPr="00073D09" w:rsidSect="006C1A6C">
      <w:headerReference w:type="default" r:id="rId17"/>
      <w:footerReference w:type="default" r:id="rId1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BD32" w14:textId="77777777" w:rsidR="002370AE" w:rsidRDefault="002370AE" w:rsidP="00113C15">
      <w:pPr>
        <w:spacing w:after="0"/>
      </w:pPr>
      <w:r>
        <w:separator/>
      </w:r>
    </w:p>
  </w:endnote>
  <w:endnote w:type="continuationSeparator" w:id="0">
    <w:p w14:paraId="3AFF8389" w14:textId="77777777" w:rsidR="002370AE" w:rsidRDefault="002370AE" w:rsidP="00113C15">
      <w:pPr>
        <w:spacing w:after="0"/>
      </w:pPr>
      <w:r>
        <w:continuationSeparator/>
      </w:r>
    </w:p>
  </w:endnote>
  <w:endnote w:type="continuationNotice" w:id="1">
    <w:p w14:paraId="1F1EBD6A" w14:textId="77777777" w:rsidR="002370AE" w:rsidRDefault="00237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922C" w14:textId="2989CB77" w:rsidR="003D278E" w:rsidRDefault="003D278E">
    <w:pPr>
      <w:pStyle w:val="Piedepgina"/>
      <w:jc w:val="right"/>
    </w:pPr>
  </w:p>
  <w:p w14:paraId="32802B91" w14:textId="77777777" w:rsidR="003D278E" w:rsidRDefault="003D27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71B0" w14:textId="77777777" w:rsidR="002370AE" w:rsidRDefault="002370AE" w:rsidP="00113C15">
      <w:pPr>
        <w:spacing w:after="0"/>
      </w:pPr>
      <w:r>
        <w:separator/>
      </w:r>
    </w:p>
  </w:footnote>
  <w:footnote w:type="continuationSeparator" w:id="0">
    <w:p w14:paraId="4BB27881" w14:textId="77777777" w:rsidR="002370AE" w:rsidRDefault="002370AE" w:rsidP="00113C15">
      <w:pPr>
        <w:spacing w:after="0"/>
      </w:pPr>
      <w:r>
        <w:continuationSeparator/>
      </w:r>
    </w:p>
  </w:footnote>
  <w:footnote w:type="continuationNotice" w:id="1">
    <w:p w14:paraId="7664B90F" w14:textId="77777777" w:rsidR="002370AE" w:rsidRDefault="002370AE">
      <w:pPr>
        <w:spacing w:after="0"/>
      </w:pPr>
    </w:p>
  </w:footnote>
  <w:footnote w:id="2">
    <w:p w14:paraId="1B1CBDFF" w14:textId="73928AD9" w:rsidR="003D278E" w:rsidRPr="00457738" w:rsidRDefault="003D278E" w:rsidP="00117F12">
      <w:pPr>
        <w:spacing w:after="0"/>
        <w:jc w:val="both"/>
        <w:rPr>
          <w:bCs/>
          <w:sz w:val="22"/>
          <w:szCs w:val="22"/>
        </w:rPr>
      </w:pPr>
      <w:r w:rsidRPr="00457738">
        <w:rPr>
          <w:rStyle w:val="Refdenotaalpie"/>
          <w:sz w:val="22"/>
          <w:szCs w:val="22"/>
        </w:rPr>
        <w:footnoteRef/>
      </w:r>
      <w:r w:rsidRPr="00457738">
        <w:rPr>
          <w:sz w:val="22"/>
          <w:szCs w:val="22"/>
        </w:rPr>
        <w:t xml:space="preserve"> Profesor titular, </w:t>
      </w:r>
      <w:r w:rsidRPr="00457738">
        <w:rPr>
          <w:bCs/>
          <w:sz w:val="22"/>
          <w:szCs w:val="22"/>
        </w:rPr>
        <w:t>núcleo de investigación en ciencias para ingeniería sanitaria</w:t>
      </w:r>
      <w:r w:rsidR="00E0027C" w:rsidRPr="00457738">
        <w:rPr>
          <w:bCs/>
          <w:sz w:val="22"/>
          <w:szCs w:val="22"/>
        </w:rPr>
        <w:t xml:space="preserve"> (</w:t>
      </w:r>
      <w:r w:rsidRPr="00457738">
        <w:rPr>
          <w:bCs/>
          <w:sz w:val="22"/>
          <w:szCs w:val="22"/>
        </w:rPr>
        <w:t>NICIS</w:t>
      </w:r>
      <w:r w:rsidR="00E0027C" w:rsidRPr="00457738">
        <w:rPr>
          <w:bCs/>
          <w:sz w:val="22"/>
          <w:szCs w:val="22"/>
        </w:rPr>
        <w:t>),</w:t>
      </w:r>
      <w:r w:rsidRPr="00457738">
        <w:rPr>
          <w:bCs/>
          <w:sz w:val="22"/>
          <w:szCs w:val="22"/>
        </w:rPr>
        <w:t xml:space="preserve"> Universidad Distrital Francisco José de Caldas. Profesor asociado, Licenciatura en Ciencias Naturales y Educación Ambiental</w:t>
      </w:r>
      <w:r w:rsidR="00BA2BAF" w:rsidRPr="00457738">
        <w:rPr>
          <w:bCs/>
          <w:sz w:val="22"/>
          <w:szCs w:val="22"/>
        </w:rPr>
        <w:t xml:space="preserve">, </w:t>
      </w:r>
      <w:r w:rsidRPr="00457738">
        <w:rPr>
          <w:bCs/>
          <w:sz w:val="22"/>
          <w:szCs w:val="22"/>
        </w:rPr>
        <w:t xml:space="preserve">Universidad Pedagógica Nacional, Colombia; </w:t>
      </w:r>
      <w:hyperlink r:id="rId1" w:history="1">
        <w:r w:rsidR="00BA2BAF" w:rsidRPr="00457738">
          <w:rPr>
            <w:rStyle w:val="Hipervnculo"/>
            <w:bCs/>
            <w:color w:val="auto"/>
            <w:sz w:val="22"/>
            <w:szCs w:val="22"/>
            <w:u w:val="none"/>
          </w:rPr>
          <w:t>jfmartinc@pedagogica.edu.co</w:t>
        </w:r>
      </w:hyperlink>
      <w:r w:rsidR="00BA2BAF" w:rsidRPr="00457738">
        <w:rPr>
          <w:bCs/>
          <w:sz w:val="22"/>
          <w:szCs w:val="22"/>
        </w:rPr>
        <w:t>,</w:t>
      </w:r>
      <w:r w:rsidRPr="00457738">
        <w:rPr>
          <w:bCs/>
          <w:sz w:val="22"/>
          <w:szCs w:val="22"/>
          <w:lang w:val="es-CO"/>
        </w:rPr>
        <w:t xml:space="preserve"> </w:t>
      </w:r>
      <w:hyperlink r:id="rId2" w:history="1">
        <w:r w:rsidR="00BA2BAF" w:rsidRPr="00457738">
          <w:rPr>
            <w:rStyle w:val="Hipervnculo"/>
            <w:bCs/>
            <w:color w:val="auto"/>
            <w:sz w:val="22"/>
            <w:szCs w:val="22"/>
            <w:u w:val="none"/>
            <w:lang w:val="es-CO"/>
          </w:rPr>
          <w:t>https://orcid.org/0000-0002-2390-9677</w:t>
        </w:r>
      </w:hyperlink>
      <w:r w:rsidR="00BA2BAF" w:rsidRPr="00457738">
        <w:rPr>
          <w:rStyle w:val="Hipervnculo"/>
          <w:bCs/>
          <w:color w:val="auto"/>
          <w:sz w:val="22"/>
          <w:szCs w:val="22"/>
          <w:u w:val="none"/>
          <w:lang w:val="es-CO"/>
        </w:rPr>
        <w:t xml:space="preserve"> </w:t>
      </w:r>
      <w:r w:rsidRPr="00457738">
        <w:rPr>
          <w:bCs/>
          <w:sz w:val="22"/>
          <w:szCs w:val="22"/>
          <w:lang w:val="es-CO"/>
        </w:rPr>
        <w:t xml:space="preserve"> </w:t>
      </w:r>
    </w:p>
  </w:footnote>
  <w:footnote w:id="3">
    <w:p w14:paraId="38B19117" w14:textId="5E40A24B" w:rsidR="003D278E" w:rsidRPr="00457738" w:rsidRDefault="003D278E" w:rsidP="00117F12">
      <w:pPr>
        <w:spacing w:after="0"/>
        <w:jc w:val="both"/>
        <w:rPr>
          <w:sz w:val="22"/>
          <w:szCs w:val="22"/>
          <w:lang w:val="es-CO"/>
        </w:rPr>
      </w:pPr>
      <w:bookmarkStart w:id="0" w:name="_Hlk17743397"/>
      <w:bookmarkStart w:id="1" w:name="_Hlk17743336"/>
      <w:r w:rsidRPr="00457738">
        <w:rPr>
          <w:bCs/>
          <w:sz w:val="22"/>
          <w:szCs w:val="22"/>
          <w:vertAlign w:val="superscript"/>
        </w:rPr>
        <w:t>2</w:t>
      </w:r>
      <w:r w:rsidRPr="00457738">
        <w:rPr>
          <w:bCs/>
          <w:sz w:val="22"/>
          <w:szCs w:val="22"/>
        </w:rPr>
        <w:t xml:space="preserve"> </w:t>
      </w:r>
      <w:proofErr w:type="gramStart"/>
      <w:r w:rsidRPr="00457738">
        <w:rPr>
          <w:bCs/>
          <w:sz w:val="22"/>
          <w:szCs w:val="22"/>
        </w:rPr>
        <w:t>Ingeniero</w:t>
      </w:r>
      <w:proofErr w:type="gramEnd"/>
      <w:r w:rsidRPr="00457738">
        <w:rPr>
          <w:bCs/>
          <w:sz w:val="22"/>
          <w:szCs w:val="22"/>
        </w:rPr>
        <w:t xml:space="preserve"> </w:t>
      </w:r>
      <w:r w:rsidR="00BA2BAF" w:rsidRPr="00457738">
        <w:rPr>
          <w:bCs/>
          <w:sz w:val="22"/>
          <w:szCs w:val="22"/>
        </w:rPr>
        <w:t>s</w:t>
      </w:r>
      <w:r w:rsidRPr="00457738">
        <w:rPr>
          <w:bCs/>
          <w:sz w:val="22"/>
          <w:szCs w:val="22"/>
        </w:rPr>
        <w:t>anitario,</w:t>
      </w:r>
      <w:bookmarkStart w:id="2" w:name="_Hlk43044203"/>
      <w:bookmarkStart w:id="3" w:name="_Hlk43044233"/>
      <w:r w:rsidRPr="00457738">
        <w:rPr>
          <w:bCs/>
          <w:sz w:val="22"/>
          <w:szCs w:val="22"/>
        </w:rPr>
        <w:t xml:space="preserve"> </w:t>
      </w:r>
      <w:bookmarkEnd w:id="2"/>
      <w:r w:rsidR="0068763D" w:rsidRPr="00457738">
        <w:rPr>
          <w:bCs/>
          <w:sz w:val="22"/>
          <w:szCs w:val="22"/>
        </w:rPr>
        <w:t xml:space="preserve">núcleo de investigación en ciencias para ingeniería sanitaria (NICIS), </w:t>
      </w:r>
      <w:r w:rsidRPr="00457738">
        <w:rPr>
          <w:bCs/>
          <w:sz w:val="22"/>
          <w:szCs w:val="22"/>
        </w:rPr>
        <w:t xml:space="preserve">Universidad Distrital Francisco José de </w:t>
      </w:r>
      <w:bookmarkEnd w:id="3"/>
      <w:r w:rsidRPr="00457738">
        <w:rPr>
          <w:bCs/>
          <w:sz w:val="22"/>
          <w:szCs w:val="22"/>
        </w:rPr>
        <w:t xml:space="preserve">Caldas, Colombia; </w:t>
      </w:r>
      <w:r w:rsidRPr="00457738">
        <w:rPr>
          <w:sz w:val="22"/>
          <w:szCs w:val="22"/>
        </w:rPr>
        <w:t xml:space="preserve"> </w:t>
      </w:r>
      <w:bookmarkEnd w:id="0"/>
      <w:r w:rsidR="0068763D" w:rsidRPr="00457738">
        <w:rPr>
          <w:sz w:val="22"/>
          <w:szCs w:val="22"/>
          <w:lang w:val="es-CO"/>
        </w:rPr>
        <w:fldChar w:fldCharType="begin"/>
      </w:r>
      <w:r w:rsidR="0068763D" w:rsidRPr="00457738">
        <w:rPr>
          <w:sz w:val="22"/>
          <w:szCs w:val="22"/>
          <w:lang w:val="es-CO"/>
        </w:rPr>
        <w:instrText xml:space="preserve"> HYPERLINK "mailto:juacastanedag@correo.udistrital.edu.co" </w:instrText>
      </w:r>
      <w:r w:rsidR="0068763D" w:rsidRPr="00457738">
        <w:rPr>
          <w:sz w:val="22"/>
          <w:szCs w:val="22"/>
          <w:lang w:val="es-CO"/>
        </w:rPr>
        <w:fldChar w:fldCharType="separate"/>
      </w:r>
      <w:r w:rsidR="0068763D" w:rsidRPr="00457738">
        <w:rPr>
          <w:rStyle w:val="Hipervnculo"/>
          <w:color w:val="auto"/>
          <w:sz w:val="22"/>
          <w:szCs w:val="22"/>
          <w:u w:val="none"/>
          <w:lang w:val="es-CO"/>
        </w:rPr>
        <w:t>juacastanedag@correo.udistrital.edu.co</w:t>
      </w:r>
      <w:r w:rsidR="0068763D" w:rsidRPr="00457738">
        <w:rPr>
          <w:sz w:val="22"/>
          <w:szCs w:val="22"/>
          <w:lang w:val="es-CO"/>
        </w:rPr>
        <w:fldChar w:fldCharType="end"/>
      </w:r>
      <w:r w:rsidR="0068763D" w:rsidRPr="00457738">
        <w:rPr>
          <w:sz w:val="22"/>
          <w:szCs w:val="22"/>
          <w:lang w:val="es-CO"/>
        </w:rPr>
        <w:t xml:space="preserve">, </w:t>
      </w:r>
      <w:r w:rsidRPr="00457738">
        <w:rPr>
          <w:rFonts w:ascii="Arial" w:hAnsi="Arial" w:cs="Arial"/>
          <w:sz w:val="22"/>
          <w:szCs w:val="22"/>
          <w:shd w:val="clear" w:color="auto" w:fill="FFFFFF"/>
        </w:rPr>
        <w:t xml:space="preserve"> </w:t>
      </w:r>
      <w:r w:rsidRPr="00457738">
        <w:rPr>
          <w:bCs/>
          <w:sz w:val="22"/>
          <w:szCs w:val="22"/>
        </w:rPr>
        <w:t> </w:t>
      </w:r>
      <w:hyperlink r:id="rId3" w:history="1">
        <w:r w:rsidR="0068763D" w:rsidRPr="00457738">
          <w:rPr>
            <w:rStyle w:val="Hipervnculo"/>
            <w:bCs/>
            <w:color w:val="auto"/>
            <w:sz w:val="22"/>
            <w:szCs w:val="22"/>
            <w:u w:val="none"/>
          </w:rPr>
          <w:t>https://orcid.org/0000-0002-2551-2972</w:t>
        </w:r>
      </w:hyperlink>
      <w:r w:rsidR="0068763D" w:rsidRPr="00457738">
        <w:rPr>
          <w:rStyle w:val="Hipervnculo"/>
          <w:bCs/>
          <w:color w:val="auto"/>
          <w:sz w:val="22"/>
          <w:szCs w:val="22"/>
          <w:u w:val="none"/>
        </w:rPr>
        <w:t xml:space="preserve">  </w:t>
      </w:r>
    </w:p>
    <w:bookmarkEnd w:id="1"/>
    <w:p w14:paraId="0F17F4B4" w14:textId="77777777" w:rsidR="003D278E" w:rsidRPr="00117F12" w:rsidRDefault="003D278E" w:rsidP="00117F12">
      <w:pPr>
        <w:pStyle w:val="Textonotapie"/>
        <w:jc w:val="both"/>
        <w:rPr>
          <w:color w:val="000000" w:themeColor="text1"/>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D8A8" w14:textId="77777777" w:rsidR="003D278E" w:rsidRDefault="003D278E">
    <w:pPr>
      <w:pStyle w:val="Encabezado"/>
      <w:jc w:val="right"/>
    </w:pPr>
  </w:p>
  <w:p w14:paraId="55D6A010" w14:textId="77777777" w:rsidR="003D278E" w:rsidRDefault="003D27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AED"/>
    <w:multiLevelType w:val="hybridMultilevel"/>
    <w:tmpl w:val="701436D2"/>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62589E"/>
    <w:multiLevelType w:val="multilevel"/>
    <w:tmpl w:val="D6864FE6"/>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17F00ABA"/>
    <w:multiLevelType w:val="hybridMultilevel"/>
    <w:tmpl w:val="4E4E974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343FC1"/>
    <w:multiLevelType w:val="hybridMultilevel"/>
    <w:tmpl w:val="8BBC54A2"/>
    <w:lvl w:ilvl="0" w:tplc="85E2D0E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8F90AF7"/>
    <w:multiLevelType w:val="hybridMultilevel"/>
    <w:tmpl w:val="7D9EA0AE"/>
    <w:lvl w:ilvl="0" w:tplc="F8E62D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9B59C4"/>
    <w:multiLevelType w:val="hybridMultilevel"/>
    <w:tmpl w:val="B134CFC0"/>
    <w:lvl w:ilvl="0" w:tplc="F8E62D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BF734F"/>
    <w:multiLevelType w:val="hybridMultilevel"/>
    <w:tmpl w:val="E0A004EE"/>
    <w:lvl w:ilvl="0" w:tplc="7BFE64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646535"/>
    <w:multiLevelType w:val="hybridMultilevel"/>
    <w:tmpl w:val="2CBA40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A11111"/>
    <w:multiLevelType w:val="hybridMultilevel"/>
    <w:tmpl w:val="7D9EA0AE"/>
    <w:lvl w:ilvl="0" w:tplc="F8E62D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286088"/>
    <w:multiLevelType w:val="hybridMultilevel"/>
    <w:tmpl w:val="1D327F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47B5F8F"/>
    <w:multiLevelType w:val="hybridMultilevel"/>
    <w:tmpl w:val="7D9EA0AE"/>
    <w:lvl w:ilvl="0" w:tplc="F8E62D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DA13C8"/>
    <w:multiLevelType w:val="multilevel"/>
    <w:tmpl w:val="39DC2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032F53"/>
    <w:multiLevelType w:val="hybridMultilevel"/>
    <w:tmpl w:val="8E362E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1A70EF"/>
    <w:multiLevelType w:val="hybridMultilevel"/>
    <w:tmpl w:val="7D9EA0AE"/>
    <w:lvl w:ilvl="0" w:tplc="F8E62D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3"/>
  </w:num>
  <w:num w:numId="5">
    <w:abstractNumId w:val="3"/>
  </w:num>
  <w:num w:numId="6">
    <w:abstractNumId w:val="5"/>
  </w:num>
  <w:num w:numId="7">
    <w:abstractNumId w:val="8"/>
  </w:num>
  <w:num w:numId="8">
    <w:abstractNumId w:val="7"/>
  </w:num>
  <w:num w:numId="9">
    <w:abstractNumId w:val="12"/>
  </w:num>
  <w:num w:numId="10">
    <w:abstractNumId w:val="1"/>
  </w:num>
  <w:num w:numId="11">
    <w:abstractNumId w:val="11"/>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CR"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15"/>
    <w:rsid w:val="00004D80"/>
    <w:rsid w:val="00007FF2"/>
    <w:rsid w:val="00012B2E"/>
    <w:rsid w:val="000161E4"/>
    <w:rsid w:val="00017AA9"/>
    <w:rsid w:val="00045D3F"/>
    <w:rsid w:val="00046C2B"/>
    <w:rsid w:val="00047A3B"/>
    <w:rsid w:val="000517D6"/>
    <w:rsid w:val="00052A52"/>
    <w:rsid w:val="00053188"/>
    <w:rsid w:val="00053D37"/>
    <w:rsid w:val="00071115"/>
    <w:rsid w:val="000731D7"/>
    <w:rsid w:val="0007323E"/>
    <w:rsid w:val="00073D09"/>
    <w:rsid w:val="00075722"/>
    <w:rsid w:val="0008057D"/>
    <w:rsid w:val="00081493"/>
    <w:rsid w:val="00082AD6"/>
    <w:rsid w:val="00085BF2"/>
    <w:rsid w:val="0008686A"/>
    <w:rsid w:val="00086BFB"/>
    <w:rsid w:val="00086D0F"/>
    <w:rsid w:val="000910A1"/>
    <w:rsid w:val="00091CDA"/>
    <w:rsid w:val="000A5EED"/>
    <w:rsid w:val="000A664B"/>
    <w:rsid w:val="000B1920"/>
    <w:rsid w:val="000B25D1"/>
    <w:rsid w:val="000B3137"/>
    <w:rsid w:val="000C00A7"/>
    <w:rsid w:val="000C4A19"/>
    <w:rsid w:val="000D0F6E"/>
    <w:rsid w:val="000D4166"/>
    <w:rsid w:val="000D42C0"/>
    <w:rsid w:val="000E06B6"/>
    <w:rsid w:val="000E1C7F"/>
    <w:rsid w:val="000E2B39"/>
    <w:rsid w:val="000E7C33"/>
    <w:rsid w:val="000E7F37"/>
    <w:rsid w:val="000F15EB"/>
    <w:rsid w:val="00100D89"/>
    <w:rsid w:val="001027EC"/>
    <w:rsid w:val="00113C15"/>
    <w:rsid w:val="00117F12"/>
    <w:rsid w:val="00121378"/>
    <w:rsid w:val="00124AC1"/>
    <w:rsid w:val="001276CC"/>
    <w:rsid w:val="0012795B"/>
    <w:rsid w:val="00127C8B"/>
    <w:rsid w:val="001362F0"/>
    <w:rsid w:val="0013696D"/>
    <w:rsid w:val="00137BC3"/>
    <w:rsid w:val="00144CC5"/>
    <w:rsid w:val="001479E2"/>
    <w:rsid w:val="001513EA"/>
    <w:rsid w:val="00153317"/>
    <w:rsid w:val="0015765F"/>
    <w:rsid w:val="00163304"/>
    <w:rsid w:val="0016656F"/>
    <w:rsid w:val="00166911"/>
    <w:rsid w:val="0016719A"/>
    <w:rsid w:val="00172A26"/>
    <w:rsid w:val="00173DD2"/>
    <w:rsid w:val="00176097"/>
    <w:rsid w:val="001801FA"/>
    <w:rsid w:val="0018054D"/>
    <w:rsid w:val="00182244"/>
    <w:rsid w:val="00192303"/>
    <w:rsid w:val="001A1597"/>
    <w:rsid w:val="001B0843"/>
    <w:rsid w:val="001C71BD"/>
    <w:rsid w:val="001D1F69"/>
    <w:rsid w:val="001E7E69"/>
    <w:rsid w:val="00202674"/>
    <w:rsid w:val="002035C3"/>
    <w:rsid w:val="00203C26"/>
    <w:rsid w:val="00204C7F"/>
    <w:rsid w:val="00210608"/>
    <w:rsid w:val="002115E4"/>
    <w:rsid w:val="00217CA4"/>
    <w:rsid w:val="00220593"/>
    <w:rsid w:val="00221553"/>
    <w:rsid w:val="0022239D"/>
    <w:rsid w:val="00235A54"/>
    <w:rsid w:val="002370AE"/>
    <w:rsid w:val="002373A8"/>
    <w:rsid w:val="002411BF"/>
    <w:rsid w:val="00242A2E"/>
    <w:rsid w:val="00243DBD"/>
    <w:rsid w:val="002513CA"/>
    <w:rsid w:val="00256A6D"/>
    <w:rsid w:val="0025706A"/>
    <w:rsid w:val="00264575"/>
    <w:rsid w:val="00265164"/>
    <w:rsid w:val="00274476"/>
    <w:rsid w:val="00281156"/>
    <w:rsid w:val="002936CA"/>
    <w:rsid w:val="002939A5"/>
    <w:rsid w:val="00297483"/>
    <w:rsid w:val="002C3D99"/>
    <w:rsid w:val="002C3EC2"/>
    <w:rsid w:val="002C5435"/>
    <w:rsid w:val="002D4DFB"/>
    <w:rsid w:val="002D7938"/>
    <w:rsid w:val="002F3289"/>
    <w:rsid w:val="003027AC"/>
    <w:rsid w:val="00305DD2"/>
    <w:rsid w:val="003155E3"/>
    <w:rsid w:val="003164A3"/>
    <w:rsid w:val="00324894"/>
    <w:rsid w:val="00326738"/>
    <w:rsid w:val="00327ECD"/>
    <w:rsid w:val="00330CA6"/>
    <w:rsid w:val="003445A5"/>
    <w:rsid w:val="00347655"/>
    <w:rsid w:val="00347AAE"/>
    <w:rsid w:val="00347BC8"/>
    <w:rsid w:val="003535BB"/>
    <w:rsid w:val="00353738"/>
    <w:rsid w:val="00354626"/>
    <w:rsid w:val="00364184"/>
    <w:rsid w:val="0036632F"/>
    <w:rsid w:val="003664D6"/>
    <w:rsid w:val="00382921"/>
    <w:rsid w:val="00385F77"/>
    <w:rsid w:val="00396174"/>
    <w:rsid w:val="00396D0B"/>
    <w:rsid w:val="003A60E2"/>
    <w:rsid w:val="003A6E69"/>
    <w:rsid w:val="003B618E"/>
    <w:rsid w:val="003C223D"/>
    <w:rsid w:val="003D278E"/>
    <w:rsid w:val="003D3101"/>
    <w:rsid w:val="003E0E6B"/>
    <w:rsid w:val="003E22EB"/>
    <w:rsid w:val="003E7F32"/>
    <w:rsid w:val="003F21DD"/>
    <w:rsid w:val="00402F3E"/>
    <w:rsid w:val="00403361"/>
    <w:rsid w:val="00405E45"/>
    <w:rsid w:val="00406F55"/>
    <w:rsid w:val="0040765B"/>
    <w:rsid w:val="00412D32"/>
    <w:rsid w:val="00416B1F"/>
    <w:rsid w:val="00421C0F"/>
    <w:rsid w:val="004228FB"/>
    <w:rsid w:val="00422BCE"/>
    <w:rsid w:val="00425D40"/>
    <w:rsid w:val="00431F29"/>
    <w:rsid w:val="00445689"/>
    <w:rsid w:val="00447460"/>
    <w:rsid w:val="00451F7F"/>
    <w:rsid w:val="00457738"/>
    <w:rsid w:val="0046128F"/>
    <w:rsid w:val="00464DE6"/>
    <w:rsid w:val="00484985"/>
    <w:rsid w:val="004865F4"/>
    <w:rsid w:val="00494B19"/>
    <w:rsid w:val="00497305"/>
    <w:rsid w:val="004A62B7"/>
    <w:rsid w:val="004A6429"/>
    <w:rsid w:val="004A70F8"/>
    <w:rsid w:val="004A7851"/>
    <w:rsid w:val="004B42BF"/>
    <w:rsid w:val="004B6BC0"/>
    <w:rsid w:val="004C46AE"/>
    <w:rsid w:val="004C5AB3"/>
    <w:rsid w:val="004C69F2"/>
    <w:rsid w:val="004C7648"/>
    <w:rsid w:val="004D0976"/>
    <w:rsid w:val="004D5D7B"/>
    <w:rsid w:val="004E36CC"/>
    <w:rsid w:val="004E4A5E"/>
    <w:rsid w:val="004F0DE2"/>
    <w:rsid w:val="004F76D5"/>
    <w:rsid w:val="005034BB"/>
    <w:rsid w:val="00504687"/>
    <w:rsid w:val="00510D0C"/>
    <w:rsid w:val="005118B9"/>
    <w:rsid w:val="00514540"/>
    <w:rsid w:val="00515064"/>
    <w:rsid w:val="00517955"/>
    <w:rsid w:val="005203C3"/>
    <w:rsid w:val="005232D7"/>
    <w:rsid w:val="005336DF"/>
    <w:rsid w:val="00534335"/>
    <w:rsid w:val="0053650C"/>
    <w:rsid w:val="00554DA5"/>
    <w:rsid w:val="00572411"/>
    <w:rsid w:val="00573774"/>
    <w:rsid w:val="00580BA4"/>
    <w:rsid w:val="005937EA"/>
    <w:rsid w:val="005B3C12"/>
    <w:rsid w:val="005C2078"/>
    <w:rsid w:val="005C4D4B"/>
    <w:rsid w:val="005C6E20"/>
    <w:rsid w:val="005D3FA8"/>
    <w:rsid w:val="005F0350"/>
    <w:rsid w:val="005F21F3"/>
    <w:rsid w:val="005F6496"/>
    <w:rsid w:val="005F7307"/>
    <w:rsid w:val="00602D7C"/>
    <w:rsid w:val="0060366C"/>
    <w:rsid w:val="006140E9"/>
    <w:rsid w:val="0062314E"/>
    <w:rsid w:val="00624C9B"/>
    <w:rsid w:val="0063353F"/>
    <w:rsid w:val="00635E2B"/>
    <w:rsid w:val="00637DFA"/>
    <w:rsid w:val="00643169"/>
    <w:rsid w:val="00644E05"/>
    <w:rsid w:val="006460FB"/>
    <w:rsid w:val="006461C2"/>
    <w:rsid w:val="006478A4"/>
    <w:rsid w:val="00660D7E"/>
    <w:rsid w:val="00661065"/>
    <w:rsid w:val="00661334"/>
    <w:rsid w:val="00662B3F"/>
    <w:rsid w:val="006735CB"/>
    <w:rsid w:val="00677376"/>
    <w:rsid w:val="006776CB"/>
    <w:rsid w:val="00682671"/>
    <w:rsid w:val="0068763D"/>
    <w:rsid w:val="006876FC"/>
    <w:rsid w:val="00693E86"/>
    <w:rsid w:val="006A522F"/>
    <w:rsid w:val="006A7C4B"/>
    <w:rsid w:val="006B1460"/>
    <w:rsid w:val="006C1A6C"/>
    <w:rsid w:val="006C5961"/>
    <w:rsid w:val="006C5D36"/>
    <w:rsid w:val="006C7CAE"/>
    <w:rsid w:val="006D1807"/>
    <w:rsid w:val="006D2DFB"/>
    <w:rsid w:val="006D3F32"/>
    <w:rsid w:val="006D5A7E"/>
    <w:rsid w:val="006E1052"/>
    <w:rsid w:val="006E51A8"/>
    <w:rsid w:val="006F5FB5"/>
    <w:rsid w:val="007032C7"/>
    <w:rsid w:val="00720A2D"/>
    <w:rsid w:val="00722255"/>
    <w:rsid w:val="00730753"/>
    <w:rsid w:val="00732570"/>
    <w:rsid w:val="007363E8"/>
    <w:rsid w:val="00743F72"/>
    <w:rsid w:val="007440D8"/>
    <w:rsid w:val="007463FE"/>
    <w:rsid w:val="00750C12"/>
    <w:rsid w:val="00751DD7"/>
    <w:rsid w:val="00765EBA"/>
    <w:rsid w:val="00790036"/>
    <w:rsid w:val="0079153C"/>
    <w:rsid w:val="0079344F"/>
    <w:rsid w:val="00793C23"/>
    <w:rsid w:val="007965EA"/>
    <w:rsid w:val="00797279"/>
    <w:rsid w:val="007A29E0"/>
    <w:rsid w:val="007A5823"/>
    <w:rsid w:val="007B747E"/>
    <w:rsid w:val="007C1B58"/>
    <w:rsid w:val="007D4E13"/>
    <w:rsid w:val="007D5B28"/>
    <w:rsid w:val="007E290A"/>
    <w:rsid w:val="007E7B1F"/>
    <w:rsid w:val="007F0A6E"/>
    <w:rsid w:val="007F7367"/>
    <w:rsid w:val="00804F5A"/>
    <w:rsid w:val="008070E4"/>
    <w:rsid w:val="008073F8"/>
    <w:rsid w:val="00811A2E"/>
    <w:rsid w:val="00821700"/>
    <w:rsid w:val="00821774"/>
    <w:rsid w:val="00834EB1"/>
    <w:rsid w:val="00841746"/>
    <w:rsid w:val="00854476"/>
    <w:rsid w:val="0085705B"/>
    <w:rsid w:val="00862E8A"/>
    <w:rsid w:val="00863AFC"/>
    <w:rsid w:val="00875DCF"/>
    <w:rsid w:val="00876F49"/>
    <w:rsid w:val="008804E2"/>
    <w:rsid w:val="008A130A"/>
    <w:rsid w:val="008A6835"/>
    <w:rsid w:val="008A6FDA"/>
    <w:rsid w:val="008B06A2"/>
    <w:rsid w:val="008C1792"/>
    <w:rsid w:val="008C2B3D"/>
    <w:rsid w:val="008C2D39"/>
    <w:rsid w:val="008C49C3"/>
    <w:rsid w:val="008D213A"/>
    <w:rsid w:val="008E0DF4"/>
    <w:rsid w:val="008E1A24"/>
    <w:rsid w:val="008E34B5"/>
    <w:rsid w:val="008E6137"/>
    <w:rsid w:val="008E78F3"/>
    <w:rsid w:val="008F3993"/>
    <w:rsid w:val="008F5BCE"/>
    <w:rsid w:val="008F73E9"/>
    <w:rsid w:val="00903686"/>
    <w:rsid w:val="009070EB"/>
    <w:rsid w:val="009110AF"/>
    <w:rsid w:val="009114DA"/>
    <w:rsid w:val="00921792"/>
    <w:rsid w:val="00925964"/>
    <w:rsid w:val="009301A8"/>
    <w:rsid w:val="0093046A"/>
    <w:rsid w:val="00936A7C"/>
    <w:rsid w:val="0094417E"/>
    <w:rsid w:val="009443E3"/>
    <w:rsid w:val="009472BC"/>
    <w:rsid w:val="009555C3"/>
    <w:rsid w:val="009616D8"/>
    <w:rsid w:val="00963A76"/>
    <w:rsid w:val="009727D3"/>
    <w:rsid w:val="00975E86"/>
    <w:rsid w:val="00980A32"/>
    <w:rsid w:val="00987ED2"/>
    <w:rsid w:val="00990E70"/>
    <w:rsid w:val="009A31A6"/>
    <w:rsid w:val="009A5053"/>
    <w:rsid w:val="009A682E"/>
    <w:rsid w:val="009A7AAF"/>
    <w:rsid w:val="009C0410"/>
    <w:rsid w:val="009C439F"/>
    <w:rsid w:val="009F1EFF"/>
    <w:rsid w:val="009F62D6"/>
    <w:rsid w:val="00A11957"/>
    <w:rsid w:val="00A1451C"/>
    <w:rsid w:val="00A33701"/>
    <w:rsid w:val="00A40E28"/>
    <w:rsid w:val="00A43598"/>
    <w:rsid w:val="00A452EA"/>
    <w:rsid w:val="00A4709D"/>
    <w:rsid w:val="00A500A0"/>
    <w:rsid w:val="00A52C8F"/>
    <w:rsid w:val="00A627C6"/>
    <w:rsid w:val="00A635C8"/>
    <w:rsid w:val="00A6449E"/>
    <w:rsid w:val="00A6487D"/>
    <w:rsid w:val="00A7180C"/>
    <w:rsid w:val="00A71BE0"/>
    <w:rsid w:val="00A75449"/>
    <w:rsid w:val="00A7734C"/>
    <w:rsid w:val="00A806BF"/>
    <w:rsid w:val="00A872C9"/>
    <w:rsid w:val="00A963EB"/>
    <w:rsid w:val="00AA6CA1"/>
    <w:rsid w:val="00AB13C5"/>
    <w:rsid w:val="00AB2635"/>
    <w:rsid w:val="00AB57C7"/>
    <w:rsid w:val="00AC1ADD"/>
    <w:rsid w:val="00AC2CBE"/>
    <w:rsid w:val="00B046A0"/>
    <w:rsid w:val="00B04FD7"/>
    <w:rsid w:val="00B1337E"/>
    <w:rsid w:val="00B14F8E"/>
    <w:rsid w:val="00B16260"/>
    <w:rsid w:val="00B306F1"/>
    <w:rsid w:val="00B34DDF"/>
    <w:rsid w:val="00B357D2"/>
    <w:rsid w:val="00B450AA"/>
    <w:rsid w:val="00B46510"/>
    <w:rsid w:val="00B47C58"/>
    <w:rsid w:val="00B524B9"/>
    <w:rsid w:val="00B60AFC"/>
    <w:rsid w:val="00B67AE2"/>
    <w:rsid w:val="00B72F92"/>
    <w:rsid w:val="00B779A1"/>
    <w:rsid w:val="00B81E07"/>
    <w:rsid w:val="00B83D05"/>
    <w:rsid w:val="00B8744C"/>
    <w:rsid w:val="00B927E6"/>
    <w:rsid w:val="00B92C75"/>
    <w:rsid w:val="00BA034C"/>
    <w:rsid w:val="00BA2A50"/>
    <w:rsid w:val="00BA2BAF"/>
    <w:rsid w:val="00BA38AA"/>
    <w:rsid w:val="00BA5DCB"/>
    <w:rsid w:val="00BA71F7"/>
    <w:rsid w:val="00BB4261"/>
    <w:rsid w:val="00BB47B8"/>
    <w:rsid w:val="00BB5F5C"/>
    <w:rsid w:val="00BC4E38"/>
    <w:rsid w:val="00BD3B4C"/>
    <w:rsid w:val="00BD57BB"/>
    <w:rsid w:val="00BD6C0A"/>
    <w:rsid w:val="00BE21D9"/>
    <w:rsid w:val="00C000E0"/>
    <w:rsid w:val="00C002D9"/>
    <w:rsid w:val="00C009C9"/>
    <w:rsid w:val="00C012CE"/>
    <w:rsid w:val="00C06534"/>
    <w:rsid w:val="00C06B5B"/>
    <w:rsid w:val="00C164C7"/>
    <w:rsid w:val="00C22FE4"/>
    <w:rsid w:val="00C23127"/>
    <w:rsid w:val="00C24915"/>
    <w:rsid w:val="00C25272"/>
    <w:rsid w:val="00C329FE"/>
    <w:rsid w:val="00C46228"/>
    <w:rsid w:val="00C47C1C"/>
    <w:rsid w:val="00C52432"/>
    <w:rsid w:val="00C539DC"/>
    <w:rsid w:val="00C56D70"/>
    <w:rsid w:val="00C67D80"/>
    <w:rsid w:val="00C859A9"/>
    <w:rsid w:val="00C910A4"/>
    <w:rsid w:val="00C93CA6"/>
    <w:rsid w:val="00C962EB"/>
    <w:rsid w:val="00C97558"/>
    <w:rsid w:val="00CB37BB"/>
    <w:rsid w:val="00CB729B"/>
    <w:rsid w:val="00CC0FB2"/>
    <w:rsid w:val="00CC763E"/>
    <w:rsid w:val="00CD1E6D"/>
    <w:rsid w:val="00CD2246"/>
    <w:rsid w:val="00CE47F9"/>
    <w:rsid w:val="00CF35FB"/>
    <w:rsid w:val="00CF3D36"/>
    <w:rsid w:val="00D027B8"/>
    <w:rsid w:val="00D02B0A"/>
    <w:rsid w:val="00D14E51"/>
    <w:rsid w:val="00D15303"/>
    <w:rsid w:val="00D25909"/>
    <w:rsid w:val="00D31A6C"/>
    <w:rsid w:val="00D43B40"/>
    <w:rsid w:val="00D4494C"/>
    <w:rsid w:val="00D5015D"/>
    <w:rsid w:val="00D55E15"/>
    <w:rsid w:val="00D60FF2"/>
    <w:rsid w:val="00D62000"/>
    <w:rsid w:val="00D664F3"/>
    <w:rsid w:val="00D72F30"/>
    <w:rsid w:val="00D75E55"/>
    <w:rsid w:val="00D806F3"/>
    <w:rsid w:val="00D85527"/>
    <w:rsid w:val="00D86E13"/>
    <w:rsid w:val="00D96E79"/>
    <w:rsid w:val="00DA257E"/>
    <w:rsid w:val="00DB38A6"/>
    <w:rsid w:val="00DB41B6"/>
    <w:rsid w:val="00DB702E"/>
    <w:rsid w:val="00DC001C"/>
    <w:rsid w:val="00DC0AF0"/>
    <w:rsid w:val="00DC1253"/>
    <w:rsid w:val="00DD775B"/>
    <w:rsid w:val="00DE1E27"/>
    <w:rsid w:val="00DE4521"/>
    <w:rsid w:val="00DE4ABC"/>
    <w:rsid w:val="00DE680E"/>
    <w:rsid w:val="00DF0B50"/>
    <w:rsid w:val="00E0027C"/>
    <w:rsid w:val="00E0096F"/>
    <w:rsid w:val="00E03D2A"/>
    <w:rsid w:val="00E0491E"/>
    <w:rsid w:val="00E058AD"/>
    <w:rsid w:val="00E1492C"/>
    <w:rsid w:val="00E15823"/>
    <w:rsid w:val="00E2109D"/>
    <w:rsid w:val="00E249D3"/>
    <w:rsid w:val="00E41721"/>
    <w:rsid w:val="00E42D99"/>
    <w:rsid w:val="00E43F56"/>
    <w:rsid w:val="00E46F35"/>
    <w:rsid w:val="00E51FAF"/>
    <w:rsid w:val="00E67191"/>
    <w:rsid w:val="00E70AB0"/>
    <w:rsid w:val="00E7104E"/>
    <w:rsid w:val="00E90938"/>
    <w:rsid w:val="00E92B96"/>
    <w:rsid w:val="00E93000"/>
    <w:rsid w:val="00EA1E63"/>
    <w:rsid w:val="00EA3882"/>
    <w:rsid w:val="00EB4865"/>
    <w:rsid w:val="00EB72FA"/>
    <w:rsid w:val="00EC346A"/>
    <w:rsid w:val="00ED660F"/>
    <w:rsid w:val="00EE1837"/>
    <w:rsid w:val="00EE4661"/>
    <w:rsid w:val="00F06037"/>
    <w:rsid w:val="00F0704A"/>
    <w:rsid w:val="00F07370"/>
    <w:rsid w:val="00F1295D"/>
    <w:rsid w:val="00F1365D"/>
    <w:rsid w:val="00F3436E"/>
    <w:rsid w:val="00F40CF0"/>
    <w:rsid w:val="00F42B83"/>
    <w:rsid w:val="00F44C91"/>
    <w:rsid w:val="00F46500"/>
    <w:rsid w:val="00F513BA"/>
    <w:rsid w:val="00F64B64"/>
    <w:rsid w:val="00F656AF"/>
    <w:rsid w:val="00F67584"/>
    <w:rsid w:val="00F7111A"/>
    <w:rsid w:val="00F742F8"/>
    <w:rsid w:val="00F811FF"/>
    <w:rsid w:val="00F82CD9"/>
    <w:rsid w:val="00F83CE1"/>
    <w:rsid w:val="00F83E0D"/>
    <w:rsid w:val="00FA080D"/>
    <w:rsid w:val="00FA2E69"/>
    <w:rsid w:val="00FA5CB5"/>
    <w:rsid w:val="00FB2E2B"/>
    <w:rsid w:val="00FC4DA0"/>
    <w:rsid w:val="00FD386A"/>
    <w:rsid w:val="00FD657F"/>
    <w:rsid w:val="00FD661C"/>
    <w:rsid w:val="00FE60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15"/>
    <w:pPr>
      <w:spacing w:after="120" w:line="240" w:lineRule="auto"/>
    </w:pPr>
    <w:rPr>
      <w:rFonts w:ascii="Times New Roman" w:eastAsiaTheme="minorEastAsia"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3C15"/>
    <w:pPr>
      <w:spacing w:after="0"/>
    </w:pPr>
    <w:rPr>
      <w:sz w:val="20"/>
      <w:szCs w:val="20"/>
    </w:rPr>
  </w:style>
  <w:style w:type="character" w:customStyle="1" w:styleId="TextonotapieCar">
    <w:name w:val="Texto nota pie Car"/>
    <w:basedOn w:val="Fuentedeprrafopredeter"/>
    <w:link w:val="Textonotapie"/>
    <w:uiPriority w:val="99"/>
    <w:rsid w:val="00113C15"/>
    <w:rPr>
      <w:rFonts w:ascii="Times New Roman" w:eastAsiaTheme="minorEastAsia" w:hAnsi="Times New Roman" w:cs="Times New Roman"/>
      <w:sz w:val="20"/>
      <w:szCs w:val="20"/>
      <w:lang w:val="es-ES" w:eastAsia="ja-JP"/>
    </w:rPr>
  </w:style>
  <w:style w:type="character" w:styleId="Refdenotaalpie">
    <w:name w:val="footnote reference"/>
    <w:basedOn w:val="Fuentedeprrafopredeter"/>
    <w:uiPriority w:val="99"/>
    <w:semiHidden/>
    <w:unhideWhenUsed/>
    <w:rsid w:val="00113C15"/>
    <w:rPr>
      <w:vertAlign w:val="superscript"/>
    </w:rPr>
  </w:style>
  <w:style w:type="table" w:styleId="Tablaconcuadrcula">
    <w:name w:val="Table Grid"/>
    <w:basedOn w:val="Tablanormal"/>
    <w:uiPriority w:val="59"/>
    <w:rsid w:val="00113C15"/>
    <w:pPr>
      <w:spacing w:after="0" w:line="240" w:lineRule="auto"/>
    </w:pPr>
    <w:rPr>
      <w:rFonts w:ascii="Times New Roman" w:eastAsiaTheme="minorEastAsia" w:hAnsi="Times New Roman" w:cs="Times New Roman"/>
      <w:sz w:val="24"/>
      <w:szCs w:val="24"/>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C15"/>
    <w:pPr>
      <w:spacing w:before="100" w:beforeAutospacing="1" w:after="100" w:afterAutospacing="1"/>
    </w:pPr>
    <w:rPr>
      <w:rFonts w:eastAsia="Times New Roman"/>
      <w:lang w:eastAsia="es-ES"/>
    </w:rPr>
  </w:style>
  <w:style w:type="paragraph" w:customStyle="1" w:styleId="EstiloTtulodelTrabajo">
    <w:name w:val="Estilo Título del Trabajo"/>
    <w:basedOn w:val="Normal"/>
    <w:rsid w:val="00113C15"/>
    <w:pPr>
      <w:spacing w:before="240" w:after="240"/>
      <w:jc w:val="center"/>
    </w:pPr>
    <w:rPr>
      <w:rFonts w:ascii="Lucida Sans Unicode" w:eastAsia="Times New Roman" w:hAnsi="Lucida Sans Unicode"/>
      <w:b/>
      <w:bCs/>
      <w:sz w:val="36"/>
      <w:szCs w:val="20"/>
      <w:lang w:eastAsia="en-US"/>
    </w:rPr>
  </w:style>
  <w:style w:type="character" w:styleId="Hipervnculo">
    <w:name w:val="Hyperlink"/>
    <w:basedOn w:val="Fuentedeprrafopredeter"/>
    <w:uiPriority w:val="99"/>
    <w:unhideWhenUsed/>
    <w:rsid w:val="00113C15"/>
    <w:rPr>
      <w:color w:val="0563C1" w:themeColor="hyperlink"/>
      <w:u w:val="single"/>
    </w:rPr>
  </w:style>
  <w:style w:type="paragraph" w:styleId="Encabezado">
    <w:name w:val="header"/>
    <w:basedOn w:val="Normal"/>
    <w:link w:val="EncabezadoCar"/>
    <w:uiPriority w:val="99"/>
    <w:unhideWhenUsed/>
    <w:rsid w:val="00113C15"/>
    <w:pPr>
      <w:tabs>
        <w:tab w:val="center" w:pos="4252"/>
        <w:tab w:val="right" w:pos="8504"/>
      </w:tabs>
      <w:spacing w:after="0"/>
    </w:pPr>
  </w:style>
  <w:style w:type="character" w:customStyle="1" w:styleId="EncabezadoCar">
    <w:name w:val="Encabezado Car"/>
    <w:basedOn w:val="Fuentedeprrafopredeter"/>
    <w:link w:val="Encabezado"/>
    <w:uiPriority w:val="99"/>
    <w:rsid w:val="00113C15"/>
    <w:rPr>
      <w:rFonts w:ascii="Times New Roman" w:eastAsiaTheme="minorEastAsia" w:hAnsi="Times New Roman" w:cs="Times New Roman"/>
      <w:sz w:val="24"/>
      <w:szCs w:val="24"/>
      <w:lang w:val="es-ES" w:eastAsia="ja-JP"/>
    </w:rPr>
  </w:style>
  <w:style w:type="paragraph" w:styleId="Piedepgina">
    <w:name w:val="footer"/>
    <w:basedOn w:val="Normal"/>
    <w:link w:val="PiedepginaCar"/>
    <w:uiPriority w:val="99"/>
    <w:unhideWhenUsed/>
    <w:rsid w:val="00113C15"/>
    <w:pPr>
      <w:tabs>
        <w:tab w:val="center" w:pos="4419"/>
        <w:tab w:val="right" w:pos="8838"/>
      </w:tabs>
      <w:spacing w:after="0"/>
    </w:pPr>
  </w:style>
  <w:style w:type="character" w:customStyle="1" w:styleId="PiedepginaCar">
    <w:name w:val="Pie de página Car"/>
    <w:basedOn w:val="Fuentedeprrafopredeter"/>
    <w:link w:val="Piedepgina"/>
    <w:uiPriority w:val="99"/>
    <w:rsid w:val="00113C15"/>
    <w:rPr>
      <w:rFonts w:ascii="Times New Roman" w:eastAsiaTheme="minorEastAsia" w:hAnsi="Times New Roman" w:cs="Times New Roman"/>
      <w:sz w:val="24"/>
      <w:szCs w:val="24"/>
      <w:lang w:val="es-ES" w:eastAsia="ja-JP"/>
    </w:rPr>
  </w:style>
  <w:style w:type="character" w:styleId="Refdecomentario">
    <w:name w:val="annotation reference"/>
    <w:basedOn w:val="Fuentedeprrafopredeter"/>
    <w:uiPriority w:val="99"/>
    <w:semiHidden/>
    <w:unhideWhenUsed/>
    <w:rsid w:val="00113C15"/>
    <w:rPr>
      <w:sz w:val="16"/>
      <w:szCs w:val="16"/>
    </w:rPr>
  </w:style>
  <w:style w:type="paragraph" w:styleId="Textocomentario">
    <w:name w:val="annotation text"/>
    <w:basedOn w:val="Normal"/>
    <w:link w:val="TextocomentarioCar"/>
    <w:uiPriority w:val="99"/>
    <w:unhideWhenUsed/>
    <w:rsid w:val="00113C15"/>
    <w:rPr>
      <w:sz w:val="20"/>
      <w:szCs w:val="20"/>
    </w:rPr>
  </w:style>
  <w:style w:type="character" w:customStyle="1" w:styleId="TextocomentarioCar">
    <w:name w:val="Texto comentario Car"/>
    <w:basedOn w:val="Fuentedeprrafopredeter"/>
    <w:link w:val="Textocomentario"/>
    <w:uiPriority w:val="99"/>
    <w:rsid w:val="00113C15"/>
    <w:rPr>
      <w:rFonts w:ascii="Times New Roman" w:eastAsiaTheme="minorEastAsia"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113C15"/>
    <w:rPr>
      <w:b/>
      <w:bCs/>
    </w:rPr>
  </w:style>
  <w:style w:type="character" w:customStyle="1" w:styleId="AsuntodelcomentarioCar">
    <w:name w:val="Asunto del comentario Car"/>
    <w:basedOn w:val="TextocomentarioCar"/>
    <w:link w:val="Asuntodelcomentario"/>
    <w:uiPriority w:val="99"/>
    <w:semiHidden/>
    <w:rsid w:val="00113C15"/>
    <w:rPr>
      <w:rFonts w:ascii="Times New Roman" w:eastAsiaTheme="minorEastAsia"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113C1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C15"/>
    <w:rPr>
      <w:rFonts w:ascii="Segoe UI" w:eastAsiaTheme="minorEastAsia" w:hAnsi="Segoe UI" w:cs="Segoe UI"/>
      <w:sz w:val="18"/>
      <w:szCs w:val="18"/>
      <w:lang w:val="es-ES" w:eastAsia="ja-JP"/>
    </w:rPr>
  </w:style>
  <w:style w:type="character" w:styleId="Textoennegrita">
    <w:name w:val="Strong"/>
    <w:basedOn w:val="Fuentedeprrafopredeter"/>
    <w:uiPriority w:val="22"/>
    <w:qFormat/>
    <w:rsid w:val="00921792"/>
    <w:rPr>
      <w:b/>
      <w:bCs/>
    </w:rPr>
  </w:style>
  <w:style w:type="paragraph" w:customStyle="1" w:styleId="bodya">
    <w:name w:val="bodya"/>
    <w:basedOn w:val="Normal"/>
    <w:rsid w:val="003164A3"/>
    <w:pPr>
      <w:spacing w:before="100" w:beforeAutospacing="1" w:after="100" w:afterAutospacing="1"/>
    </w:pPr>
    <w:rPr>
      <w:rFonts w:eastAsia="Times New Roman"/>
      <w:lang w:val="es-CO" w:eastAsia="es-CO"/>
    </w:rPr>
  </w:style>
  <w:style w:type="character" w:customStyle="1" w:styleId="apple-converted-space">
    <w:name w:val="apple-converted-space"/>
    <w:basedOn w:val="Fuentedeprrafopredeter"/>
    <w:rsid w:val="003164A3"/>
  </w:style>
  <w:style w:type="character" w:customStyle="1" w:styleId="Mencinsinresolver1">
    <w:name w:val="Mención sin resolver1"/>
    <w:basedOn w:val="Fuentedeprrafopredeter"/>
    <w:uiPriority w:val="99"/>
    <w:semiHidden/>
    <w:unhideWhenUsed/>
    <w:rsid w:val="00B04FD7"/>
    <w:rPr>
      <w:color w:val="605E5C"/>
      <w:shd w:val="clear" w:color="auto" w:fill="E1DFDD"/>
    </w:rPr>
  </w:style>
  <w:style w:type="paragraph" w:styleId="Prrafodelista">
    <w:name w:val="List Paragraph"/>
    <w:basedOn w:val="Normal"/>
    <w:uiPriority w:val="34"/>
    <w:qFormat/>
    <w:rsid w:val="00E90938"/>
    <w:pPr>
      <w:ind w:left="720"/>
      <w:contextualSpacing/>
    </w:pPr>
  </w:style>
  <w:style w:type="table" w:styleId="Tablanormal2">
    <w:name w:val="Plain Table 2"/>
    <w:basedOn w:val="Tablanormal"/>
    <w:uiPriority w:val="42"/>
    <w:rsid w:val="00C000E0"/>
    <w:pPr>
      <w:spacing w:after="0" w:line="240" w:lineRule="auto"/>
    </w:pPr>
    <w:rPr>
      <w:rFonts w:ascii="Calibri" w:eastAsia="Calibri" w:hAnsi="Calibri" w:cs="Times New Roman"/>
      <w:lang w:val="es-MX"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7734C"/>
    <w:pPr>
      <w:autoSpaceDE w:val="0"/>
      <w:autoSpaceDN w:val="0"/>
      <w:adjustRightInd w:val="0"/>
      <w:spacing w:after="0" w:line="240" w:lineRule="auto"/>
      <w:jc w:val="both"/>
    </w:pPr>
    <w:rPr>
      <w:rFonts w:ascii="Arial" w:eastAsia="Calibri" w:hAnsi="Arial" w:cs="Arial"/>
      <w:color w:val="000000"/>
      <w:sz w:val="24"/>
      <w:szCs w:val="24"/>
      <w:lang w:val="en-US"/>
    </w:rPr>
  </w:style>
  <w:style w:type="character" w:styleId="Nmerodelnea">
    <w:name w:val="line number"/>
    <w:basedOn w:val="Fuentedeprrafopredeter"/>
    <w:uiPriority w:val="99"/>
    <w:semiHidden/>
    <w:unhideWhenUsed/>
    <w:rsid w:val="000E2B39"/>
  </w:style>
  <w:style w:type="character" w:customStyle="1" w:styleId="Mencinsinresolver2">
    <w:name w:val="Mención sin resolver2"/>
    <w:basedOn w:val="Fuentedeprrafopredeter"/>
    <w:uiPriority w:val="99"/>
    <w:semiHidden/>
    <w:unhideWhenUsed/>
    <w:rsid w:val="003E0E6B"/>
    <w:rPr>
      <w:color w:val="605E5C"/>
      <w:shd w:val="clear" w:color="auto" w:fill="E1DFDD"/>
    </w:rPr>
  </w:style>
  <w:style w:type="character" w:styleId="Textodelmarcadordeposicin">
    <w:name w:val="Placeholder Text"/>
    <w:basedOn w:val="Fuentedeprrafopredeter"/>
    <w:uiPriority w:val="99"/>
    <w:semiHidden/>
    <w:rsid w:val="00A452EA"/>
    <w:rPr>
      <w:color w:val="808080"/>
    </w:rPr>
  </w:style>
  <w:style w:type="paragraph" w:styleId="HTMLconformatoprevio">
    <w:name w:val="HTML Preformatted"/>
    <w:basedOn w:val="Normal"/>
    <w:link w:val="HTMLconformatoprevioCar"/>
    <w:uiPriority w:val="99"/>
    <w:semiHidden/>
    <w:unhideWhenUsed/>
    <w:rsid w:val="00DB41B6"/>
    <w:pPr>
      <w:spacing w:after="0"/>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B41B6"/>
    <w:rPr>
      <w:rFonts w:ascii="Consolas" w:eastAsiaTheme="minorEastAsia" w:hAnsi="Consolas" w:cs="Times New Roman"/>
      <w:sz w:val="20"/>
      <w:szCs w:val="20"/>
      <w:lang w:val="es-ES" w:eastAsia="ja-JP"/>
    </w:rPr>
  </w:style>
  <w:style w:type="character" w:styleId="Hipervnculovisitado">
    <w:name w:val="FollowedHyperlink"/>
    <w:basedOn w:val="Fuentedeprrafopredeter"/>
    <w:uiPriority w:val="99"/>
    <w:semiHidden/>
    <w:unhideWhenUsed/>
    <w:rsid w:val="001479E2"/>
    <w:rPr>
      <w:color w:val="954F72" w:themeColor="followedHyperlink"/>
      <w:u w:val="single"/>
    </w:rPr>
  </w:style>
  <w:style w:type="character" w:customStyle="1" w:styleId="Mencinsinresolver3">
    <w:name w:val="Mención sin resolver3"/>
    <w:basedOn w:val="Fuentedeprrafopredeter"/>
    <w:uiPriority w:val="99"/>
    <w:semiHidden/>
    <w:unhideWhenUsed/>
    <w:rsid w:val="00AB57C7"/>
    <w:rPr>
      <w:color w:val="605E5C"/>
      <w:shd w:val="clear" w:color="auto" w:fill="E1DFDD"/>
    </w:rPr>
  </w:style>
  <w:style w:type="character" w:styleId="Mencinsinresolver">
    <w:name w:val="Unresolved Mention"/>
    <w:basedOn w:val="Fuentedeprrafopredeter"/>
    <w:uiPriority w:val="99"/>
    <w:semiHidden/>
    <w:unhideWhenUsed/>
    <w:rsid w:val="00BA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243">
      <w:bodyDiv w:val="1"/>
      <w:marLeft w:val="0"/>
      <w:marRight w:val="0"/>
      <w:marTop w:val="0"/>
      <w:marBottom w:val="0"/>
      <w:divBdr>
        <w:top w:val="none" w:sz="0" w:space="0" w:color="auto"/>
        <w:left w:val="none" w:sz="0" w:space="0" w:color="auto"/>
        <w:bottom w:val="none" w:sz="0" w:space="0" w:color="auto"/>
        <w:right w:val="none" w:sz="0" w:space="0" w:color="auto"/>
      </w:divBdr>
    </w:div>
    <w:div w:id="110167917">
      <w:bodyDiv w:val="1"/>
      <w:marLeft w:val="0"/>
      <w:marRight w:val="0"/>
      <w:marTop w:val="0"/>
      <w:marBottom w:val="0"/>
      <w:divBdr>
        <w:top w:val="none" w:sz="0" w:space="0" w:color="auto"/>
        <w:left w:val="none" w:sz="0" w:space="0" w:color="auto"/>
        <w:bottom w:val="none" w:sz="0" w:space="0" w:color="auto"/>
        <w:right w:val="none" w:sz="0" w:space="0" w:color="auto"/>
      </w:divBdr>
      <w:divsChild>
        <w:div w:id="1867407272">
          <w:marLeft w:val="0"/>
          <w:marRight w:val="0"/>
          <w:marTop w:val="0"/>
          <w:marBottom w:val="0"/>
          <w:divBdr>
            <w:top w:val="none" w:sz="0" w:space="0" w:color="auto"/>
            <w:left w:val="none" w:sz="0" w:space="0" w:color="auto"/>
            <w:bottom w:val="none" w:sz="0" w:space="0" w:color="auto"/>
            <w:right w:val="none" w:sz="0" w:space="0" w:color="auto"/>
          </w:divBdr>
        </w:div>
        <w:div w:id="1100301851">
          <w:marLeft w:val="0"/>
          <w:marRight w:val="0"/>
          <w:marTop w:val="0"/>
          <w:marBottom w:val="0"/>
          <w:divBdr>
            <w:top w:val="none" w:sz="0" w:space="0" w:color="auto"/>
            <w:left w:val="none" w:sz="0" w:space="0" w:color="auto"/>
            <w:bottom w:val="none" w:sz="0" w:space="0" w:color="auto"/>
            <w:right w:val="none" w:sz="0" w:space="0" w:color="auto"/>
          </w:divBdr>
        </w:div>
      </w:divsChild>
    </w:div>
    <w:div w:id="246501702">
      <w:bodyDiv w:val="1"/>
      <w:marLeft w:val="0"/>
      <w:marRight w:val="0"/>
      <w:marTop w:val="0"/>
      <w:marBottom w:val="0"/>
      <w:divBdr>
        <w:top w:val="none" w:sz="0" w:space="0" w:color="auto"/>
        <w:left w:val="none" w:sz="0" w:space="0" w:color="auto"/>
        <w:bottom w:val="none" w:sz="0" w:space="0" w:color="auto"/>
        <w:right w:val="none" w:sz="0" w:space="0" w:color="auto"/>
      </w:divBdr>
    </w:div>
    <w:div w:id="813376175">
      <w:bodyDiv w:val="1"/>
      <w:marLeft w:val="0"/>
      <w:marRight w:val="0"/>
      <w:marTop w:val="0"/>
      <w:marBottom w:val="0"/>
      <w:divBdr>
        <w:top w:val="none" w:sz="0" w:space="0" w:color="auto"/>
        <w:left w:val="none" w:sz="0" w:space="0" w:color="auto"/>
        <w:bottom w:val="none" w:sz="0" w:space="0" w:color="auto"/>
        <w:right w:val="none" w:sz="0" w:space="0" w:color="auto"/>
      </w:divBdr>
      <w:divsChild>
        <w:div w:id="1082603222">
          <w:marLeft w:val="0"/>
          <w:marRight w:val="0"/>
          <w:marTop w:val="0"/>
          <w:marBottom w:val="0"/>
          <w:divBdr>
            <w:top w:val="none" w:sz="0" w:space="0" w:color="auto"/>
            <w:left w:val="none" w:sz="0" w:space="0" w:color="auto"/>
            <w:bottom w:val="none" w:sz="0" w:space="0" w:color="auto"/>
            <w:right w:val="none" w:sz="0" w:space="0" w:color="auto"/>
          </w:divBdr>
        </w:div>
        <w:div w:id="1427070060">
          <w:marLeft w:val="0"/>
          <w:marRight w:val="0"/>
          <w:marTop w:val="0"/>
          <w:marBottom w:val="0"/>
          <w:divBdr>
            <w:top w:val="none" w:sz="0" w:space="0" w:color="auto"/>
            <w:left w:val="none" w:sz="0" w:space="0" w:color="auto"/>
            <w:bottom w:val="none" w:sz="0" w:space="0" w:color="auto"/>
            <w:right w:val="none" w:sz="0" w:space="0" w:color="auto"/>
          </w:divBdr>
        </w:div>
        <w:div w:id="808401541">
          <w:marLeft w:val="0"/>
          <w:marRight w:val="0"/>
          <w:marTop w:val="0"/>
          <w:marBottom w:val="0"/>
          <w:divBdr>
            <w:top w:val="none" w:sz="0" w:space="0" w:color="auto"/>
            <w:left w:val="none" w:sz="0" w:space="0" w:color="auto"/>
            <w:bottom w:val="none" w:sz="0" w:space="0" w:color="auto"/>
            <w:right w:val="none" w:sz="0" w:space="0" w:color="auto"/>
          </w:divBdr>
        </w:div>
        <w:div w:id="687676511">
          <w:marLeft w:val="0"/>
          <w:marRight w:val="0"/>
          <w:marTop w:val="0"/>
          <w:marBottom w:val="0"/>
          <w:divBdr>
            <w:top w:val="none" w:sz="0" w:space="0" w:color="auto"/>
            <w:left w:val="none" w:sz="0" w:space="0" w:color="auto"/>
            <w:bottom w:val="none" w:sz="0" w:space="0" w:color="auto"/>
            <w:right w:val="none" w:sz="0" w:space="0" w:color="auto"/>
          </w:divBdr>
        </w:div>
        <w:div w:id="1884712600">
          <w:marLeft w:val="0"/>
          <w:marRight w:val="0"/>
          <w:marTop w:val="0"/>
          <w:marBottom w:val="0"/>
          <w:divBdr>
            <w:top w:val="none" w:sz="0" w:space="0" w:color="auto"/>
            <w:left w:val="none" w:sz="0" w:space="0" w:color="auto"/>
            <w:bottom w:val="none" w:sz="0" w:space="0" w:color="auto"/>
            <w:right w:val="none" w:sz="0" w:space="0" w:color="auto"/>
          </w:divBdr>
        </w:div>
        <w:div w:id="1444764628">
          <w:marLeft w:val="0"/>
          <w:marRight w:val="0"/>
          <w:marTop w:val="0"/>
          <w:marBottom w:val="0"/>
          <w:divBdr>
            <w:top w:val="none" w:sz="0" w:space="0" w:color="auto"/>
            <w:left w:val="none" w:sz="0" w:space="0" w:color="auto"/>
            <w:bottom w:val="none" w:sz="0" w:space="0" w:color="auto"/>
            <w:right w:val="none" w:sz="0" w:space="0" w:color="auto"/>
          </w:divBdr>
        </w:div>
        <w:div w:id="1838887442">
          <w:marLeft w:val="0"/>
          <w:marRight w:val="0"/>
          <w:marTop w:val="0"/>
          <w:marBottom w:val="0"/>
          <w:divBdr>
            <w:top w:val="none" w:sz="0" w:space="0" w:color="auto"/>
            <w:left w:val="none" w:sz="0" w:space="0" w:color="auto"/>
            <w:bottom w:val="none" w:sz="0" w:space="0" w:color="auto"/>
            <w:right w:val="none" w:sz="0" w:space="0" w:color="auto"/>
          </w:divBdr>
        </w:div>
        <w:div w:id="1822116135">
          <w:marLeft w:val="0"/>
          <w:marRight w:val="0"/>
          <w:marTop w:val="0"/>
          <w:marBottom w:val="0"/>
          <w:divBdr>
            <w:top w:val="none" w:sz="0" w:space="0" w:color="auto"/>
            <w:left w:val="none" w:sz="0" w:space="0" w:color="auto"/>
            <w:bottom w:val="none" w:sz="0" w:space="0" w:color="auto"/>
            <w:right w:val="none" w:sz="0" w:space="0" w:color="auto"/>
          </w:divBdr>
        </w:div>
        <w:div w:id="1921328966">
          <w:marLeft w:val="0"/>
          <w:marRight w:val="0"/>
          <w:marTop w:val="0"/>
          <w:marBottom w:val="0"/>
          <w:divBdr>
            <w:top w:val="none" w:sz="0" w:space="0" w:color="auto"/>
            <w:left w:val="none" w:sz="0" w:space="0" w:color="auto"/>
            <w:bottom w:val="none" w:sz="0" w:space="0" w:color="auto"/>
            <w:right w:val="none" w:sz="0" w:space="0" w:color="auto"/>
          </w:divBdr>
        </w:div>
      </w:divsChild>
    </w:div>
    <w:div w:id="1156651479">
      <w:bodyDiv w:val="1"/>
      <w:marLeft w:val="0"/>
      <w:marRight w:val="0"/>
      <w:marTop w:val="0"/>
      <w:marBottom w:val="0"/>
      <w:divBdr>
        <w:top w:val="none" w:sz="0" w:space="0" w:color="auto"/>
        <w:left w:val="none" w:sz="0" w:space="0" w:color="auto"/>
        <w:bottom w:val="none" w:sz="0" w:space="0" w:color="auto"/>
        <w:right w:val="none" w:sz="0" w:space="0" w:color="auto"/>
      </w:divBdr>
    </w:div>
    <w:div w:id="20882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5446/rcdg.v22n2.37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2551-2972" TargetMode="External"/><Relationship Id="rId2" Type="http://schemas.openxmlformats.org/officeDocument/2006/relationships/hyperlink" Target="https://orcid.org/0000-0002-2390-9677" TargetMode="External"/><Relationship Id="rId1" Type="http://schemas.openxmlformats.org/officeDocument/2006/relationships/hyperlink" Target="mailto:jfmartinc@pedagogic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Obs18</b:Tag>
    <b:SourceType>InternetSite</b:SourceType>
    <b:Guid>{9BC7ADB0-84E9-40E2-A8DA-D687E6978BB0}</b:Guid>
    <b:Title>Observatorio Ambiental de Bogotá</b:Title>
    <b:InternetSiteTitle>oab.Ambientebogota</b:InternetSiteTitle>
    <b:Year>2018</b:Year>
    <b:URL>http://oab.ambientebogota.gov.co/es/indicadores?id=37</b:URL>
    <b:RefOrder>13</b:RefOrder>
  </b:Source>
  <b:Source>
    <b:Tag>Anz15</b:Tag>
    <b:SourceType>Book</b:SourceType>
    <b:Guid>{6CD3914F-F69D-49A8-A1FC-4C8CD22B6934}</b:Guid>
    <b:Title>ESTUDIO DEL MANEJO DE RESIDUOS SÓLIDOS EN EL RELLENO SANITARIO DOÑA JUANA CON EL FIN DE DELINEAR UN BORRADOR DE PROPUESTA PARA EL MANEJO INTEGRAL DE RESIDUOS SÓLIDOS EN LA CIUDAD DE BOGOTÁ D.C</b:Title>
    <b:Year>2015</b:Year>
    <b:City>Bogotá D.C.</b:City>
    <b:Publisher>Universidad Colegio Mayor de Nuestra Señora del Rosario</b:Publisher>
    <b:Author>
      <b:Author>
        <b:NameList>
          <b:Person>
            <b:Last>Anzola Parra</b:Last>
            <b:First>Diego</b:First>
            <b:Middle>Felipe</b:Middle>
          </b:Person>
        </b:NameList>
      </b:Author>
      <b:BookAuthor>
        <b:NameList>
          <b:Person>
            <b:Last>Anzola Parra</b:Last>
            <b:First>Diego</b:First>
            <b:Middle>Felipe</b:Middle>
          </b:Person>
        </b:NameList>
      </b:BookAuthor>
    </b:Author>
    <b:BookTitle>ESTUDIO DEL MANEJO DE RESIDUOS SÓLIDOS EN EL RELLENO SANITARIO DOÑA JUANA CON EL FIN DE DELINEAR UN BORRADOR DE PROPUESTA PARA EL MANEJO INTEGRAL DE RESIDUOS SÓLIDOS EN LA CIUDAD DE BOGOTÁ D.C</b:BookTitle>
    <b:Pages>21-34</b:Pages>
    <b:RefOrder>14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74A66-B634-4F19-8C19-D267BA97EA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6E229-EF56-4AFD-94E3-9D899F661A68}">
  <ds:schemaRefs>
    <ds:schemaRef ds:uri="http://schemas.openxmlformats.org/officeDocument/2006/bibliography"/>
  </ds:schemaRefs>
</ds:datastoreItem>
</file>

<file path=customXml/itemProps3.xml><?xml version="1.0" encoding="utf-8"?>
<ds:datastoreItem xmlns:ds="http://schemas.openxmlformats.org/officeDocument/2006/customXml" ds:itemID="{75FA30D1-5B2D-4187-B519-102DB7E9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45B89-DECF-4791-89F9-B5E4CB63E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7973</Words>
  <Characters>45447</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2021-06-21T14:04:00Z</dcterms:created>
  <dcterms:modified xsi:type="dcterms:W3CDTF">2021-06-21T17:01:00Z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01a8402a-6fe2-3408-bf8e-8ad6d6149a11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0x010100EEDFE4926EC7134DB332E25B945F67C8</vt:lpwstr>
  </property>
</Properties>
</file>