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6DAA6" w14:textId="77777777" w:rsidR="006B7EF9" w:rsidRDefault="006B7EF9" w:rsidP="006B7EF9">
      <w:pPr>
        <w:spacing w:after="0" w:line="240" w:lineRule="auto"/>
        <w:jc w:val="center"/>
        <w:textAlignment w:val="baseline"/>
        <w:rPr>
          <w:rFonts w:eastAsiaTheme="minorEastAsia"/>
          <w:b/>
          <w:highlight w:val="green"/>
        </w:rPr>
      </w:pPr>
      <w:r w:rsidRPr="006B7EF9">
        <w:rPr>
          <w:rFonts w:eastAsiaTheme="minorEastAsia"/>
          <w:b/>
          <w:bCs/>
        </w:rPr>
        <w:t>Establecimiento y manejo de árboles en la ciudad</w:t>
      </w:r>
    </w:p>
    <w:p w14:paraId="6515370F" w14:textId="01ED4643" w:rsidR="006B7EF9" w:rsidRDefault="006B7EF9" w:rsidP="2CC09DFD">
      <w:pPr>
        <w:spacing w:after="0" w:line="240" w:lineRule="auto"/>
        <w:jc w:val="center"/>
        <w:rPr>
          <w:rFonts w:eastAsiaTheme="minorEastAsia"/>
          <w:b/>
          <w:bCs/>
          <w:highlight w:val="green"/>
        </w:rPr>
      </w:pPr>
    </w:p>
    <w:p w14:paraId="79EE254B" w14:textId="77777777" w:rsidR="006B7EF9" w:rsidRDefault="006B7EF9" w:rsidP="2CC09DFD">
      <w:pPr>
        <w:shd w:val="clear" w:color="auto" w:fill="FFFFFF" w:themeFill="background1"/>
        <w:spacing w:after="0" w:line="240" w:lineRule="auto"/>
        <w:jc w:val="right"/>
        <w:rPr>
          <w:rFonts w:eastAsiaTheme="minorEastAsia"/>
          <w:b/>
          <w:bCs/>
          <w:color w:val="201F1E"/>
          <w:lang w:eastAsia="es-CR"/>
        </w:rPr>
      </w:pPr>
      <w:r w:rsidRPr="2CC09DFD">
        <w:rPr>
          <w:rFonts w:eastAsiaTheme="minorEastAsia"/>
          <w:b/>
          <w:bCs/>
          <w:color w:val="201F1E"/>
          <w:lang w:eastAsia="es-CR"/>
        </w:rPr>
        <w:t>Fabricio Ballestero Jiménez</w:t>
      </w:r>
    </w:p>
    <w:p w14:paraId="3463023B" w14:textId="77777777" w:rsidR="006B7EF9" w:rsidRDefault="006B7EF9" w:rsidP="2CC09DFD">
      <w:pPr>
        <w:shd w:val="clear" w:color="auto" w:fill="FFFFFF" w:themeFill="background1"/>
        <w:spacing w:after="0" w:line="240" w:lineRule="auto"/>
        <w:jc w:val="right"/>
        <w:rPr>
          <w:rFonts w:eastAsiaTheme="minorEastAsia"/>
          <w:b/>
          <w:bCs/>
          <w:color w:val="201F1E"/>
          <w:lang w:eastAsia="es-CR"/>
        </w:rPr>
      </w:pPr>
      <w:r w:rsidRPr="2CC09DFD">
        <w:rPr>
          <w:rFonts w:eastAsiaTheme="minorEastAsia"/>
          <w:b/>
          <w:bCs/>
          <w:color w:val="201F1E"/>
          <w:lang w:eastAsia="es-CR"/>
        </w:rPr>
        <w:t>Transición a una economía verde urbana (TEVU)</w:t>
      </w:r>
    </w:p>
    <w:p w14:paraId="55596EF1" w14:textId="16879A52" w:rsidR="006B7EF9" w:rsidRDefault="3BBA756E" w:rsidP="2CC09DFD">
      <w:pPr>
        <w:spacing w:after="0" w:line="240" w:lineRule="auto"/>
        <w:jc w:val="right"/>
        <w:rPr>
          <w:rFonts w:eastAsiaTheme="minorEastAsia"/>
        </w:rPr>
      </w:pPr>
      <w:r w:rsidRPr="2CC09DFD">
        <w:rPr>
          <w:rFonts w:eastAsiaTheme="minorEastAsia"/>
          <w:color w:val="000000" w:themeColor="text1"/>
        </w:rPr>
        <w:t>(</w:t>
      </w:r>
      <w:r w:rsidR="006B7EF9" w:rsidRPr="2CC09DFD">
        <w:rPr>
          <w:rFonts w:eastAsiaTheme="minorEastAsia"/>
          <w:color w:val="0070C0"/>
        </w:rPr>
        <w:t>fabricio.ballestero@tropicalstudies.org</w:t>
      </w:r>
      <w:r w:rsidR="0D441336" w:rsidRPr="2CC09DFD">
        <w:rPr>
          <w:rFonts w:eastAsiaTheme="minorEastAsia"/>
          <w:color w:val="000000" w:themeColor="text1"/>
        </w:rPr>
        <w:t>)</w:t>
      </w:r>
    </w:p>
    <w:p w14:paraId="630207C3" w14:textId="77777777" w:rsidR="006B7EF9" w:rsidRDefault="006B7EF9" w:rsidP="2CC09DFD">
      <w:pPr>
        <w:shd w:val="clear" w:color="auto" w:fill="FFFFFF" w:themeFill="background1"/>
        <w:spacing w:after="0" w:line="240" w:lineRule="auto"/>
        <w:rPr>
          <w:rFonts w:eastAsiaTheme="minorEastAsia"/>
          <w:b/>
          <w:bCs/>
        </w:rPr>
      </w:pPr>
    </w:p>
    <w:p w14:paraId="5FF0B97A" w14:textId="77777777" w:rsidR="006B7EF9" w:rsidRDefault="006B7EF9" w:rsidP="2CC09DFD">
      <w:pPr>
        <w:shd w:val="clear" w:color="auto" w:fill="FFFFFF" w:themeFill="background1"/>
        <w:spacing w:after="0" w:line="240" w:lineRule="auto"/>
        <w:jc w:val="right"/>
        <w:rPr>
          <w:rFonts w:eastAsiaTheme="minorEastAsia"/>
          <w:b/>
          <w:bCs/>
          <w:color w:val="201F1E"/>
          <w:lang w:eastAsia="es-CR"/>
        </w:rPr>
      </w:pPr>
      <w:r w:rsidRPr="2CC09DFD">
        <w:rPr>
          <w:rFonts w:eastAsiaTheme="minorEastAsia"/>
          <w:b/>
          <w:bCs/>
          <w:color w:val="201F1E"/>
          <w:lang w:eastAsia="es-CR"/>
        </w:rPr>
        <w:t>Carla Padilla Salas</w:t>
      </w:r>
    </w:p>
    <w:p w14:paraId="290745EE" w14:textId="77777777" w:rsidR="006B7EF9" w:rsidRDefault="006B7EF9" w:rsidP="2CC09DFD">
      <w:pPr>
        <w:shd w:val="clear" w:color="auto" w:fill="FFFFFF" w:themeFill="background1"/>
        <w:spacing w:after="0" w:line="240" w:lineRule="auto"/>
        <w:jc w:val="right"/>
        <w:rPr>
          <w:rFonts w:eastAsiaTheme="minorEastAsia"/>
          <w:b/>
          <w:bCs/>
          <w:color w:val="201F1E"/>
          <w:lang w:eastAsia="es-CR"/>
        </w:rPr>
      </w:pPr>
      <w:r w:rsidRPr="2CC09DFD">
        <w:rPr>
          <w:rFonts w:eastAsiaTheme="minorEastAsia"/>
          <w:b/>
          <w:bCs/>
          <w:color w:val="201F1E"/>
          <w:lang w:eastAsia="es-CR"/>
        </w:rPr>
        <w:t>Transición a una economía verde urbana (TEVU)</w:t>
      </w:r>
    </w:p>
    <w:p w14:paraId="17127B3A" w14:textId="24E8FE2A" w:rsidR="006B7EF9" w:rsidRDefault="18D3B42E" w:rsidP="2CC09DFD">
      <w:pPr>
        <w:spacing w:after="0" w:line="240" w:lineRule="auto"/>
        <w:jc w:val="right"/>
        <w:rPr>
          <w:rFonts w:eastAsiaTheme="minorEastAsia"/>
        </w:rPr>
      </w:pPr>
      <w:r w:rsidRPr="2CC09DFD">
        <w:rPr>
          <w:rFonts w:eastAsiaTheme="minorEastAsia"/>
          <w:color w:val="000000" w:themeColor="text1"/>
        </w:rPr>
        <w:t>(</w:t>
      </w:r>
      <w:r w:rsidR="006B7EF9" w:rsidRPr="2CC09DFD">
        <w:rPr>
          <w:rFonts w:eastAsiaTheme="minorEastAsia"/>
          <w:color w:val="0070C0"/>
        </w:rPr>
        <w:t>carla.padilla@tropicalstudies.org</w:t>
      </w:r>
      <w:r w:rsidR="2FADEE13" w:rsidRPr="2CC09DFD">
        <w:rPr>
          <w:rFonts w:eastAsiaTheme="minorEastAsia"/>
          <w:color w:val="000000" w:themeColor="text1"/>
        </w:rPr>
        <w:t>)</w:t>
      </w:r>
    </w:p>
    <w:p w14:paraId="760D6926" w14:textId="77777777" w:rsidR="006B7EF9" w:rsidRPr="00954F36" w:rsidRDefault="006B7EF9" w:rsidP="006B7EF9">
      <w:pPr>
        <w:shd w:val="clear" w:color="auto" w:fill="FFFFFF" w:themeFill="background1"/>
        <w:spacing w:after="0" w:line="240" w:lineRule="auto"/>
        <w:jc w:val="both"/>
        <w:rPr>
          <w:rFonts w:eastAsiaTheme="minorEastAsia"/>
          <w:highlight w:val="yellow"/>
        </w:rPr>
      </w:pPr>
    </w:p>
    <w:p w14:paraId="5AA2A384" w14:textId="6A31D4F6" w:rsidR="006B7EF9" w:rsidRPr="00954F36" w:rsidRDefault="680EBF4C" w:rsidP="2CC09DFD">
      <w:pPr>
        <w:shd w:val="clear" w:color="auto" w:fill="FFFFFF" w:themeFill="background1"/>
        <w:spacing w:after="0" w:line="240" w:lineRule="auto"/>
        <w:jc w:val="both"/>
        <w:rPr>
          <w:rFonts w:eastAsiaTheme="minorEastAsia"/>
        </w:rPr>
      </w:pPr>
      <w:r w:rsidRPr="393D228E">
        <w:rPr>
          <w:rFonts w:eastAsiaTheme="minorEastAsia"/>
          <w:b/>
          <w:bCs/>
          <w:sz w:val="28"/>
          <w:szCs w:val="28"/>
        </w:rPr>
        <w:t>L</w:t>
      </w:r>
      <w:r w:rsidR="006B7EF9" w:rsidRPr="393D228E">
        <w:rPr>
          <w:rFonts w:eastAsiaTheme="minorEastAsia"/>
        </w:rPr>
        <w:t>as ciudades se han convertido en los lugares con mayor población del mundo</w:t>
      </w:r>
      <w:r w:rsidR="00D837E8">
        <w:rPr>
          <w:rFonts w:eastAsiaTheme="minorEastAsia"/>
        </w:rPr>
        <w:t>;</w:t>
      </w:r>
      <w:r w:rsidR="006B7EF9" w:rsidRPr="393D228E">
        <w:rPr>
          <w:rFonts w:eastAsiaTheme="minorEastAsia"/>
        </w:rPr>
        <w:t xml:space="preserve"> típicamente nuestras ciudades se han caracterizado por su crecimiento exponencial de la mano de una falta de planificación territorial, dinámica que repercute sobre la cantidad y calidad de espacio verde disponible para las personas que habitan estos espacios </w:t>
      </w:r>
      <w:r w:rsidR="006B7EF9" w:rsidRPr="393D228E">
        <w:rPr>
          <w:rFonts w:ascii="Calibri" w:eastAsia="Calibri" w:hAnsi="Calibri" w:cs="Calibri"/>
          <w:color w:val="0070C0"/>
        </w:rPr>
        <w:t>(MINAE</w:t>
      </w:r>
      <w:r w:rsidR="0049172E">
        <w:rPr>
          <w:rFonts w:ascii="Calibri" w:eastAsia="Calibri" w:hAnsi="Calibri" w:cs="Calibri"/>
          <w:color w:val="0070C0"/>
        </w:rPr>
        <w:t xml:space="preserve"> </w:t>
      </w:r>
      <w:r w:rsidR="0049172E" w:rsidRPr="0049172E">
        <w:rPr>
          <w:rFonts w:ascii="Calibri" w:eastAsia="Calibri" w:hAnsi="Calibri" w:cs="Calibri"/>
          <w:i/>
          <w:iCs/>
          <w:color w:val="0070C0"/>
        </w:rPr>
        <w:t>et al.</w:t>
      </w:r>
      <w:r w:rsidR="006B7EF9" w:rsidRPr="393D228E">
        <w:rPr>
          <w:rFonts w:ascii="Calibri" w:eastAsia="Calibri" w:hAnsi="Calibri" w:cs="Calibri"/>
          <w:color w:val="0070C0"/>
        </w:rPr>
        <w:t>, 2019</w:t>
      </w:r>
      <w:r w:rsidR="006B7EF9" w:rsidRPr="393D228E">
        <w:rPr>
          <w:rFonts w:eastAsiaTheme="minorEastAsia"/>
        </w:rPr>
        <w:t>).</w:t>
      </w:r>
      <w:r w:rsidR="00A42005" w:rsidRPr="393D228E">
        <w:rPr>
          <w:rFonts w:eastAsiaTheme="minorEastAsia"/>
        </w:rPr>
        <w:t xml:space="preserve"> Según la Oficina Regional de Europa para la Organización Mundial de la Salud</w:t>
      </w:r>
      <w:r w:rsidR="70E007D6" w:rsidRPr="393D228E">
        <w:rPr>
          <w:rFonts w:eastAsiaTheme="minorEastAsia"/>
        </w:rPr>
        <w:t xml:space="preserve"> (</w:t>
      </w:r>
      <w:r w:rsidR="70E007D6" w:rsidRPr="393D228E">
        <w:rPr>
          <w:rFonts w:eastAsiaTheme="minorEastAsia"/>
          <w:color w:val="0070C0"/>
        </w:rPr>
        <w:t>s. f.,</w:t>
      </w:r>
      <w:r w:rsidR="6769DCA3" w:rsidRPr="393D228E">
        <w:rPr>
          <w:rFonts w:eastAsiaTheme="minorEastAsia"/>
          <w:color w:val="0070C0"/>
        </w:rPr>
        <w:t xml:space="preserve"> como se citó en Picón </w:t>
      </w:r>
      <w:r w:rsidR="6769DCA3" w:rsidRPr="00A851A1">
        <w:rPr>
          <w:rFonts w:eastAsiaTheme="minorEastAsia"/>
          <w:i/>
          <w:iCs/>
          <w:color w:val="0070C0"/>
        </w:rPr>
        <w:t>et al</w:t>
      </w:r>
      <w:r w:rsidR="6769DCA3" w:rsidRPr="393D228E">
        <w:rPr>
          <w:rFonts w:eastAsiaTheme="minorEastAsia"/>
          <w:color w:val="0070C0"/>
        </w:rPr>
        <w:t>., 2022</w:t>
      </w:r>
      <w:r w:rsidR="6769DCA3" w:rsidRPr="393D228E">
        <w:rPr>
          <w:rFonts w:eastAsiaTheme="minorEastAsia"/>
        </w:rPr>
        <w:t>),</w:t>
      </w:r>
      <w:r w:rsidR="6769DCA3" w:rsidRPr="393D228E">
        <w:rPr>
          <w:rFonts w:eastAsiaTheme="minorEastAsia"/>
          <w:color w:val="0070C0"/>
        </w:rPr>
        <w:t xml:space="preserve"> </w:t>
      </w:r>
      <w:r w:rsidR="00A42005" w:rsidRPr="393D228E">
        <w:rPr>
          <w:rFonts w:eastAsiaTheme="minorEastAsia"/>
        </w:rPr>
        <w:t xml:space="preserve">cada habitante debe disponer de 10 a 15 m² de zonas verdes a menos de 300 m o a cinco minutos caminando. </w:t>
      </w:r>
      <w:r w:rsidR="006B7EF9" w:rsidRPr="393D228E">
        <w:rPr>
          <w:rFonts w:ascii="Calibri" w:eastAsia="Calibri" w:hAnsi="Calibri" w:cs="Calibri"/>
        </w:rPr>
        <w:t>Se estima que solamente un aproximado de 27</w:t>
      </w:r>
      <w:r w:rsidR="7009A6E0" w:rsidRPr="393D228E">
        <w:rPr>
          <w:rFonts w:ascii="Calibri" w:eastAsia="Calibri" w:hAnsi="Calibri" w:cs="Calibri"/>
        </w:rPr>
        <w:t xml:space="preserve"> </w:t>
      </w:r>
      <w:r w:rsidR="006B7EF9" w:rsidRPr="393D228E">
        <w:rPr>
          <w:rFonts w:ascii="Calibri" w:eastAsia="Calibri" w:hAnsi="Calibri" w:cs="Calibri"/>
        </w:rPr>
        <w:t xml:space="preserve">% de las ciudades </w:t>
      </w:r>
      <w:r w:rsidR="005A1916">
        <w:rPr>
          <w:rFonts w:ascii="Calibri" w:eastAsia="Calibri" w:hAnsi="Calibri" w:cs="Calibri"/>
        </w:rPr>
        <w:t xml:space="preserve">en el mundo </w:t>
      </w:r>
      <w:r w:rsidR="006B7EF9" w:rsidRPr="393D228E">
        <w:rPr>
          <w:rFonts w:ascii="Calibri" w:eastAsia="Calibri" w:hAnsi="Calibri" w:cs="Calibri"/>
        </w:rPr>
        <w:t>tienen un nivel alto o moderado de espacios verdes (</w:t>
      </w:r>
      <w:r w:rsidR="006B7EF9" w:rsidRPr="393D228E">
        <w:rPr>
          <w:rFonts w:ascii="Calibri" w:eastAsia="Calibri" w:hAnsi="Calibri" w:cs="Calibri"/>
          <w:color w:val="0070C0"/>
        </w:rPr>
        <w:t xml:space="preserve">Lancet </w:t>
      </w:r>
      <w:proofErr w:type="spellStart"/>
      <w:r w:rsidR="006B7EF9" w:rsidRPr="393D228E">
        <w:rPr>
          <w:rFonts w:ascii="Calibri" w:eastAsia="Calibri" w:hAnsi="Calibri" w:cs="Calibri"/>
          <w:color w:val="0070C0"/>
        </w:rPr>
        <w:t>Countdown</w:t>
      </w:r>
      <w:proofErr w:type="spellEnd"/>
      <w:r w:rsidR="006B7EF9" w:rsidRPr="393D228E">
        <w:rPr>
          <w:rFonts w:ascii="Calibri" w:eastAsia="Calibri" w:hAnsi="Calibri" w:cs="Calibri"/>
          <w:color w:val="0070C0"/>
        </w:rPr>
        <w:t>, 2022</w:t>
      </w:r>
      <w:r w:rsidR="006B7EF9" w:rsidRPr="393D228E">
        <w:rPr>
          <w:rFonts w:ascii="Calibri" w:eastAsia="Calibri" w:hAnsi="Calibri" w:cs="Calibri"/>
        </w:rPr>
        <w:t xml:space="preserve">), a pesar de las implicaciones que </w:t>
      </w:r>
      <w:r w:rsidR="005A1916">
        <w:rPr>
          <w:rFonts w:ascii="Calibri" w:eastAsia="Calibri" w:hAnsi="Calibri" w:cs="Calibri"/>
        </w:rPr>
        <w:t xml:space="preserve">esto </w:t>
      </w:r>
      <w:r w:rsidR="006B7EF9" w:rsidRPr="393D228E">
        <w:rPr>
          <w:rFonts w:ascii="Calibri" w:eastAsia="Calibri" w:hAnsi="Calibri" w:cs="Calibri"/>
        </w:rPr>
        <w:t>tiene sobre la salud física y mental de sus pobladores.</w:t>
      </w:r>
    </w:p>
    <w:p w14:paraId="0C6D04BF" w14:textId="4B2EFD98" w:rsidR="006B7EF9" w:rsidRPr="00954F36" w:rsidRDefault="00FC545D" w:rsidP="2CC09DFD">
      <w:pPr>
        <w:shd w:val="clear" w:color="auto" w:fill="FFFFFF" w:themeFill="background1"/>
        <w:spacing w:after="0" w:line="240" w:lineRule="auto"/>
        <w:ind w:firstLine="708"/>
        <w:jc w:val="both"/>
        <w:rPr>
          <w:rFonts w:eastAsiaTheme="minorEastAsia"/>
        </w:rPr>
      </w:pPr>
      <w:r>
        <w:rPr>
          <w:rFonts w:eastAsiaTheme="minorEastAsia"/>
        </w:rPr>
        <w:t>Por tanto</w:t>
      </w:r>
      <w:r w:rsidR="006B7EF9" w:rsidRPr="60EAC1B2">
        <w:rPr>
          <w:rFonts w:eastAsiaTheme="minorEastAsia"/>
        </w:rPr>
        <w:t>, se ha venido llevando a cabo un sin número de iniciativas locales y regionales que buscan la rehabilitación de los ecosistemas y el rescate de espacios verdes urbanos</w:t>
      </w:r>
      <w:r w:rsidR="00044F76">
        <w:rPr>
          <w:rFonts w:eastAsiaTheme="minorEastAsia"/>
        </w:rPr>
        <w:t>;</w:t>
      </w:r>
      <w:r w:rsidR="006B7EF9" w:rsidRPr="60EAC1B2">
        <w:rPr>
          <w:rFonts w:eastAsiaTheme="minorEastAsia"/>
        </w:rPr>
        <w:t xml:space="preserve"> parece ser que cada vez se toma mayor conciencia sobre el fomento del cuido de la biodiversidad urbana. Campañas públicas, privadas e incluso autogestionadas, forman parte de la cantidad de oportunidades que tiene la ciudadanía para vincularse en el trabajo directo de plantación y el cuido de árboles urbanos. Sin embargo, desde lo observado en campo muchas de estas actividades no cuentan con estándares técnicos adecuados que garanticen el mayor porcentaje de sobrevivencia de los árboles </w:t>
      </w:r>
      <w:r w:rsidR="00A42005" w:rsidRPr="60EAC1B2">
        <w:rPr>
          <w:rFonts w:eastAsiaTheme="minorEastAsia"/>
        </w:rPr>
        <w:t>y,</w:t>
      </w:r>
      <w:r w:rsidR="006B7EF9" w:rsidRPr="60EAC1B2">
        <w:rPr>
          <w:rFonts w:eastAsiaTheme="minorEastAsia"/>
        </w:rPr>
        <w:t xml:space="preserve"> por ende, el máximo aprovechamiento de los recursos, tanto los propios como los de las personas que participan directa o indirectamente de estos procesos.</w:t>
      </w:r>
    </w:p>
    <w:p w14:paraId="516723AB" w14:textId="525CF7F7" w:rsidR="60EAC1B2" w:rsidRDefault="60EAC1B2" w:rsidP="60EAC1B2">
      <w:pPr>
        <w:shd w:val="clear" w:color="auto" w:fill="FFFFFF" w:themeFill="background1"/>
        <w:spacing w:after="0" w:line="240" w:lineRule="auto"/>
        <w:ind w:firstLine="708"/>
        <w:jc w:val="both"/>
        <w:rPr>
          <w:rFonts w:eastAsiaTheme="minorEastAsia"/>
        </w:rPr>
      </w:pPr>
    </w:p>
    <w:p w14:paraId="3D4F8F4B" w14:textId="38F1825B" w:rsidR="006B7EF9" w:rsidRPr="00954F36" w:rsidRDefault="4350A198" w:rsidP="60EAC1B2">
      <w:pPr>
        <w:shd w:val="clear" w:color="auto" w:fill="FFFFFF" w:themeFill="background1"/>
        <w:spacing w:after="0" w:line="240" w:lineRule="auto"/>
        <w:jc w:val="both"/>
        <w:rPr>
          <w:rFonts w:eastAsiaTheme="minorEastAsia"/>
        </w:rPr>
      </w:pPr>
      <w:r w:rsidRPr="60EAC1B2">
        <w:rPr>
          <w:rFonts w:eastAsiaTheme="minorEastAsia"/>
          <w:b/>
          <w:bCs/>
          <w:sz w:val="28"/>
          <w:szCs w:val="28"/>
        </w:rPr>
        <w:t>C</w:t>
      </w:r>
      <w:r w:rsidR="006B7EF9" w:rsidRPr="60EAC1B2">
        <w:rPr>
          <w:rFonts w:eastAsiaTheme="minorEastAsia"/>
        </w:rPr>
        <w:t>on el fin de evitar esta situación y lograr el correcto establecimiento de los nuevos árboles</w:t>
      </w:r>
      <w:r w:rsidR="2BA45EDE" w:rsidRPr="60EAC1B2">
        <w:rPr>
          <w:rFonts w:eastAsiaTheme="minorEastAsia"/>
        </w:rPr>
        <w:t xml:space="preserve"> </w:t>
      </w:r>
      <w:r w:rsidR="006B7EF9" w:rsidRPr="60EAC1B2">
        <w:rPr>
          <w:rFonts w:eastAsiaTheme="minorEastAsia"/>
        </w:rPr>
        <w:t xml:space="preserve">y plantas en general, así como lograr los beneficios </w:t>
      </w:r>
      <w:r w:rsidR="00BE7824">
        <w:rPr>
          <w:rFonts w:eastAsiaTheme="minorEastAsia"/>
        </w:rPr>
        <w:t>esperados</w:t>
      </w:r>
      <w:r w:rsidR="5F415EB1" w:rsidRPr="60EAC1B2">
        <w:rPr>
          <w:rFonts w:eastAsiaTheme="minorEastAsia"/>
        </w:rPr>
        <w:t>,</w:t>
      </w:r>
      <w:r w:rsidR="006B7EF9" w:rsidRPr="60EAC1B2">
        <w:rPr>
          <w:rFonts w:eastAsiaTheme="minorEastAsia"/>
        </w:rPr>
        <w:t xml:space="preserve"> tales como servicios ecosistémicos y sus impactos positivos en la salud física y mental de los habitantes de las zonas urbanas, se recomienda el cumplimiento de las siguientes variables en una primera etapa de </w:t>
      </w:r>
      <w:r w:rsidR="006B7EF9" w:rsidRPr="60EAC1B2">
        <w:rPr>
          <w:rFonts w:eastAsiaTheme="minorEastAsia"/>
          <w:i/>
          <w:iCs/>
        </w:rPr>
        <w:t>planificación</w:t>
      </w:r>
      <w:r w:rsidR="006B7EF9" w:rsidRPr="60EAC1B2">
        <w:rPr>
          <w:rFonts w:eastAsiaTheme="minorEastAsia"/>
        </w:rPr>
        <w:t>:</w:t>
      </w:r>
    </w:p>
    <w:p w14:paraId="175E9E81" w14:textId="19BA5FA2" w:rsidR="006B7EF9" w:rsidRDefault="006B7EF9" w:rsidP="2CC09DFD">
      <w:pPr>
        <w:pStyle w:val="Prrafodelista"/>
        <w:numPr>
          <w:ilvl w:val="0"/>
          <w:numId w:val="2"/>
        </w:numPr>
        <w:shd w:val="clear" w:color="auto" w:fill="FFFFFF" w:themeFill="background1"/>
        <w:spacing w:after="0" w:line="240" w:lineRule="auto"/>
        <w:jc w:val="both"/>
        <w:textAlignment w:val="baseline"/>
        <w:rPr>
          <w:rFonts w:eastAsiaTheme="minorEastAsia"/>
        </w:rPr>
      </w:pPr>
      <w:r w:rsidRPr="60EAC1B2">
        <w:rPr>
          <w:rFonts w:eastAsiaTheme="minorEastAsia"/>
          <w:i/>
          <w:iCs/>
        </w:rPr>
        <w:t>Definir el objetivo</w:t>
      </w:r>
      <w:r w:rsidR="48C0ADF1" w:rsidRPr="60EAC1B2">
        <w:rPr>
          <w:rFonts w:eastAsiaTheme="minorEastAsia"/>
          <w:i/>
          <w:iCs/>
        </w:rPr>
        <w:t>.</w:t>
      </w:r>
      <w:r w:rsidR="48C0ADF1" w:rsidRPr="60EAC1B2">
        <w:rPr>
          <w:rFonts w:eastAsiaTheme="minorEastAsia"/>
        </w:rPr>
        <w:t xml:space="preserve"> E</w:t>
      </w:r>
      <w:r w:rsidRPr="60EAC1B2">
        <w:rPr>
          <w:rFonts w:eastAsiaTheme="minorEastAsia"/>
        </w:rPr>
        <w:t>s relevante establecer los objetivos generales y específicos que se desean lograr con el plan de arborización, siendo de vital importancia mapear actores o iniciativas que ejecutan actividades similares en el territorio</w:t>
      </w:r>
      <w:r w:rsidR="05146D35" w:rsidRPr="60EAC1B2">
        <w:rPr>
          <w:rFonts w:eastAsiaTheme="minorEastAsia"/>
        </w:rPr>
        <w:t xml:space="preserve">, </w:t>
      </w:r>
      <w:r w:rsidRPr="60EAC1B2">
        <w:rPr>
          <w:rFonts w:eastAsiaTheme="minorEastAsia"/>
        </w:rPr>
        <w:t xml:space="preserve">con quienes se podrían establecer alianzas para potenciar el trabajo conjunto. </w:t>
      </w:r>
    </w:p>
    <w:p w14:paraId="23F36F2A" w14:textId="1DE9F547" w:rsidR="006B7EF9" w:rsidRPr="00954F36" w:rsidRDefault="006B7EF9" w:rsidP="2CC09DFD">
      <w:pPr>
        <w:pStyle w:val="Prrafodelista"/>
        <w:numPr>
          <w:ilvl w:val="0"/>
          <w:numId w:val="2"/>
        </w:numPr>
        <w:shd w:val="clear" w:color="auto" w:fill="FFFFFF" w:themeFill="background1"/>
        <w:spacing w:after="0" w:line="240" w:lineRule="auto"/>
        <w:jc w:val="both"/>
        <w:rPr>
          <w:rFonts w:eastAsiaTheme="minorEastAsia"/>
        </w:rPr>
      </w:pPr>
      <w:r w:rsidRPr="60EAC1B2">
        <w:rPr>
          <w:rFonts w:eastAsiaTheme="minorEastAsia"/>
          <w:i/>
          <w:iCs/>
        </w:rPr>
        <w:t>Condiciones del sitio</w:t>
      </w:r>
      <w:r w:rsidR="5E49F00D" w:rsidRPr="60EAC1B2">
        <w:rPr>
          <w:rFonts w:eastAsiaTheme="minorEastAsia"/>
          <w:i/>
          <w:iCs/>
        </w:rPr>
        <w:t>.</w:t>
      </w:r>
      <w:r w:rsidRPr="60EAC1B2">
        <w:rPr>
          <w:rFonts w:eastAsiaTheme="minorEastAsia"/>
        </w:rPr>
        <w:t xml:space="preserve"> Se debe generar una descripción del sitio considerando aspectos como a quién pertenece el área a reforestar, cuánta área posee en total, cuánta de esa área será la que se pueda </w:t>
      </w:r>
      <w:r w:rsidR="04976B71" w:rsidRPr="60EAC1B2">
        <w:rPr>
          <w:rFonts w:eastAsiaTheme="minorEastAsia"/>
        </w:rPr>
        <w:t>intervenir</w:t>
      </w:r>
      <w:r w:rsidRPr="60EAC1B2">
        <w:rPr>
          <w:rFonts w:eastAsiaTheme="minorEastAsia"/>
        </w:rPr>
        <w:t>, colindantes y cualquier otro detalle relevante. Es recomendable mapear y considerar toda la infraestructura</w:t>
      </w:r>
      <w:r w:rsidR="726C0C88" w:rsidRPr="60EAC1B2">
        <w:rPr>
          <w:rFonts w:eastAsiaTheme="minorEastAsia"/>
        </w:rPr>
        <w:t xml:space="preserve"> y </w:t>
      </w:r>
      <w:r w:rsidRPr="60EAC1B2">
        <w:rPr>
          <w:rFonts w:eastAsiaTheme="minorEastAsia"/>
        </w:rPr>
        <w:t>usos presentes</w:t>
      </w:r>
      <w:r w:rsidR="68BEEB3C" w:rsidRPr="60EAC1B2">
        <w:rPr>
          <w:rFonts w:eastAsiaTheme="minorEastAsia"/>
        </w:rPr>
        <w:t>,</w:t>
      </w:r>
      <w:r w:rsidRPr="60EAC1B2">
        <w:rPr>
          <w:rFonts w:eastAsiaTheme="minorEastAsia"/>
        </w:rPr>
        <w:t xml:space="preserve"> tales como: áreas de picnic, zonas de paso, zonas de juegos, barreras físicas, tubería existente, aceras, calles, señales de tránsito, cableado eléctrico tanto subterráneo como aéreo y cualquier otro elemento que vaya a tener una interacción directa e indirecta con </w:t>
      </w:r>
      <w:r w:rsidR="433B4135" w:rsidRPr="60EAC1B2">
        <w:rPr>
          <w:rFonts w:eastAsiaTheme="minorEastAsia"/>
        </w:rPr>
        <w:t xml:space="preserve">las plantas a sembrar. </w:t>
      </w:r>
      <w:r w:rsidR="00A350ED" w:rsidRPr="60EAC1B2">
        <w:rPr>
          <w:rFonts w:eastAsiaTheme="minorEastAsia"/>
        </w:rPr>
        <w:t>Con esto se minimizan los potenciales conflictos con el tejido verde urbano.</w:t>
      </w:r>
    </w:p>
    <w:p w14:paraId="621ECD87" w14:textId="301BF800" w:rsidR="006B7EF9" w:rsidRPr="00954F36" w:rsidRDefault="3D59EC60" w:rsidP="2CC09DFD">
      <w:pPr>
        <w:shd w:val="clear" w:color="auto" w:fill="FFFFFF" w:themeFill="background1"/>
        <w:spacing w:after="0" w:line="240" w:lineRule="auto"/>
        <w:ind w:left="720"/>
        <w:jc w:val="both"/>
        <w:rPr>
          <w:rFonts w:eastAsiaTheme="minorEastAsia"/>
        </w:rPr>
      </w:pPr>
      <w:r w:rsidRPr="2CC09DFD">
        <w:rPr>
          <w:rFonts w:eastAsiaTheme="minorEastAsia"/>
        </w:rPr>
        <w:t xml:space="preserve">También </w:t>
      </w:r>
      <w:r w:rsidR="006B7EF9" w:rsidRPr="2CC09DFD">
        <w:rPr>
          <w:rFonts w:eastAsiaTheme="minorEastAsia"/>
        </w:rPr>
        <w:t>se debe</w:t>
      </w:r>
      <w:r w:rsidR="435A44E2" w:rsidRPr="2CC09DFD">
        <w:rPr>
          <w:rFonts w:eastAsiaTheme="minorEastAsia"/>
        </w:rPr>
        <w:t xml:space="preserve">n describir </w:t>
      </w:r>
      <w:r w:rsidR="006B7EF9" w:rsidRPr="2CC09DFD">
        <w:rPr>
          <w:rFonts w:eastAsiaTheme="minorEastAsia"/>
        </w:rPr>
        <w:t>los usos del suelo (pastizales, parques, aceras, áreas ribereñas, entre otros), tipos de suelo y características del relieve (pendientes, clase de suelos, entre otros).</w:t>
      </w:r>
      <w:r w:rsidR="1CAC5EF9" w:rsidRPr="2CC09DFD">
        <w:rPr>
          <w:rFonts w:eastAsiaTheme="minorEastAsia"/>
        </w:rPr>
        <w:t xml:space="preserve"> Dadas las posibles alteraciones de los </w:t>
      </w:r>
      <w:r w:rsidR="006B7EF9" w:rsidRPr="2CC09DFD">
        <w:rPr>
          <w:rFonts w:eastAsiaTheme="minorEastAsia"/>
        </w:rPr>
        <w:t>suelos urbanos</w:t>
      </w:r>
      <w:r w:rsidR="05DD25DA" w:rsidRPr="2CC09DFD">
        <w:rPr>
          <w:rFonts w:eastAsiaTheme="minorEastAsia"/>
        </w:rPr>
        <w:t xml:space="preserve"> </w:t>
      </w:r>
      <w:r w:rsidR="006B7EF9" w:rsidRPr="2CC09DFD">
        <w:rPr>
          <w:rFonts w:eastAsiaTheme="minorEastAsia"/>
        </w:rPr>
        <w:t>se recomienda</w:t>
      </w:r>
      <w:r w:rsidR="7BFED191" w:rsidRPr="2CC09DFD">
        <w:rPr>
          <w:rFonts w:eastAsiaTheme="minorEastAsia"/>
        </w:rPr>
        <w:t>,</w:t>
      </w:r>
      <w:r w:rsidR="006B7EF9" w:rsidRPr="2CC09DFD">
        <w:rPr>
          <w:rFonts w:eastAsiaTheme="minorEastAsia"/>
        </w:rPr>
        <w:t xml:space="preserve"> </w:t>
      </w:r>
      <w:r w:rsidR="486006D1" w:rsidRPr="2CC09DFD">
        <w:rPr>
          <w:rFonts w:eastAsiaTheme="minorEastAsia"/>
        </w:rPr>
        <w:t>cuando sea posible</w:t>
      </w:r>
      <w:r w:rsidR="00341157" w:rsidRPr="2CC09DFD">
        <w:rPr>
          <w:rFonts w:eastAsiaTheme="minorEastAsia"/>
        </w:rPr>
        <w:t>,</w:t>
      </w:r>
      <w:r w:rsidR="486006D1" w:rsidRPr="2CC09DFD">
        <w:rPr>
          <w:rFonts w:eastAsiaTheme="minorEastAsia"/>
        </w:rPr>
        <w:t xml:space="preserve"> hace</w:t>
      </w:r>
      <w:r w:rsidR="006B7EF9" w:rsidRPr="2CC09DFD">
        <w:rPr>
          <w:rFonts w:eastAsiaTheme="minorEastAsia"/>
        </w:rPr>
        <w:t>r un análisis físico y químico del suelo</w:t>
      </w:r>
      <w:r w:rsidR="7E3AA47D" w:rsidRPr="2CC09DFD">
        <w:rPr>
          <w:rFonts w:eastAsiaTheme="minorEastAsia"/>
        </w:rPr>
        <w:t>.</w:t>
      </w:r>
      <w:r w:rsidR="006B7EF9" w:rsidRPr="2CC09DFD">
        <w:rPr>
          <w:rFonts w:eastAsiaTheme="minorEastAsia"/>
        </w:rPr>
        <w:t xml:space="preserve">  </w:t>
      </w:r>
    </w:p>
    <w:p w14:paraId="52BFA5C9" w14:textId="0D1A2D8C" w:rsidR="006B7EF9" w:rsidRDefault="006B7EF9" w:rsidP="2CC09DFD">
      <w:pPr>
        <w:spacing w:after="0" w:line="240" w:lineRule="auto"/>
        <w:ind w:left="708"/>
        <w:jc w:val="both"/>
        <w:textAlignment w:val="baseline"/>
        <w:rPr>
          <w:rFonts w:eastAsiaTheme="minorEastAsia"/>
        </w:rPr>
      </w:pPr>
      <w:r w:rsidRPr="2CC09DFD">
        <w:rPr>
          <w:rFonts w:eastAsiaTheme="minorEastAsia"/>
        </w:rPr>
        <w:lastRenderedPageBreak/>
        <w:t>Dentro de este contexto se vuelve relevante conocer el tipo de ecosistema donde se va a trabajar</w:t>
      </w:r>
      <w:r w:rsidR="407CEE00" w:rsidRPr="2CC09DFD">
        <w:rPr>
          <w:rFonts w:eastAsiaTheme="minorEastAsia"/>
        </w:rPr>
        <w:t>. U</w:t>
      </w:r>
      <w:r w:rsidR="00A350ED" w:rsidRPr="2CC09DFD">
        <w:rPr>
          <w:rFonts w:eastAsiaTheme="minorEastAsia"/>
        </w:rPr>
        <w:t>na de las principales herramientas utilizadas es</w:t>
      </w:r>
      <w:r w:rsidRPr="2CC09DFD">
        <w:rPr>
          <w:rFonts w:eastAsiaTheme="minorEastAsia"/>
        </w:rPr>
        <w:t xml:space="preserve"> la clasificación de las zonas de vida de Holdridge,</w:t>
      </w:r>
      <w:r w:rsidR="40861B05" w:rsidRPr="2CC09DFD">
        <w:rPr>
          <w:rFonts w:eastAsiaTheme="minorEastAsia"/>
        </w:rPr>
        <w:t xml:space="preserve"> </w:t>
      </w:r>
      <w:r w:rsidR="00FE0FDE" w:rsidRPr="2CC09DFD">
        <w:rPr>
          <w:rFonts w:eastAsiaTheme="minorEastAsia"/>
        </w:rPr>
        <w:t>la</w:t>
      </w:r>
      <w:r w:rsidRPr="2CC09DFD">
        <w:rPr>
          <w:rFonts w:eastAsiaTheme="minorEastAsia"/>
        </w:rPr>
        <w:t xml:space="preserve"> cual </w:t>
      </w:r>
      <w:r w:rsidR="4FFB4450" w:rsidRPr="2CC09DFD">
        <w:rPr>
          <w:rFonts w:eastAsiaTheme="minorEastAsia"/>
        </w:rPr>
        <w:t xml:space="preserve">indica </w:t>
      </w:r>
      <w:r w:rsidRPr="2CC09DFD">
        <w:rPr>
          <w:rFonts w:eastAsiaTheme="minorEastAsia"/>
        </w:rPr>
        <w:t>la temperatura media</w:t>
      </w:r>
      <w:r w:rsidR="023A59CA" w:rsidRPr="2CC09DFD">
        <w:rPr>
          <w:rFonts w:eastAsiaTheme="minorEastAsia"/>
        </w:rPr>
        <w:t xml:space="preserve"> y </w:t>
      </w:r>
      <w:r w:rsidR="5816DC6B" w:rsidRPr="2CC09DFD">
        <w:rPr>
          <w:rFonts w:eastAsiaTheme="minorEastAsia"/>
        </w:rPr>
        <w:t xml:space="preserve">la </w:t>
      </w:r>
      <w:r w:rsidRPr="2CC09DFD">
        <w:rPr>
          <w:rFonts w:eastAsiaTheme="minorEastAsia"/>
        </w:rPr>
        <w:t>precipitación anual promedio</w:t>
      </w:r>
      <w:r w:rsidR="148C4965" w:rsidRPr="2CC09DFD">
        <w:rPr>
          <w:rFonts w:eastAsiaTheme="minorEastAsia"/>
        </w:rPr>
        <w:t xml:space="preserve"> </w:t>
      </w:r>
      <w:r w:rsidR="4682381F" w:rsidRPr="2CC09DFD">
        <w:rPr>
          <w:rFonts w:eastAsiaTheme="minorEastAsia"/>
        </w:rPr>
        <w:t>del sitio</w:t>
      </w:r>
      <w:r w:rsidR="1CD371EE" w:rsidRPr="2CC09DFD">
        <w:rPr>
          <w:rFonts w:eastAsiaTheme="minorEastAsia"/>
        </w:rPr>
        <w:t>, lo que p</w:t>
      </w:r>
      <w:r w:rsidRPr="2CC09DFD">
        <w:rPr>
          <w:rFonts w:eastAsiaTheme="minorEastAsia"/>
        </w:rPr>
        <w:t xml:space="preserve">ermite conocer la distribución de las principales especies de un sitio de acuerdo con su distribución natural dentro de la zona de vida, por ejemplo, el </w:t>
      </w:r>
      <w:r w:rsidR="4A2F1D56" w:rsidRPr="2CC09DFD">
        <w:rPr>
          <w:rFonts w:eastAsiaTheme="minorEastAsia"/>
        </w:rPr>
        <w:t>b</w:t>
      </w:r>
      <w:r w:rsidRPr="2CC09DFD">
        <w:rPr>
          <w:rFonts w:eastAsiaTheme="minorEastAsia"/>
        </w:rPr>
        <w:t>osque húmedo Premontano (</w:t>
      </w:r>
      <w:proofErr w:type="spellStart"/>
      <w:r w:rsidRPr="2CC09DFD">
        <w:rPr>
          <w:rFonts w:eastAsiaTheme="minorEastAsia"/>
        </w:rPr>
        <w:t>bh</w:t>
      </w:r>
      <w:proofErr w:type="spellEnd"/>
      <w:r w:rsidRPr="2CC09DFD">
        <w:rPr>
          <w:rFonts w:eastAsiaTheme="minorEastAsia"/>
        </w:rPr>
        <w:t>-P)</w:t>
      </w:r>
      <w:r w:rsidR="2304BC43" w:rsidRPr="2CC09DFD">
        <w:rPr>
          <w:rFonts w:eastAsiaTheme="minorEastAsia"/>
        </w:rPr>
        <w:t xml:space="preserve"> es la zona de vida predominante en el Valle Central de Costa Rica.</w:t>
      </w:r>
    </w:p>
    <w:p w14:paraId="6956C070" w14:textId="76DDFA83" w:rsidR="006B7EF9" w:rsidRDefault="006B7EF9" w:rsidP="2CC09DFD">
      <w:pPr>
        <w:pStyle w:val="Prrafodelista"/>
        <w:numPr>
          <w:ilvl w:val="0"/>
          <w:numId w:val="2"/>
        </w:numPr>
        <w:shd w:val="clear" w:color="auto" w:fill="FFFFFF" w:themeFill="background1"/>
        <w:spacing w:after="0" w:line="240" w:lineRule="auto"/>
        <w:jc w:val="both"/>
        <w:textAlignment w:val="baseline"/>
        <w:rPr>
          <w:rFonts w:eastAsiaTheme="minorEastAsia"/>
        </w:rPr>
      </w:pPr>
      <w:r w:rsidRPr="60EAC1B2">
        <w:rPr>
          <w:rFonts w:eastAsiaTheme="minorEastAsia"/>
          <w:i/>
          <w:iCs/>
        </w:rPr>
        <w:t>Cantidad y calidad de las unidades verdes requeridas</w:t>
      </w:r>
      <w:r w:rsidR="5BD928A2" w:rsidRPr="60EAC1B2">
        <w:rPr>
          <w:rFonts w:eastAsiaTheme="minorEastAsia"/>
          <w:i/>
          <w:iCs/>
        </w:rPr>
        <w:t>.</w:t>
      </w:r>
      <w:r w:rsidR="5BD928A2" w:rsidRPr="60EAC1B2">
        <w:rPr>
          <w:rFonts w:eastAsiaTheme="minorEastAsia"/>
        </w:rPr>
        <w:t xml:space="preserve"> L</w:t>
      </w:r>
      <w:r w:rsidRPr="60EAC1B2">
        <w:rPr>
          <w:rFonts w:eastAsiaTheme="minorEastAsia"/>
        </w:rPr>
        <w:t>lamamos unidades verdes al conjunto de plantas en sus diversas categorías: árboles, arbustos y herbáceas, son los factores mencionados anteriormente los que permitirán saber cuántas plantas según estas categorías se requieren para la intervención. Una de las ventajas de conocer el número específico de plantas a requerir es el poder gestionar su compra o producción con tiempo para garantizar que se llevará a campo las especies, alturas y portes deseados y requeridos para el sitio.</w:t>
      </w:r>
    </w:p>
    <w:p w14:paraId="607970EA" w14:textId="6F54D5F7" w:rsidR="006B7EF9" w:rsidRDefault="006B7EF9" w:rsidP="60EAC1B2">
      <w:pPr>
        <w:spacing w:after="0" w:line="240" w:lineRule="auto"/>
        <w:ind w:left="708"/>
        <w:jc w:val="both"/>
        <w:textAlignment w:val="baseline"/>
        <w:rPr>
          <w:rFonts w:eastAsiaTheme="minorEastAsia"/>
        </w:rPr>
      </w:pPr>
      <w:r w:rsidRPr="60EAC1B2">
        <w:rPr>
          <w:rFonts w:eastAsiaTheme="minorEastAsia"/>
        </w:rPr>
        <w:t>Establecer el distanciamiento adecuado para cada individuo a plantar es vital, es importante saber que cada especie requiere un distanciamiento específico de acuerdo con</w:t>
      </w:r>
      <w:r w:rsidR="42B41354" w:rsidRPr="60EAC1B2">
        <w:rPr>
          <w:rFonts w:eastAsiaTheme="minorEastAsia"/>
        </w:rPr>
        <w:t xml:space="preserve"> sus</w:t>
      </w:r>
      <w:r w:rsidRPr="60EAC1B2">
        <w:rPr>
          <w:rFonts w:eastAsiaTheme="minorEastAsia"/>
        </w:rPr>
        <w:t xml:space="preserve"> características propias (diámetro de copa, sistema radicular, altura total, tolerancia y requerimientos de luz, entre otras) y características del sitio</w:t>
      </w:r>
      <w:r w:rsidR="2E4F8093" w:rsidRPr="60EAC1B2">
        <w:rPr>
          <w:rFonts w:eastAsiaTheme="minorEastAsia"/>
        </w:rPr>
        <w:t xml:space="preserve">, </w:t>
      </w:r>
      <w:r w:rsidRPr="60EAC1B2">
        <w:rPr>
          <w:rFonts w:eastAsiaTheme="minorEastAsia"/>
        </w:rPr>
        <w:t>aspectos que finalmente determinarán la distribución</w:t>
      </w:r>
      <w:r w:rsidR="38B5F73C" w:rsidRPr="60EAC1B2">
        <w:rPr>
          <w:rFonts w:eastAsiaTheme="minorEastAsia"/>
        </w:rPr>
        <w:t xml:space="preserve"> </w:t>
      </w:r>
      <w:r w:rsidRPr="60EAC1B2">
        <w:rPr>
          <w:rFonts w:eastAsiaTheme="minorEastAsia"/>
        </w:rPr>
        <w:t>de las especies en el terreno y la cantidad final requerida.</w:t>
      </w:r>
    </w:p>
    <w:p w14:paraId="1114F497" w14:textId="4A4DE40E" w:rsidR="006B7EF9" w:rsidRDefault="006B7EF9" w:rsidP="60EAC1B2">
      <w:pPr>
        <w:pStyle w:val="Prrafodelista"/>
        <w:numPr>
          <w:ilvl w:val="0"/>
          <w:numId w:val="2"/>
        </w:numPr>
        <w:shd w:val="clear" w:color="auto" w:fill="FFFFFF" w:themeFill="background1"/>
        <w:spacing w:after="0" w:line="240" w:lineRule="auto"/>
        <w:jc w:val="both"/>
        <w:textAlignment w:val="baseline"/>
        <w:rPr>
          <w:rFonts w:eastAsiaTheme="minorEastAsia"/>
        </w:rPr>
      </w:pPr>
      <w:r w:rsidRPr="60EAC1B2">
        <w:rPr>
          <w:rFonts w:eastAsiaTheme="minorEastAsia"/>
          <w:i/>
          <w:iCs/>
        </w:rPr>
        <w:t>Selección correcta de la especie</w:t>
      </w:r>
      <w:r w:rsidR="6B307C68" w:rsidRPr="60EAC1B2">
        <w:rPr>
          <w:rFonts w:eastAsiaTheme="minorEastAsia"/>
          <w:i/>
          <w:iCs/>
        </w:rPr>
        <w:t>.</w:t>
      </w:r>
      <w:r w:rsidR="6B307C68" w:rsidRPr="60EAC1B2">
        <w:rPr>
          <w:rFonts w:eastAsiaTheme="minorEastAsia"/>
        </w:rPr>
        <w:t xml:space="preserve"> D</w:t>
      </w:r>
      <w:r w:rsidRPr="60EAC1B2">
        <w:rPr>
          <w:rFonts w:eastAsiaTheme="minorEastAsia"/>
        </w:rPr>
        <w:t xml:space="preserve">ebe haber una adecuada combinación entre la especie seleccionada (su porte, arquitectura, requerimientos de manejo y otros), tanto al sitio donde </w:t>
      </w:r>
      <w:r w:rsidR="007F570C" w:rsidRPr="60EAC1B2">
        <w:rPr>
          <w:rFonts w:eastAsiaTheme="minorEastAsia"/>
        </w:rPr>
        <w:t>va a</w:t>
      </w:r>
      <w:r w:rsidRPr="60EAC1B2">
        <w:rPr>
          <w:rFonts w:eastAsiaTheme="minorEastAsia"/>
        </w:rPr>
        <w:t xml:space="preserve"> ser establecido, como a las condiciones reales que se tengan para brindar el mantenimiento posterior requerido para esa especie como tal.</w:t>
      </w:r>
    </w:p>
    <w:p w14:paraId="6BF8096A" w14:textId="039D2E6E" w:rsidR="006B7EF9" w:rsidRDefault="006B7EF9" w:rsidP="60EAC1B2">
      <w:pPr>
        <w:pStyle w:val="Prrafodelista"/>
        <w:numPr>
          <w:ilvl w:val="0"/>
          <w:numId w:val="2"/>
        </w:numPr>
        <w:shd w:val="clear" w:color="auto" w:fill="FFFFFF" w:themeFill="background1"/>
        <w:spacing w:after="0" w:line="240" w:lineRule="auto"/>
        <w:jc w:val="both"/>
        <w:textAlignment w:val="baseline"/>
        <w:rPr>
          <w:rFonts w:eastAsiaTheme="minorEastAsia"/>
        </w:rPr>
      </w:pPr>
      <w:r w:rsidRPr="60EAC1B2">
        <w:rPr>
          <w:rFonts w:eastAsiaTheme="minorEastAsia"/>
          <w:i/>
          <w:iCs/>
        </w:rPr>
        <w:t xml:space="preserve">Selección de individuos en </w:t>
      </w:r>
      <w:r w:rsidR="3FA040D1" w:rsidRPr="60EAC1B2">
        <w:rPr>
          <w:rFonts w:eastAsiaTheme="minorEastAsia"/>
          <w:i/>
          <w:iCs/>
        </w:rPr>
        <w:t xml:space="preserve">el </w:t>
      </w:r>
      <w:r w:rsidRPr="60EAC1B2">
        <w:rPr>
          <w:rFonts w:eastAsiaTheme="minorEastAsia"/>
          <w:i/>
          <w:iCs/>
        </w:rPr>
        <w:t>vivero</w:t>
      </w:r>
      <w:r w:rsidR="57C36D73" w:rsidRPr="60EAC1B2">
        <w:rPr>
          <w:rFonts w:eastAsiaTheme="minorEastAsia"/>
          <w:i/>
          <w:iCs/>
        </w:rPr>
        <w:t xml:space="preserve">. </w:t>
      </w:r>
      <w:r w:rsidR="166852A5" w:rsidRPr="60EAC1B2">
        <w:rPr>
          <w:rFonts w:eastAsiaTheme="minorEastAsia"/>
        </w:rPr>
        <w:t>Se debe ev</w:t>
      </w:r>
      <w:r w:rsidRPr="60EAC1B2">
        <w:rPr>
          <w:rFonts w:eastAsiaTheme="minorEastAsia"/>
        </w:rPr>
        <w:t xml:space="preserve">aluar </w:t>
      </w:r>
      <w:r w:rsidR="585A208A" w:rsidRPr="60EAC1B2">
        <w:rPr>
          <w:rFonts w:eastAsiaTheme="minorEastAsia"/>
        </w:rPr>
        <w:t>cada planta con base en su a</w:t>
      </w:r>
      <w:r w:rsidRPr="60EAC1B2">
        <w:rPr>
          <w:rFonts w:eastAsiaTheme="minorEastAsia"/>
        </w:rPr>
        <w:t xml:space="preserve">ltura, diámetro, vigorosidad, </w:t>
      </w:r>
      <w:r w:rsidR="5AEF9C18" w:rsidRPr="60EAC1B2">
        <w:rPr>
          <w:rFonts w:eastAsiaTheme="minorEastAsia"/>
        </w:rPr>
        <w:t>presencia de plagas o</w:t>
      </w:r>
      <w:r w:rsidRPr="60EAC1B2">
        <w:rPr>
          <w:rFonts w:eastAsiaTheme="minorEastAsia"/>
        </w:rPr>
        <w:t xml:space="preserve"> enfermedades, </w:t>
      </w:r>
      <w:r w:rsidR="007F570C" w:rsidRPr="60EAC1B2">
        <w:rPr>
          <w:rFonts w:eastAsiaTheme="minorEastAsia"/>
        </w:rPr>
        <w:t xml:space="preserve">libre de deformaciones, tallos codominantes, sistema radicular, </w:t>
      </w:r>
      <w:r w:rsidRPr="60EAC1B2">
        <w:rPr>
          <w:rFonts w:eastAsiaTheme="minorEastAsia"/>
        </w:rPr>
        <w:t>entre otros</w:t>
      </w:r>
      <w:r w:rsidR="132DEAE6" w:rsidRPr="60EAC1B2">
        <w:rPr>
          <w:rFonts w:eastAsiaTheme="minorEastAsia"/>
        </w:rPr>
        <w:t xml:space="preserve">. Esta acción </w:t>
      </w:r>
      <w:r w:rsidRPr="60EAC1B2">
        <w:rPr>
          <w:rFonts w:eastAsiaTheme="minorEastAsia"/>
        </w:rPr>
        <w:t xml:space="preserve">tiene un gran peso sobre el resultado final de la intervención y el porcentaje de sobrevivencia/mortalidad en </w:t>
      </w:r>
      <w:r w:rsidR="62038226" w:rsidRPr="60EAC1B2">
        <w:rPr>
          <w:rFonts w:eastAsiaTheme="minorEastAsia"/>
        </w:rPr>
        <w:t xml:space="preserve">el </w:t>
      </w:r>
      <w:r w:rsidRPr="60EAC1B2">
        <w:rPr>
          <w:rFonts w:eastAsiaTheme="minorEastAsia"/>
        </w:rPr>
        <w:t>campo.</w:t>
      </w:r>
    </w:p>
    <w:p w14:paraId="54FE97D5" w14:textId="101F5A55" w:rsidR="006B7EF9" w:rsidRDefault="006B7EF9" w:rsidP="60EAC1B2">
      <w:pPr>
        <w:pStyle w:val="Prrafodelista"/>
        <w:numPr>
          <w:ilvl w:val="0"/>
          <w:numId w:val="2"/>
        </w:numPr>
        <w:pBdr>
          <w:top w:val="nil"/>
          <w:left w:val="nil"/>
          <w:bottom w:val="nil"/>
          <w:right w:val="nil"/>
          <w:between w:val="nil"/>
        </w:pBdr>
        <w:spacing w:after="0" w:line="240" w:lineRule="auto"/>
        <w:jc w:val="both"/>
        <w:textAlignment w:val="baseline"/>
        <w:rPr>
          <w:rFonts w:eastAsiaTheme="minorEastAsia"/>
        </w:rPr>
      </w:pPr>
      <w:r w:rsidRPr="60EAC1B2">
        <w:rPr>
          <w:rFonts w:eastAsiaTheme="minorEastAsia"/>
          <w:i/>
          <w:iCs/>
        </w:rPr>
        <w:t>Considerar actividades posteriores</w:t>
      </w:r>
      <w:r w:rsidR="469FA875" w:rsidRPr="60EAC1B2">
        <w:rPr>
          <w:rFonts w:eastAsiaTheme="minorEastAsia"/>
          <w:i/>
          <w:iCs/>
        </w:rPr>
        <w:t xml:space="preserve">. </w:t>
      </w:r>
      <w:r w:rsidRPr="60EAC1B2">
        <w:rPr>
          <w:rFonts w:eastAsiaTheme="minorEastAsia"/>
        </w:rPr>
        <w:t>En esta fase de planificación es de vital importancia contemplar los recursos a requerir tanto para el día de plantación como para las actividades de manejo que deben ser ejecutadas para garantizar el óptimo desarrollo de las plantas en el tiempo.</w:t>
      </w:r>
    </w:p>
    <w:p w14:paraId="4613AB3B" w14:textId="77777777" w:rsidR="006B7EF9" w:rsidRPr="00E73CA2" w:rsidRDefault="006B7EF9" w:rsidP="006B7EF9">
      <w:pPr>
        <w:shd w:val="clear" w:color="auto" w:fill="FFFFFF" w:themeFill="background1"/>
        <w:spacing w:after="0" w:line="240" w:lineRule="auto"/>
        <w:rPr>
          <w:rFonts w:eastAsiaTheme="minorEastAsia"/>
        </w:rPr>
      </w:pPr>
    </w:p>
    <w:p w14:paraId="30B1DCB0" w14:textId="5DA57CCF" w:rsidR="006B7EF9" w:rsidRPr="009764A2" w:rsidRDefault="29BB7778" w:rsidP="60EAC1B2">
      <w:pPr>
        <w:shd w:val="clear" w:color="auto" w:fill="FFFFFF" w:themeFill="background1"/>
        <w:spacing w:after="0" w:line="240" w:lineRule="auto"/>
        <w:jc w:val="both"/>
        <w:rPr>
          <w:rFonts w:eastAsiaTheme="minorEastAsia"/>
        </w:rPr>
      </w:pPr>
      <w:r w:rsidRPr="60EAC1B2">
        <w:rPr>
          <w:rFonts w:eastAsiaTheme="minorEastAsia"/>
          <w:b/>
          <w:bCs/>
          <w:sz w:val="28"/>
          <w:szCs w:val="28"/>
        </w:rPr>
        <w:t>D</w:t>
      </w:r>
      <w:r w:rsidR="006B7EF9" w:rsidRPr="60EAC1B2">
        <w:rPr>
          <w:rFonts w:eastAsiaTheme="minorEastAsia"/>
        </w:rPr>
        <w:t>urante la intervención es importante considerar acciones como: remoción de plantas arvenses en un radio de 1 m (rodaja), hacer el hoyo al menos dos veces el ancho del contenedor donde viene el árbol</w:t>
      </w:r>
      <w:r w:rsidR="07E13A44" w:rsidRPr="60EAC1B2">
        <w:rPr>
          <w:rFonts w:eastAsiaTheme="minorEastAsia"/>
        </w:rPr>
        <w:t xml:space="preserve"> </w:t>
      </w:r>
      <w:r w:rsidR="006B7EF9" w:rsidRPr="60EAC1B2">
        <w:rPr>
          <w:rFonts w:eastAsiaTheme="minorEastAsia"/>
        </w:rPr>
        <w:t xml:space="preserve">y </w:t>
      </w:r>
      <w:r w:rsidR="007F570C" w:rsidRPr="60EAC1B2">
        <w:rPr>
          <w:rFonts w:eastAsiaTheme="minorEastAsia"/>
        </w:rPr>
        <w:t>que no sobre pase su</w:t>
      </w:r>
      <w:r w:rsidR="006B7EF9" w:rsidRPr="60EAC1B2">
        <w:rPr>
          <w:rFonts w:eastAsiaTheme="minorEastAsia"/>
        </w:rPr>
        <w:t xml:space="preserve"> profundidad</w:t>
      </w:r>
      <w:r w:rsidR="007F570C" w:rsidRPr="60EAC1B2">
        <w:rPr>
          <w:rFonts w:eastAsiaTheme="minorEastAsia"/>
        </w:rPr>
        <w:t xml:space="preserve">, debido a que por lo general </w:t>
      </w:r>
      <w:r w:rsidR="1A216EB5" w:rsidRPr="60EAC1B2">
        <w:rPr>
          <w:rFonts w:eastAsiaTheme="minorEastAsia"/>
        </w:rPr>
        <w:t xml:space="preserve">si </w:t>
      </w:r>
      <w:r w:rsidR="007F570C" w:rsidRPr="60EAC1B2">
        <w:rPr>
          <w:rFonts w:eastAsiaTheme="minorEastAsia"/>
        </w:rPr>
        <w:t>se planta más profundamente pro</w:t>
      </w:r>
      <w:r w:rsidR="7B1C889E" w:rsidRPr="60EAC1B2">
        <w:rPr>
          <w:rFonts w:eastAsiaTheme="minorEastAsia"/>
        </w:rPr>
        <w:t xml:space="preserve">vocara </w:t>
      </w:r>
      <w:r w:rsidR="007F570C" w:rsidRPr="60EAC1B2">
        <w:rPr>
          <w:rFonts w:eastAsiaTheme="minorEastAsia"/>
        </w:rPr>
        <w:t>sofocación</w:t>
      </w:r>
      <w:r w:rsidR="2DF42A29" w:rsidRPr="60EAC1B2">
        <w:rPr>
          <w:rFonts w:eastAsiaTheme="minorEastAsia"/>
        </w:rPr>
        <w:t>;</w:t>
      </w:r>
      <w:r w:rsidR="006B7EF9" w:rsidRPr="60EAC1B2">
        <w:rPr>
          <w:rFonts w:eastAsiaTheme="minorEastAsia"/>
        </w:rPr>
        <w:t xml:space="preserve"> aplicación de abono orgánico para mejorar la estructura del suelo, uso de un polímero retenedor de agua cuando sea necesario </w:t>
      </w:r>
      <w:r w:rsidR="1E95BBF1" w:rsidRPr="60EAC1B2">
        <w:rPr>
          <w:rFonts w:eastAsiaTheme="minorEastAsia"/>
        </w:rPr>
        <w:t xml:space="preserve">para </w:t>
      </w:r>
      <w:r w:rsidR="000E791D" w:rsidRPr="60EAC1B2">
        <w:rPr>
          <w:rFonts w:eastAsiaTheme="minorEastAsia"/>
        </w:rPr>
        <w:t>mejorar la accesibilidad de agua para la planta en lugares con</w:t>
      </w:r>
      <w:r w:rsidR="006B7EF9" w:rsidRPr="60EAC1B2">
        <w:rPr>
          <w:rFonts w:eastAsiaTheme="minorEastAsia"/>
        </w:rPr>
        <w:t xml:space="preserve"> dificulta</w:t>
      </w:r>
      <w:r w:rsidR="000E791D" w:rsidRPr="60EAC1B2">
        <w:rPr>
          <w:rFonts w:eastAsiaTheme="minorEastAsia"/>
        </w:rPr>
        <w:t>d de</w:t>
      </w:r>
      <w:r w:rsidR="006B7EF9" w:rsidRPr="60EAC1B2">
        <w:rPr>
          <w:rFonts w:eastAsiaTheme="minorEastAsia"/>
        </w:rPr>
        <w:t xml:space="preserve"> riego constante durante la época seca</w:t>
      </w:r>
      <w:r w:rsidR="3D1B0A98" w:rsidRPr="60EAC1B2">
        <w:rPr>
          <w:rFonts w:eastAsiaTheme="minorEastAsia"/>
        </w:rPr>
        <w:t>,</w:t>
      </w:r>
      <w:r w:rsidR="000E791D" w:rsidRPr="60EAC1B2">
        <w:rPr>
          <w:rFonts w:eastAsiaTheme="minorEastAsia"/>
        </w:rPr>
        <w:t xml:space="preserve"> además esto contribuye a los agregados del suelo</w:t>
      </w:r>
      <w:r w:rsidR="006B7EF9" w:rsidRPr="60EAC1B2">
        <w:rPr>
          <w:rFonts w:eastAsiaTheme="minorEastAsia"/>
        </w:rPr>
        <w:t>; así como recordar rellenar con tierra suelta y compactar suavemente, evitando dejar espacios de aire que puedan afectar posteriormente el desarrollo de las raíces.</w:t>
      </w:r>
    </w:p>
    <w:p w14:paraId="2948B604" w14:textId="64848AF7" w:rsidR="006B7EF9" w:rsidRPr="009764A2" w:rsidRDefault="05092AD8" w:rsidP="60EAC1B2">
      <w:pPr>
        <w:shd w:val="clear" w:color="auto" w:fill="FFFFFF" w:themeFill="background1"/>
        <w:spacing w:after="0" w:line="240" w:lineRule="auto"/>
        <w:ind w:firstLine="708"/>
        <w:jc w:val="both"/>
        <w:rPr>
          <w:rFonts w:eastAsiaTheme="minorEastAsia"/>
        </w:rPr>
      </w:pPr>
      <w:r w:rsidRPr="60EAC1B2">
        <w:rPr>
          <w:rFonts w:eastAsiaTheme="minorEastAsia"/>
        </w:rPr>
        <w:t>S</w:t>
      </w:r>
      <w:r w:rsidR="006B7EF9" w:rsidRPr="60EAC1B2">
        <w:rPr>
          <w:rFonts w:eastAsiaTheme="minorEastAsia"/>
        </w:rPr>
        <w:t xml:space="preserve">e recomienda la </w:t>
      </w:r>
      <w:r w:rsidR="000E791D" w:rsidRPr="60EAC1B2">
        <w:rPr>
          <w:rFonts w:eastAsiaTheme="minorEastAsia"/>
        </w:rPr>
        <w:t>geolocalización</w:t>
      </w:r>
      <w:r w:rsidR="006B7EF9" w:rsidRPr="60EAC1B2">
        <w:rPr>
          <w:rFonts w:eastAsiaTheme="minorEastAsia"/>
        </w:rPr>
        <w:t xml:space="preserve"> (GPS o alguna aplicación precisa de celular) </w:t>
      </w:r>
      <w:r w:rsidR="000E791D" w:rsidRPr="60EAC1B2">
        <w:rPr>
          <w:rFonts w:eastAsiaTheme="minorEastAsia"/>
        </w:rPr>
        <w:t xml:space="preserve">de </w:t>
      </w:r>
      <w:r w:rsidR="006B7EF9" w:rsidRPr="60EAC1B2">
        <w:rPr>
          <w:rFonts w:eastAsiaTheme="minorEastAsia"/>
        </w:rPr>
        <w:t xml:space="preserve">donde quedó el árbol plantado con el fin de brindar el monitoreo y mantenimiento adecuado. Es importante que todas las actividades de plantación sean desarrolladas preferiblemente a inicios de la época lluviosa para poder garantizar el acceso al agua que le </w:t>
      </w:r>
      <w:r w:rsidR="000E791D" w:rsidRPr="60EAC1B2">
        <w:rPr>
          <w:rFonts w:eastAsiaTheme="minorEastAsia"/>
        </w:rPr>
        <w:t>va a</w:t>
      </w:r>
      <w:r w:rsidR="006B7EF9" w:rsidRPr="60EAC1B2">
        <w:rPr>
          <w:rFonts w:eastAsiaTheme="minorEastAsia"/>
        </w:rPr>
        <w:t xml:space="preserve"> permitir a la planta adaptarse y desarrollarse de mejor manera en su nuevo hogar.</w:t>
      </w:r>
    </w:p>
    <w:p w14:paraId="57F8D418" w14:textId="425800F4" w:rsidR="006B7EF9" w:rsidRPr="009764A2" w:rsidRDefault="006B7EF9" w:rsidP="60EAC1B2">
      <w:pPr>
        <w:shd w:val="clear" w:color="auto" w:fill="FFFFFF" w:themeFill="background1"/>
        <w:spacing w:after="0" w:line="240" w:lineRule="auto"/>
        <w:ind w:firstLine="708"/>
        <w:jc w:val="both"/>
        <w:rPr>
          <w:rFonts w:eastAsiaTheme="minorEastAsia"/>
        </w:rPr>
      </w:pPr>
      <w:r w:rsidRPr="393D228E">
        <w:rPr>
          <w:rFonts w:eastAsiaTheme="minorEastAsia"/>
        </w:rPr>
        <w:t>Para cultivar un árbol debe considerársele como lo que es: un organismo, un ser vivo y en muchos casos un ecosistema. Lo anterior quiere decir que el árbol urbano se cultiva durante toda su vida, no solamente en la etapa de vivero (</w:t>
      </w:r>
      <w:r w:rsidRPr="393D228E">
        <w:rPr>
          <w:rFonts w:eastAsiaTheme="minorEastAsia"/>
          <w:color w:val="0070C0"/>
        </w:rPr>
        <w:t xml:space="preserve">Rivas, </w:t>
      </w:r>
      <w:r w:rsidR="7A4A447E" w:rsidRPr="393D228E">
        <w:rPr>
          <w:rFonts w:eastAsiaTheme="minorEastAsia"/>
          <w:color w:val="0070C0"/>
        </w:rPr>
        <w:t xml:space="preserve">s. </w:t>
      </w:r>
      <w:r w:rsidRPr="393D228E">
        <w:rPr>
          <w:rFonts w:eastAsiaTheme="minorEastAsia"/>
          <w:color w:val="0070C0"/>
        </w:rPr>
        <w:t>f</w:t>
      </w:r>
      <w:r w:rsidRPr="393D228E">
        <w:rPr>
          <w:rFonts w:eastAsiaTheme="minorEastAsia"/>
        </w:rPr>
        <w:t>)</w:t>
      </w:r>
      <w:r w:rsidR="000E791D" w:rsidRPr="393D228E">
        <w:rPr>
          <w:rFonts w:eastAsiaTheme="minorEastAsia"/>
        </w:rPr>
        <w:t xml:space="preserve">. </w:t>
      </w:r>
      <w:r w:rsidR="0E047321" w:rsidRPr="393D228E">
        <w:rPr>
          <w:rFonts w:eastAsiaTheme="minorEastAsia"/>
        </w:rPr>
        <w:t>Se</w:t>
      </w:r>
      <w:r w:rsidRPr="393D228E">
        <w:rPr>
          <w:rFonts w:eastAsiaTheme="minorEastAsia"/>
        </w:rPr>
        <w:t xml:space="preserve"> requiere una serie de actividades </w:t>
      </w:r>
      <w:r w:rsidRPr="393D228E">
        <w:rPr>
          <w:rFonts w:eastAsiaTheme="minorEastAsia"/>
        </w:rPr>
        <w:lastRenderedPageBreak/>
        <w:t xml:space="preserve">a ejecutar en el lapso de </w:t>
      </w:r>
      <w:r w:rsidR="53B56D04" w:rsidRPr="393D228E">
        <w:rPr>
          <w:rFonts w:eastAsiaTheme="minorEastAsia"/>
        </w:rPr>
        <w:t xml:space="preserve">uno </w:t>
      </w:r>
      <w:r w:rsidRPr="393D228E">
        <w:rPr>
          <w:rFonts w:eastAsiaTheme="minorEastAsia"/>
        </w:rPr>
        <w:t xml:space="preserve">a </w:t>
      </w:r>
      <w:r w:rsidR="1F3644DF" w:rsidRPr="393D228E">
        <w:rPr>
          <w:rFonts w:eastAsiaTheme="minorEastAsia"/>
        </w:rPr>
        <w:t>tres</w:t>
      </w:r>
      <w:r w:rsidRPr="393D228E">
        <w:rPr>
          <w:rFonts w:eastAsiaTheme="minorEastAsia"/>
        </w:rPr>
        <w:t xml:space="preserve"> años después de plantado el nuevo árbol para asegurar un desarrollo</w:t>
      </w:r>
      <w:r w:rsidR="20B4042B" w:rsidRPr="393D228E">
        <w:rPr>
          <w:rFonts w:eastAsiaTheme="minorEastAsia"/>
        </w:rPr>
        <w:t xml:space="preserve"> exitoso</w:t>
      </w:r>
      <w:r w:rsidRPr="393D228E">
        <w:rPr>
          <w:rFonts w:eastAsiaTheme="minorEastAsia"/>
        </w:rPr>
        <w:t xml:space="preserve"> y reducir la mortalidad al máximo</w:t>
      </w:r>
      <w:r w:rsidR="4609F750" w:rsidRPr="393D228E">
        <w:rPr>
          <w:rFonts w:eastAsiaTheme="minorEastAsia"/>
        </w:rPr>
        <w:t>,</w:t>
      </w:r>
      <w:r w:rsidRPr="393D228E">
        <w:rPr>
          <w:rFonts w:eastAsiaTheme="minorEastAsia"/>
        </w:rPr>
        <w:t xml:space="preserve"> pues este es uno de los momentos más críticos y en el que se mantendrá a la espera de recuperar buena parte de su sistema radicular perdido y adaptarse al nuevo entorno (</w:t>
      </w:r>
      <w:r w:rsidRPr="393D228E">
        <w:rPr>
          <w:rFonts w:eastAsiaTheme="minorEastAsia"/>
          <w:color w:val="0070C0"/>
        </w:rPr>
        <w:t>Gómez, 2019</w:t>
      </w:r>
      <w:r w:rsidRPr="393D228E">
        <w:rPr>
          <w:rFonts w:eastAsiaTheme="minorEastAsia"/>
        </w:rPr>
        <w:t xml:space="preserve">).  </w:t>
      </w:r>
    </w:p>
    <w:p w14:paraId="6F9FF45B" w14:textId="0059DD1C" w:rsidR="006B7EF9" w:rsidRPr="009764A2" w:rsidRDefault="006B7EF9" w:rsidP="60EAC1B2">
      <w:pPr>
        <w:ind w:firstLine="708"/>
        <w:jc w:val="both"/>
        <w:rPr>
          <w:rFonts w:eastAsiaTheme="minorEastAsia"/>
        </w:rPr>
      </w:pPr>
      <w:r w:rsidRPr="60EAC1B2">
        <w:rPr>
          <w:rFonts w:eastAsiaTheme="minorEastAsia"/>
        </w:rPr>
        <w:t xml:space="preserve">Esta etapa representa sin duda, una de las principales deficiencias en los procesos de reverdecimiento y reforestaciones, principalmente cuando los actores no </w:t>
      </w:r>
      <w:r w:rsidR="20FE005C" w:rsidRPr="60EAC1B2">
        <w:rPr>
          <w:rFonts w:eastAsiaTheme="minorEastAsia"/>
        </w:rPr>
        <w:t xml:space="preserve">se involucran o </w:t>
      </w:r>
      <w:r w:rsidRPr="60EAC1B2">
        <w:rPr>
          <w:rFonts w:eastAsiaTheme="minorEastAsia"/>
        </w:rPr>
        <w:t xml:space="preserve">no </w:t>
      </w:r>
      <w:r w:rsidR="64F374E1" w:rsidRPr="60EAC1B2">
        <w:rPr>
          <w:rFonts w:eastAsiaTheme="minorEastAsia"/>
        </w:rPr>
        <w:t xml:space="preserve">tiene las </w:t>
      </w:r>
      <w:r w:rsidRPr="60EAC1B2">
        <w:rPr>
          <w:rFonts w:eastAsiaTheme="minorEastAsia"/>
        </w:rPr>
        <w:t>capacidades técnicas, financieras y de personal</w:t>
      </w:r>
      <w:r w:rsidR="593C4F29" w:rsidRPr="60EAC1B2">
        <w:rPr>
          <w:rFonts w:eastAsiaTheme="minorEastAsia"/>
        </w:rPr>
        <w:t xml:space="preserve"> adicional</w:t>
      </w:r>
      <w:r w:rsidRPr="60EAC1B2">
        <w:rPr>
          <w:rFonts w:eastAsiaTheme="minorEastAsia"/>
        </w:rPr>
        <w:t xml:space="preserve"> para lograrlo. </w:t>
      </w:r>
    </w:p>
    <w:p w14:paraId="5600C591" w14:textId="44B3177C" w:rsidR="006B7EF9" w:rsidRPr="009764A2" w:rsidRDefault="44D7BC68" w:rsidP="60EAC1B2">
      <w:pPr>
        <w:spacing w:after="0" w:line="240" w:lineRule="auto"/>
        <w:jc w:val="both"/>
        <w:rPr>
          <w:rFonts w:eastAsiaTheme="minorEastAsia"/>
        </w:rPr>
      </w:pPr>
      <w:r w:rsidRPr="60EAC1B2">
        <w:rPr>
          <w:rFonts w:eastAsiaTheme="minorEastAsia"/>
          <w:b/>
          <w:bCs/>
          <w:sz w:val="28"/>
          <w:szCs w:val="28"/>
        </w:rPr>
        <w:t>A</w:t>
      </w:r>
      <w:r w:rsidR="006B7EF9" w:rsidRPr="60EAC1B2">
        <w:rPr>
          <w:rFonts w:eastAsiaTheme="minorEastAsia"/>
        </w:rPr>
        <w:t>lgunos de los cuidados básicos o componentes de manejo recomendados son:</w:t>
      </w:r>
    </w:p>
    <w:p w14:paraId="76A825D0" w14:textId="3457FF27" w:rsidR="006B7EF9" w:rsidRDefault="006B7EF9" w:rsidP="60EAC1B2">
      <w:pPr>
        <w:pStyle w:val="Prrafodelista"/>
        <w:numPr>
          <w:ilvl w:val="0"/>
          <w:numId w:val="1"/>
        </w:numPr>
        <w:jc w:val="both"/>
        <w:rPr>
          <w:rFonts w:eastAsiaTheme="minorEastAsia"/>
        </w:rPr>
      </w:pPr>
      <w:r w:rsidRPr="60EAC1B2">
        <w:rPr>
          <w:rFonts w:eastAsiaTheme="minorEastAsia"/>
          <w:i/>
          <w:iCs/>
        </w:rPr>
        <w:t>Berma y ronda</w:t>
      </w:r>
      <w:r w:rsidR="68B17874" w:rsidRPr="60EAC1B2">
        <w:rPr>
          <w:rFonts w:eastAsiaTheme="minorEastAsia"/>
          <w:i/>
          <w:iCs/>
        </w:rPr>
        <w:t xml:space="preserve">. </w:t>
      </w:r>
      <w:r w:rsidRPr="60EAC1B2">
        <w:rPr>
          <w:rFonts w:eastAsiaTheme="minorEastAsia"/>
        </w:rPr>
        <w:t>Una vez pasada la fase del establecimiento se requiere realizar el manejo y control de las hierbas o plantas arvenses de forma manual</w:t>
      </w:r>
      <w:r w:rsidR="2D38C1E8" w:rsidRPr="60EAC1B2">
        <w:rPr>
          <w:rFonts w:eastAsiaTheme="minorEastAsia"/>
        </w:rPr>
        <w:t xml:space="preserve">, </w:t>
      </w:r>
      <w:r w:rsidR="00FD3F88" w:rsidRPr="60EAC1B2">
        <w:rPr>
          <w:rFonts w:eastAsiaTheme="minorEastAsia"/>
        </w:rPr>
        <w:t>preferiblemente</w:t>
      </w:r>
      <w:r w:rsidRPr="60EAC1B2">
        <w:rPr>
          <w:rFonts w:eastAsiaTheme="minorEastAsia"/>
        </w:rPr>
        <w:t xml:space="preserve"> con pala (rondas). Estas rondas tienen el objetivo </w:t>
      </w:r>
      <w:r w:rsidR="78D7ACCC" w:rsidRPr="60EAC1B2">
        <w:rPr>
          <w:rFonts w:eastAsiaTheme="minorEastAsia"/>
        </w:rPr>
        <w:t xml:space="preserve">de </w:t>
      </w:r>
      <w:r w:rsidRPr="60EAC1B2">
        <w:rPr>
          <w:rFonts w:eastAsiaTheme="minorEastAsia"/>
        </w:rPr>
        <w:t xml:space="preserve">eliminar principalmente las mal llamadas </w:t>
      </w:r>
      <w:r w:rsidRPr="60EAC1B2">
        <w:rPr>
          <w:rFonts w:eastAsiaTheme="minorEastAsia"/>
          <w:i/>
          <w:iCs/>
        </w:rPr>
        <w:t xml:space="preserve">malezas </w:t>
      </w:r>
      <w:r w:rsidRPr="60EAC1B2">
        <w:rPr>
          <w:rFonts w:eastAsiaTheme="minorEastAsia"/>
        </w:rPr>
        <w:t>que compiten por nutrientes y humedad de los árboles. Formar una berma o borde de contención sobre el cepellón permite</w:t>
      </w:r>
      <w:r w:rsidR="00FD3F88" w:rsidRPr="60EAC1B2">
        <w:rPr>
          <w:rFonts w:eastAsiaTheme="minorEastAsia"/>
        </w:rPr>
        <w:t xml:space="preserve"> además</w:t>
      </w:r>
      <w:r w:rsidRPr="60EAC1B2">
        <w:rPr>
          <w:rFonts w:eastAsiaTheme="minorEastAsia"/>
        </w:rPr>
        <w:t xml:space="preserve"> mejorar el proceso de infiltración de agua ayudando a recolectarla y evitar que esta se escurra lejos del árbol. </w:t>
      </w:r>
    </w:p>
    <w:p w14:paraId="2BBF8A1C" w14:textId="17AE63FC" w:rsidR="006B7EF9" w:rsidRDefault="006B7EF9" w:rsidP="60EAC1B2">
      <w:pPr>
        <w:pStyle w:val="Prrafodelista"/>
        <w:numPr>
          <w:ilvl w:val="0"/>
          <w:numId w:val="1"/>
        </w:numPr>
        <w:jc w:val="both"/>
        <w:rPr>
          <w:rFonts w:eastAsiaTheme="minorEastAsia"/>
        </w:rPr>
      </w:pPr>
      <w:r w:rsidRPr="60EAC1B2">
        <w:rPr>
          <w:rFonts w:eastAsiaTheme="minorEastAsia"/>
          <w:i/>
          <w:iCs/>
        </w:rPr>
        <w:t>Riego</w:t>
      </w:r>
      <w:r w:rsidR="49383023" w:rsidRPr="60EAC1B2">
        <w:rPr>
          <w:rFonts w:eastAsiaTheme="minorEastAsia"/>
          <w:i/>
          <w:iCs/>
        </w:rPr>
        <w:t xml:space="preserve">. </w:t>
      </w:r>
      <w:r w:rsidRPr="60EAC1B2">
        <w:rPr>
          <w:rFonts w:eastAsiaTheme="minorEastAsia"/>
        </w:rPr>
        <w:t xml:space="preserve">Durante </w:t>
      </w:r>
      <w:r w:rsidR="00FD3F88" w:rsidRPr="60EAC1B2">
        <w:rPr>
          <w:rFonts w:eastAsiaTheme="minorEastAsia"/>
        </w:rPr>
        <w:t>al menos el primer año</w:t>
      </w:r>
      <w:r w:rsidRPr="60EAC1B2">
        <w:rPr>
          <w:rFonts w:eastAsiaTheme="minorEastAsia"/>
        </w:rPr>
        <w:t xml:space="preserve"> o</w:t>
      </w:r>
      <w:r w:rsidR="00FD3F88" w:rsidRPr="60EAC1B2">
        <w:rPr>
          <w:rFonts w:eastAsiaTheme="minorEastAsia"/>
        </w:rPr>
        <w:t xml:space="preserve"> recomendado hasta el segundo </w:t>
      </w:r>
      <w:r w:rsidRPr="60EAC1B2">
        <w:rPr>
          <w:rFonts w:eastAsiaTheme="minorEastAsia"/>
        </w:rPr>
        <w:t>año (según precipitación, tipo de suelo, temperatura, humedad, especie, entre otros) después de la plantación es importante mantener el cepellón húmedo. Estos requieren riego frecuente para evitar que el cepellón se seque demasiado e impacte la vitalidad de la planta. En caso de emplear hidrogel se puede ejecutar mínimo dos veces al mes, es decir c</w:t>
      </w:r>
      <w:r w:rsidR="7CA4CD9A" w:rsidRPr="60EAC1B2">
        <w:rPr>
          <w:rFonts w:eastAsiaTheme="minorEastAsia"/>
        </w:rPr>
        <w:t>ada</w:t>
      </w:r>
      <w:r w:rsidRPr="60EAC1B2">
        <w:rPr>
          <w:rFonts w:eastAsiaTheme="minorEastAsia"/>
        </w:rPr>
        <w:t xml:space="preserve"> 15 días. Es mejor regar con poca frecuencia, pero en abundancia y </w:t>
      </w:r>
      <w:r w:rsidR="641F5D63" w:rsidRPr="60EAC1B2">
        <w:rPr>
          <w:rFonts w:eastAsiaTheme="minorEastAsia"/>
        </w:rPr>
        <w:t xml:space="preserve">a </w:t>
      </w:r>
      <w:r w:rsidRPr="60EAC1B2">
        <w:rPr>
          <w:rFonts w:eastAsiaTheme="minorEastAsia"/>
        </w:rPr>
        <w:t>profundidad resulta mejor que hacerlo de manera superficial y frecuente (</w:t>
      </w:r>
      <w:r w:rsidRPr="60EAC1B2">
        <w:rPr>
          <w:rFonts w:eastAsiaTheme="minorEastAsia"/>
          <w:color w:val="0070C0"/>
        </w:rPr>
        <w:t>Lilly, 2011</w:t>
      </w:r>
      <w:r w:rsidRPr="60EAC1B2">
        <w:rPr>
          <w:rFonts w:eastAsiaTheme="minorEastAsia"/>
        </w:rPr>
        <w:t xml:space="preserve">).  </w:t>
      </w:r>
    </w:p>
    <w:p w14:paraId="6E221D39" w14:textId="1AF77A28" w:rsidR="006B7EF9" w:rsidRDefault="006B7EF9" w:rsidP="60EAC1B2">
      <w:pPr>
        <w:pStyle w:val="Prrafodelista"/>
        <w:numPr>
          <w:ilvl w:val="0"/>
          <w:numId w:val="1"/>
        </w:numPr>
        <w:jc w:val="both"/>
        <w:rPr>
          <w:rFonts w:eastAsiaTheme="minorEastAsia"/>
        </w:rPr>
      </w:pPr>
      <w:r w:rsidRPr="60EAC1B2">
        <w:rPr>
          <w:rFonts w:eastAsiaTheme="minorEastAsia"/>
          <w:i/>
          <w:iCs/>
        </w:rPr>
        <w:t>Fertilización</w:t>
      </w:r>
      <w:r w:rsidR="1371FF3F" w:rsidRPr="60EAC1B2">
        <w:rPr>
          <w:rFonts w:eastAsiaTheme="minorEastAsia"/>
          <w:i/>
          <w:iCs/>
        </w:rPr>
        <w:t xml:space="preserve">. </w:t>
      </w:r>
      <w:r w:rsidRPr="60EAC1B2">
        <w:rPr>
          <w:rFonts w:eastAsiaTheme="minorEastAsia"/>
        </w:rPr>
        <w:t>La fertilización puede ser de dos tipos química y orgánica. La primera se sugiere que sea de liberación lenta y siempre mediante la implementación de prácticas adecuadas de riego, con esto se evita la concentración de sales y se fomenta la liberación del producto empleado. La segunda es lenta para la incorporación de nutrientes, pero es necesaria para fomentar la materia orgánica en el suelo.</w:t>
      </w:r>
    </w:p>
    <w:p w14:paraId="2DC817BB" w14:textId="5AEFB762" w:rsidR="006B7EF9" w:rsidRDefault="006B7EF9" w:rsidP="60EAC1B2">
      <w:pPr>
        <w:pStyle w:val="Prrafodelista"/>
        <w:numPr>
          <w:ilvl w:val="0"/>
          <w:numId w:val="1"/>
        </w:numPr>
        <w:jc w:val="both"/>
        <w:rPr>
          <w:rFonts w:eastAsiaTheme="minorEastAsia"/>
        </w:rPr>
      </w:pPr>
      <w:r w:rsidRPr="60EAC1B2">
        <w:rPr>
          <w:rFonts w:eastAsiaTheme="minorEastAsia"/>
          <w:i/>
          <w:iCs/>
        </w:rPr>
        <w:t>Acolchado (</w:t>
      </w:r>
      <w:proofErr w:type="spellStart"/>
      <w:r w:rsidRPr="60EAC1B2">
        <w:rPr>
          <w:rFonts w:eastAsiaTheme="minorEastAsia"/>
          <w:i/>
          <w:iCs/>
        </w:rPr>
        <w:t>mulch</w:t>
      </w:r>
      <w:proofErr w:type="spellEnd"/>
      <w:r w:rsidRPr="60EAC1B2">
        <w:rPr>
          <w:rFonts w:eastAsiaTheme="minorEastAsia"/>
          <w:i/>
          <w:iCs/>
        </w:rPr>
        <w:t>)</w:t>
      </w:r>
      <w:r w:rsidR="10D41730" w:rsidRPr="60EAC1B2">
        <w:rPr>
          <w:rFonts w:eastAsiaTheme="minorEastAsia"/>
          <w:i/>
          <w:iCs/>
        </w:rPr>
        <w:t xml:space="preserve">. </w:t>
      </w:r>
      <w:r w:rsidRPr="60EAC1B2">
        <w:rPr>
          <w:rFonts w:eastAsiaTheme="minorEastAsia"/>
        </w:rPr>
        <w:t>Se recomienda el uso de acolchados orgánicos para conservar la humedad del suelo, amortiguar las temperaturas extremas, controlar malezas y otro tipo de vegetación concurrente, así como reponer materia orgánica y nutrientes del suelo. Todos estos beneficios darán lugar a un mejor crecimiento de raíces (</w:t>
      </w:r>
      <w:r w:rsidRPr="60EAC1B2">
        <w:rPr>
          <w:rFonts w:eastAsiaTheme="minorEastAsia"/>
          <w:color w:val="0070C0"/>
        </w:rPr>
        <w:t>Lilly, 2011</w:t>
      </w:r>
      <w:r w:rsidRPr="60EAC1B2">
        <w:rPr>
          <w:rFonts w:eastAsiaTheme="minorEastAsia"/>
        </w:rPr>
        <w:t>).</w:t>
      </w:r>
    </w:p>
    <w:p w14:paraId="70433CDE" w14:textId="306EAEBB" w:rsidR="006B7EF9" w:rsidRDefault="006B7EF9" w:rsidP="60EAC1B2">
      <w:pPr>
        <w:pStyle w:val="Prrafodelista"/>
        <w:numPr>
          <w:ilvl w:val="0"/>
          <w:numId w:val="1"/>
        </w:numPr>
        <w:jc w:val="both"/>
        <w:rPr>
          <w:rFonts w:eastAsiaTheme="minorEastAsia"/>
        </w:rPr>
      </w:pPr>
      <w:r w:rsidRPr="60EAC1B2">
        <w:rPr>
          <w:rFonts w:eastAsiaTheme="minorEastAsia"/>
          <w:i/>
          <w:iCs/>
        </w:rPr>
        <w:t>Manejo y control de plagas</w:t>
      </w:r>
      <w:r w:rsidR="34135FCD" w:rsidRPr="60EAC1B2">
        <w:rPr>
          <w:rFonts w:eastAsiaTheme="minorEastAsia"/>
          <w:i/>
          <w:iCs/>
        </w:rPr>
        <w:t>.</w:t>
      </w:r>
      <w:r w:rsidR="34135FCD" w:rsidRPr="60EAC1B2">
        <w:rPr>
          <w:rFonts w:eastAsiaTheme="minorEastAsia"/>
        </w:rPr>
        <w:t xml:space="preserve"> </w:t>
      </w:r>
      <w:r w:rsidR="198210D1" w:rsidRPr="60EAC1B2">
        <w:rPr>
          <w:rFonts w:eastAsiaTheme="minorEastAsia"/>
        </w:rPr>
        <w:t>Aunque l</w:t>
      </w:r>
      <w:r w:rsidRPr="60EAC1B2">
        <w:rPr>
          <w:rFonts w:eastAsiaTheme="minorEastAsia"/>
        </w:rPr>
        <w:t xml:space="preserve">as plagas son parte del ecosistema, </w:t>
      </w:r>
      <w:r w:rsidR="533E7042" w:rsidRPr="60EAC1B2">
        <w:rPr>
          <w:rFonts w:eastAsiaTheme="minorEastAsia"/>
        </w:rPr>
        <w:t xml:space="preserve">se </w:t>
      </w:r>
      <w:r w:rsidRPr="60EAC1B2">
        <w:rPr>
          <w:rFonts w:eastAsiaTheme="minorEastAsia"/>
        </w:rPr>
        <w:t xml:space="preserve">debe velar por la salud del árbol para evitar ataques o debilitamientos por interacciones con otros organismos. </w:t>
      </w:r>
      <w:r w:rsidR="6C8B88C3" w:rsidRPr="60EAC1B2">
        <w:rPr>
          <w:rFonts w:eastAsiaTheme="minorEastAsia"/>
        </w:rPr>
        <w:t>El m</w:t>
      </w:r>
      <w:r w:rsidRPr="60EAC1B2">
        <w:rPr>
          <w:rFonts w:eastAsiaTheme="minorEastAsia"/>
        </w:rPr>
        <w:t>anejo integrado de plagas fue desarrollado como una manera de enfrentar la implicaciones ecológicas, sociales y económicas de la dependencia excesiva de agroquímicos en el control de plagas</w:t>
      </w:r>
      <w:r w:rsidR="00FD3F88" w:rsidRPr="60EAC1B2">
        <w:rPr>
          <w:rFonts w:eastAsiaTheme="minorEastAsia"/>
        </w:rPr>
        <w:t xml:space="preserve"> (</w:t>
      </w:r>
      <w:r w:rsidR="00FD3F88" w:rsidRPr="60EAC1B2">
        <w:rPr>
          <w:rFonts w:eastAsiaTheme="minorEastAsia"/>
          <w:color w:val="0070C0"/>
        </w:rPr>
        <w:t>Lilly, 2011</w:t>
      </w:r>
      <w:r w:rsidR="00FD3F88" w:rsidRPr="60EAC1B2">
        <w:rPr>
          <w:rFonts w:eastAsiaTheme="minorEastAsia"/>
        </w:rPr>
        <w:t>).</w:t>
      </w:r>
      <w:r w:rsidRPr="60EAC1B2">
        <w:rPr>
          <w:rFonts w:eastAsiaTheme="minorEastAsia"/>
        </w:rPr>
        <w:t xml:space="preserve">  Su meta es controlar las plagas y su daño hasta niveles tolerables, empleando métodos de prevención y control en una sola estrategia de manejo.</w:t>
      </w:r>
      <w:r w:rsidR="00FD3F88" w:rsidRPr="60EAC1B2">
        <w:rPr>
          <w:rFonts w:eastAsiaTheme="minorEastAsia"/>
        </w:rPr>
        <w:t xml:space="preserve"> </w:t>
      </w:r>
      <w:r w:rsidR="5A6029DB" w:rsidRPr="60EAC1B2">
        <w:rPr>
          <w:rFonts w:eastAsiaTheme="minorEastAsia"/>
        </w:rPr>
        <w:t xml:space="preserve">Dado que </w:t>
      </w:r>
      <w:r w:rsidR="00FD3F88" w:rsidRPr="60EAC1B2">
        <w:rPr>
          <w:rFonts w:eastAsiaTheme="minorEastAsia"/>
        </w:rPr>
        <w:t>existen agentes bióticos y abióticos</w:t>
      </w:r>
      <w:r w:rsidR="3FFC670C" w:rsidRPr="60EAC1B2">
        <w:rPr>
          <w:rFonts w:eastAsiaTheme="minorEastAsia"/>
        </w:rPr>
        <w:t xml:space="preserve">, </w:t>
      </w:r>
      <w:r w:rsidR="00FD3F88" w:rsidRPr="60EAC1B2">
        <w:rPr>
          <w:rFonts w:eastAsiaTheme="minorEastAsia"/>
        </w:rPr>
        <w:t>el manejo debe contemplar ambos aspectos.</w:t>
      </w:r>
    </w:p>
    <w:p w14:paraId="5E830BFB" w14:textId="30C1C87D" w:rsidR="006B7EF9" w:rsidRDefault="006B7EF9" w:rsidP="60EAC1B2">
      <w:pPr>
        <w:pStyle w:val="Prrafodelista"/>
        <w:numPr>
          <w:ilvl w:val="0"/>
          <w:numId w:val="1"/>
        </w:numPr>
        <w:jc w:val="both"/>
        <w:rPr>
          <w:rFonts w:eastAsiaTheme="minorEastAsia"/>
        </w:rPr>
      </w:pPr>
      <w:r w:rsidRPr="60EAC1B2">
        <w:rPr>
          <w:rFonts w:eastAsiaTheme="minorEastAsia"/>
          <w:i/>
          <w:iCs/>
        </w:rPr>
        <w:t xml:space="preserve">Estabilización del árbol y </w:t>
      </w:r>
      <w:proofErr w:type="spellStart"/>
      <w:r w:rsidRPr="60EAC1B2">
        <w:rPr>
          <w:rFonts w:eastAsiaTheme="minorEastAsia"/>
          <w:i/>
          <w:iCs/>
        </w:rPr>
        <w:t>tutoreo</w:t>
      </w:r>
      <w:proofErr w:type="spellEnd"/>
      <w:r w:rsidR="735293DF" w:rsidRPr="60EAC1B2">
        <w:rPr>
          <w:rFonts w:eastAsiaTheme="minorEastAsia"/>
          <w:i/>
          <w:iCs/>
        </w:rPr>
        <w:t xml:space="preserve">. </w:t>
      </w:r>
      <w:r w:rsidRPr="60EAC1B2">
        <w:rPr>
          <w:rFonts w:eastAsiaTheme="minorEastAsia"/>
        </w:rPr>
        <w:t>La estabilización del árbol es recomendable para reducir los movimientos del cepellón y los posibles daños subsecuentes a las finas raíces absorbentes</w:t>
      </w:r>
      <w:r w:rsidR="1EE7734F" w:rsidRPr="60EAC1B2">
        <w:rPr>
          <w:rFonts w:eastAsiaTheme="minorEastAsia"/>
        </w:rPr>
        <w:t>; e</w:t>
      </w:r>
      <w:r w:rsidRPr="60EAC1B2">
        <w:rPr>
          <w:rFonts w:eastAsiaTheme="minorEastAsia"/>
        </w:rPr>
        <w:t>specialmente para casos donde los árboles no puedan permanecer erguidos sin soporte por condiciones como: viento, características propias de la especie o por la forma de producción del árbol.</w:t>
      </w:r>
      <w:r w:rsidR="00FD3F88" w:rsidRPr="60EAC1B2">
        <w:rPr>
          <w:rFonts w:eastAsiaTheme="minorEastAsia"/>
        </w:rPr>
        <w:t xml:space="preserve"> Sin </w:t>
      </w:r>
      <w:r w:rsidR="00975E3D" w:rsidRPr="60EAC1B2">
        <w:rPr>
          <w:rFonts w:eastAsiaTheme="minorEastAsia"/>
        </w:rPr>
        <w:t>embargo,</w:t>
      </w:r>
      <w:r w:rsidR="00FD3F88" w:rsidRPr="60EAC1B2">
        <w:rPr>
          <w:rFonts w:eastAsiaTheme="minorEastAsia"/>
        </w:rPr>
        <w:t xml:space="preserve"> se debe procurar que su implementación no sea</w:t>
      </w:r>
      <w:r w:rsidR="00975E3D" w:rsidRPr="60EAC1B2">
        <w:rPr>
          <w:rFonts w:eastAsiaTheme="minorEastAsia"/>
        </w:rPr>
        <w:t xml:space="preserve"> usada de forma</w:t>
      </w:r>
      <w:r w:rsidR="00FD3F88" w:rsidRPr="60EAC1B2">
        <w:rPr>
          <w:rFonts w:eastAsiaTheme="minorEastAsia"/>
        </w:rPr>
        <w:t xml:space="preserve"> </w:t>
      </w:r>
      <w:r w:rsidR="00975E3D" w:rsidRPr="60EAC1B2">
        <w:rPr>
          <w:rFonts w:eastAsiaTheme="minorEastAsia"/>
        </w:rPr>
        <w:t>exhaustiva,</w:t>
      </w:r>
      <w:r w:rsidR="00FD3F88" w:rsidRPr="60EAC1B2">
        <w:rPr>
          <w:rFonts w:eastAsiaTheme="minorEastAsia"/>
        </w:rPr>
        <w:t xml:space="preserve"> sino que se </w:t>
      </w:r>
      <w:r w:rsidR="00975E3D" w:rsidRPr="60EAC1B2">
        <w:rPr>
          <w:rFonts w:eastAsiaTheme="minorEastAsia"/>
        </w:rPr>
        <w:t>promueva</w:t>
      </w:r>
      <w:r w:rsidR="00FD3F88" w:rsidRPr="60EAC1B2">
        <w:rPr>
          <w:rFonts w:eastAsiaTheme="minorEastAsia"/>
        </w:rPr>
        <w:t xml:space="preserve"> una adecuada formación del árbol desde el vivero fomentando su estructura natural.</w:t>
      </w:r>
      <w:r w:rsidRPr="60EAC1B2">
        <w:rPr>
          <w:rFonts w:eastAsiaTheme="minorEastAsia"/>
        </w:rPr>
        <w:t xml:space="preserve"> En lugares urbanos</w:t>
      </w:r>
      <w:r w:rsidR="19050F0D" w:rsidRPr="60EAC1B2">
        <w:rPr>
          <w:rFonts w:eastAsiaTheme="minorEastAsia"/>
        </w:rPr>
        <w:t xml:space="preserve"> </w:t>
      </w:r>
      <w:r w:rsidRPr="60EAC1B2">
        <w:rPr>
          <w:rFonts w:eastAsiaTheme="minorEastAsia"/>
        </w:rPr>
        <w:t>a veces se utilizan tutores para proteger los árboles jóvenes de daños causados por la interacción humana.</w:t>
      </w:r>
    </w:p>
    <w:p w14:paraId="646F756C" w14:textId="5F44C92E" w:rsidR="006B7EF9" w:rsidRDefault="006B7EF9" w:rsidP="60EAC1B2">
      <w:pPr>
        <w:pStyle w:val="Prrafodelista"/>
        <w:numPr>
          <w:ilvl w:val="0"/>
          <w:numId w:val="1"/>
        </w:numPr>
        <w:jc w:val="both"/>
        <w:rPr>
          <w:rFonts w:eastAsiaTheme="minorEastAsia"/>
        </w:rPr>
      </w:pPr>
      <w:r w:rsidRPr="393D228E">
        <w:rPr>
          <w:rFonts w:eastAsiaTheme="minorEastAsia"/>
          <w:i/>
          <w:iCs/>
        </w:rPr>
        <w:lastRenderedPageBreak/>
        <w:t>Podas</w:t>
      </w:r>
      <w:r w:rsidR="63F44C3D" w:rsidRPr="393D228E">
        <w:rPr>
          <w:rFonts w:eastAsiaTheme="minorEastAsia"/>
          <w:i/>
          <w:iCs/>
        </w:rPr>
        <w:t xml:space="preserve">. </w:t>
      </w:r>
      <w:r w:rsidRPr="393D228E">
        <w:rPr>
          <w:rFonts w:eastAsiaTheme="minorEastAsia"/>
        </w:rPr>
        <w:t>Las podas correspondientes a los primeros años se denominan estructurales y serán necesarias durante varios años cuando los árboles son jóvenes. Se debe lograr que las ramas permanentes estén verticales, ampliamente separadas y distribuidas de manera uniforme. Lograr el espaciamiento adecuado puede tomar de 10 a 25 años (</w:t>
      </w:r>
      <w:r w:rsidRPr="393D228E">
        <w:rPr>
          <w:rFonts w:eastAsiaTheme="minorEastAsia"/>
          <w:color w:val="0070C0"/>
        </w:rPr>
        <w:t xml:space="preserve">Lilly y </w:t>
      </w:r>
      <w:proofErr w:type="spellStart"/>
      <w:r w:rsidRPr="393D228E">
        <w:rPr>
          <w:rFonts w:eastAsiaTheme="minorEastAsia"/>
          <w:color w:val="0070C0"/>
        </w:rPr>
        <w:t>Currid</w:t>
      </w:r>
      <w:proofErr w:type="spellEnd"/>
      <w:r w:rsidRPr="393D228E">
        <w:rPr>
          <w:rFonts w:eastAsiaTheme="minorEastAsia"/>
          <w:color w:val="0070C0"/>
        </w:rPr>
        <w:t xml:space="preserve"> 2008</w:t>
      </w:r>
      <w:r w:rsidRPr="393D228E">
        <w:rPr>
          <w:rFonts w:eastAsiaTheme="minorEastAsia"/>
        </w:rPr>
        <w:t>).</w:t>
      </w:r>
      <w:r w:rsidR="00975E3D" w:rsidRPr="393D228E">
        <w:rPr>
          <w:rFonts w:eastAsiaTheme="minorEastAsia"/>
        </w:rPr>
        <w:t xml:space="preserve"> Es importante indicar que los árboles urbanos deben pasar por un proceso de entrenamiento y formación de poda desde su crecimiento y desarrollo en vivero.</w:t>
      </w:r>
      <w:r w:rsidRPr="393D228E">
        <w:rPr>
          <w:rFonts w:eastAsiaTheme="minorEastAsia"/>
        </w:rPr>
        <w:t xml:space="preserve"> Por lo general</w:t>
      </w:r>
      <w:r w:rsidR="04A07C4C" w:rsidRPr="393D228E">
        <w:rPr>
          <w:rFonts w:eastAsiaTheme="minorEastAsia"/>
        </w:rPr>
        <w:t>,</w:t>
      </w:r>
      <w:r w:rsidR="00975E3D" w:rsidRPr="393D228E">
        <w:rPr>
          <w:rFonts w:eastAsiaTheme="minorEastAsia"/>
        </w:rPr>
        <w:t xml:space="preserve"> </w:t>
      </w:r>
      <w:r w:rsidRPr="393D228E">
        <w:rPr>
          <w:rFonts w:eastAsiaTheme="minorEastAsia"/>
        </w:rPr>
        <w:t>es preferible iniciar</w:t>
      </w:r>
      <w:r w:rsidR="5D1AA1AF" w:rsidRPr="393D228E">
        <w:rPr>
          <w:rFonts w:eastAsiaTheme="minorEastAsia"/>
        </w:rPr>
        <w:t xml:space="preserve"> los procedimientos de formación</w:t>
      </w:r>
      <w:r w:rsidRPr="393D228E">
        <w:rPr>
          <w:rFonts w:eastAsiaTheme="minorEastAsia"/>
        </w:rPr>
        <w:t xml:space="preserve"> después de que el árbol se haya establecido por completo (aproximadamente de </w:t>
      </w:r>
      <w:r w:rsidR="06AB4941" w:rsidRPr="393D228E">
        <w:rPr>
          <w:rFonts w:eastAsiaTheme="minorEastAsia"/>
        </w:rPr>
        <w:t>uno</w:t>
      </w:r>
      <w:r w:rsidRPr="393D228E">
        <w:rPr>
          <w:rFonts w:eastAsiaTheme="minorEastAsia"/>
        </w:rPr>
        <w:t xml:space="preserve"> </w:t>
      </w:r>
      <w:r w:rsidR="4AC8B214" w:rsidRPr="393D228E">
        <w:rPr>
          <w:rFonts w:eastAsiaTheme="minorEastAsia"/>
        </w:rPr>
        <w:t xml:space="preserve">a </w:t>
      </w:r>
      <w:r w:rsidR="34B49F29" w:rsidRPr="393D228E">
        <w:rPr>
          <w:rFonts w:eastAsiaTheme="minorEastAsia"/>
        </w:rPr>
        <w:t>tres</w:t>
      </w:r>
      <w:r w:rsidR="4AC8B214" w:rsidRPr="393D228E">
        <w:rPr>
          <w:rFonts w:eastAsiaTheme="minorEastAsia"/>
        </w:rPr>
        <w:t xml:space="preserve"> </w:t>
      </w:r>
      <w:r w:rsidRPr="393D228E">
        <w:rPr>
          <w:rFonts w:eastAsiaTheme="minorEastAsia"/>
        </w:rPr>
        <w:t>años después de la plantación) (</w:t>
      </w:r>
      <w:r w:rsidRPr="393D228E">
        <w:rPr>
          <w:rFonts w:eastAsiaTheme="minorEastAsia"/>
          <w:color w:val="0070C0"/>
        </w:rPr>
        <w:t>Lilly</w:t>
      </w:r>
      <w:r w:rsidR="00D30B7D">
        <w:rPr>
          <w:rFonts w:eastAsiaTheme="minorEastAsia"/>
          <w:color w:val="0070C0"/>
        </w:rPr>
        <w:t>,</w:t>
      </w:r>
      <w:r w:rsidRPr="393D228E">
        <w:rPr>
          <w:rFonts w:eastAsiaTheme="minorEastAsia"/>
          <w:color w:val="0070C0"/>
        </w:rPr>
        <w:t xml:space="preserve"> 2011</w:t>
      </w:r>
      <w:r w:rsidRPr="393D228E">
        <w:rPr>
          <w:rFonts w:eastAsiaTheme="minorEastAsia"/>
        </w:rPr>
        <w:t>). Con esto se disminuye la necesidad de intervenciones futuras.</w:t>
      </w:r>
    </w:p>
    <w:p w14:paraId="5D08E660" w14:textId="6FF39B56" w:rsidR="00F40479" w:rsidRDefault="006B7EF9" w:rsidP="60EAC1B2">
      <w:pPr>
        <w:spacing w:after="0" w:line="240" w:lineRule="auto"/>
        <w:jc w:val="both"/>
        <w:rPr>
          <w:rFonts w:eastAsiaTheme="minorEastAsia"/>
        </w:rPr>
      </w:pPr>
      <w:r w:rsidRPr="60EAC1B2">
        <w:rPr>
          <w:rFonts w:eastAsiaTheme="minorEastAsia"/>
          <w:b/>
          <w:bCs/>
          <w:sz w:val="28"/>
          <w:szCs w:val="28"/>
        </w:rPr>
        <w:t>E</w:t>
      </w:r>
      <w:r w:rsidRPr="60EAC1B2">
        <w:rPr>
          <w:rFonts w:eastAsiaTheme="minorEastAsia"/>
        </w:rPr>
        <w:t>stas son algunas de las actividades desde la arista técnica qu</w:t>
      </w:r>
      <w:r w:rsidR="4F8E5C23" w:rsidRPr="60EAC1B2">
        <w:rPr>
          <w:rFonts w:eastAsiaTheme="minorEastAsia"/>
        </w:rPr>
        <w:t xml:space="preserve">e </w:t>
      </w:r>
      <w:r w:rsidRPr="60EAC1B2">
        <w:rPr>
          <w:rFonts w:eastAsiaTheme="minorEastAsia"/>
        </w:rPr>
        <w:t>pueden influir en la obtención de los mejores resultados para las distintas intervenciones que se ejecuten en campo</w:t>
      </w:r>
      <w:r w:rsidR="00D30B7D">
        <w:rPr>
          <w:rFonts w:eastAsiaTheme="minorEastAsia"/>
        </w:rPr>
        <w:t>;</w:t>
      </w:r>
      <w:r w:rsidRPr="60EAC1B2">
        <w:rPr>
          <w:rFonts w:eastAsiaTheme="minorEastAsia"/>
        </w:rPr>
        <w:t xml:space="preserve"> sin embargo, las recomendaciones no estarían completas si </w:t>
      </w:r>
      <w:r w:rsidR="37B5FB4F" w:rsidRPr="60EAC1B2">
        <w:rPr>
          <w:rFonts w:eastAsiaTheme="minorEastAsia"/>
        </w:rPr>
        <w:t>se</w:t>
      </w:r>
      <w:r w:rsidRPr="60EAC1B2">
        <w:rPr>
          <w:rFonts w:eastAsiaTheme="minorEastAsia"/>
        </w:rPr>
        <w:t xml:space="preserve"> </w:t>
      </w:r>
      <w:r w:rsidR="37B5FB4F" w:rsidRPr="60EAC1B2">
        <w:rPr>
          <w:rFonts w:eastAsiaTheme="minorEastAsia"/>
        </w:rPr>
        <w:t xml:space="preserve">dejan </w:t>
      </w:r>
      <w:r w:rsidRPr="60EAC1B2">
        <w:rPr>
          <w:rFonts w:eastAsiaTheme="minorEastAsia"/>
        </w:rPr>
        <w:t>de lado los aspectos sociales, por lo que acciones como: inclusión de comunidades aledañas a los procesos, mapeos y diseños participativos, involucramiento de sectores públicos, alianzas privadas, desarrollo de actividades con perspectiva de género, así como una correcta divulgación y comunicación de los objetivos, son parte de los ejes transversales que deben acompañar cada una de las distintas etapas</w:t>
      </w:r>
      <w:r w:rsidR="13CC4685" w:rsidRPr="60EAC1B2">
        <w:rPr>
          <w:rFonts w:eastAsiaTheme="minorEastAsia"/>
        </w:rPr>
        <w:t>,</w:t>
      </w:r>
      <w:r w:rsidRPr="60EAC1B2">
        <w:rPr>
          <w:rFonts w:eastAsiaTheme="minorEastAsia"/>
        </w:rPr>
        <w:t xml:space="preserve"> y que pueden lograr activar la participación y respaldo de distintos actores de una manera más efectiva.</w:t>
      </w:r>
    </w:p>
    <w:p w14:paraId="1F21FE58" w14:textId="6F9B185E" w:rsidR="00F40479" w:rsidRDefault="28FE6A7A" w:rsidP="60EAC1B2">
      <w:pPr>
        <w:ind w:firstLine="708"/>
        <w:jc w:val="both"/>
        <w:rPr>
          <w:rFonts w:eastAsiaTheme="minorEastAsia"/>
        </w:rPr>
      </w:pPr>
      <w:r w:rsidRPr="393D228E">
        <w:rPr>
          <w:rFonts w:eastAsiaTheme="minorEastAsia"/>
        </w:rPr>
        <w:t>E</w:t>
      </w:r>
      <w:r w:rsidR="006B7EF9" w:rsidRPr="393D228E">
        <w:rPr>
          <w:rFonts w:eastAsiaTheme="minorEastAsia"/>
        </w:rPr>
        <w:t xml:space="preserve">stos proyectos de arborización, rehabilitación o reverdecimiento como puentes de sensibilización ambiental </w:t>
      </w:r>
      <w:r w:rsidR="2DF65741" w:rsidRPr="393D228E">
        <w:rPr>
          <w:rFonts w:eastAsiaTheme="minorEastAsia"/>
        </w:rPr>
        <w:t>permitirán</w:t>
      </w:r>
      <w:r w:rsidR="006B7EF9" w:rsidRPr="393D228E">
        <w:rPr>
          <w:rFonts w:eastAsiaTheme="minorEastAsia"/>
        </w:rPr>
        <w:t xml:space="preserve"> aprender conjuntamente a crear ciudades más verdes, sostenibles y resilientes, desde la ejecución de proyectos sólidos tanto a nivel técnico como a nivel social, capaces de responder a nuestras necesidades, posibilidades y condiciones desde los espacios urbanos</w:t>
      </w:r>
      <w:r w:rsidR="00D30B7D">
        <w:rPr>
          <w:rFonts w:eastAsiaTheme="minorEastAsia"/>
        </w:rPr>
        <w:t>.</w:t>
      </w:r>
    </w:p>
    <w:p w14:paraId="00464061" w14:textId="77777777" w:rsidR="00D30B7D" w:rsidRDefault="00D30B7D" w:rsidP="60EAC1B2">
      <w:pPr>
        <w:ind w:firstLine="708"/>
        <w:jc w:val="both"/>
        <w:rPr>
          <w:rFonts w:eastAsiaTheme="minorEastAsia"/>
        </w:rPr>
      </w:pPr>
    </w:p>
    <w:p w14:paraId="2E1A894F" w14:textId="77777777" w:rsidR="006B7EF9" w:rsidRDefault="006B7EF9" w:rsidP="006B7EF9">
      <w:pPr>
        <w:spacing w:after="0" w:line="240" w:lineRule="auto"/>
        <w:jc w:val="both"/>
        <w:textAlignment w:val="baseline"/>
        <w:rPr>
          <w:rFonts w:eastAsiaTheme="minorEastAsia"/>
          <w:b/>
        </w:rPr>
      </w:pPr>
      <w:r w:rsidRPr="2DA13CE7">
        <w:rPr>
          <w:rFonts w:eastAsiaTheme="minorEastAsia"/>
          <w:b/>
        </w:rPr>
        <w:t>Referencias</w:t>
      </w:r>
    </w:p>
    <w:p w14:paraId="4B126D98" w14:textId="77777777" w:rsidR="006B7EF9" w:rsidRPr="005D3BD7" w:rsidRDefault="006B7EF9" w:rsidP="006B7EF9">
      <w:pPr>
        <w:spacing w:after="0" w:line="240" w:lineRule="auto"/>
        <w:jc w:val="both"/>
        <w:textAlignment w:val="baseline"/>
        <w:rPr>
          <w:rFonts w:eastAsiaTheme="minorEastAsia"/>
          <w:b/>
        </w:rPr>
      </w:pPr>
    </w:p>
    <w:p w14:paraId="1D034E84" w14:textId="43F09C4C" w:rsidR="006B7EF9" w:rsidRDefault="006B7EF9" w:rsidP="60EAC1B2">
      <w:pPr>
        <w:spacing w:after="0"/>
        <w:ind w:left="720" w:hanging="720"/>
        <w:jc w:val="both"/>
        <w:rPr>
          <w:rFonts w:eastAsiaTheme="minorEastAsia"/>
        </w:rPr>
      </w:pPr>
      <w:r w:rsidRPr="60EAC1B2">
        <w:rPr>
          <w:rFonts w:eastAsiaTheme="minorEastAsia"/>
        </w:rPr>
        <w:t xml:space="preserve">Gómez, J. </w:t>
      </w:r>
      <w:r w:rsidR="650117AD" w:rsidRPr="60EAC1B2">
        <w:rPr>
          <w:rFonts w:eastAsiaTheme="minorEastAsia"/>
        </w:rPr>
        <w:t>(</w:t>
      </w:r>
      <w:r w:rsidRPr="60EAC1B2">
        <w:rPr>
          <w:rFonts w:eastAsiaTheme="minorEastAsia"/>
        </w:rPr>
        <w:t>2019</w:t>
      </w:r>
      <w:r w:rsidR="1430CF49" w:rsidRPr="60EAC1B2">
        <w:rPr>
          <w:rFonts w:eastAsiaTheme="minorEastAsia"/>
        </w:rPr>
        <w:t>)</w:t>
      </w:r>
      <w:r w:rsidRPr="60EAC1B2">
        <w:rPr>
          <w:rFonts w:eastAsiaTheme="minorEastAsia"/>
        </w:rPr>
        <w:t xml:space="preserve">. </w:t>
      </w:r>
      <w:r w:rsidRPr="60EAC1B2">
        <w:rPr>
          <w:rFonts w:eastAsiaTheme="minorEastAsia"/>
          <w:i/>
          <w:iCs/>
        </w:rPr>
        <w:t>Al árbol urbano: gestión municipal del arbolado en la ciudad.</w:t>
      </w:r>
      <w:r w:rsidRPr="60EAC1B2">
        <w:rPr>
          <w:rFonts w:eastAsiaTheme="minorEastAsia"/>
        </w:rPr>
        <w:t xml:space="preserve"> Asociación Española de Arboricultura.</w:t>
      </w:r>
    </w:p>
    <w:p w14:paraId="22E7DFD1" w14:textId="77777777" w:rsidR="006B7EF9" w:rsidRDefault="006B7EF9" w:rsidP="2CC09DFD">
      <w:pPr>
        <w:spacing w:after="0"/>
        <w:ind w:left="720" w:hanging="720"/>
        <w:jc w:val="both"/>
        <w:rPr>
          <w:rStyle w:val="Hipervnculo"/>
          <w:rFonts w:eastAsiaTheme="minorEastAsia"/>
        </w:rPr>
      </w:pPr>
      <w:r w:rsidRPr="2CC09DFD">
        <w:rPr>
          <w:rFonts w:eastAsiaTheme="minorEastAsia"/>
        </w:rPr>
        <w:t xml:space="preserve">Lancet </w:t>
      </w:r>
      <w:proofErr w:type="spellStart"/>
      <w:r w:rsidRPr="2CC09DFD">
        <w:rPr>
          <w:rFonts w:eastAsiaTheme="minorEastAsia"/>
        </w:rPr>
        <w:t>Coundown</w:t>
      </w:r>
      <w:proofErr w:type="spellEnd"/>
      <w:r w:rsidRPr="2CC09DFD">
        <w:rPr>
          <w:rFonts w:eastAsiaTheme="minorEastAsia"/>
        </w:rPr>
        <w:t xml:space="preserve">. (2022). </w:t>
      </w:r>
      <w:r>
        <w:t xml:space="preserve">Urban Green </w:t>
      </w:r>
      <w:proofErr w:type="spellStart"/>
      <w:r>
        <w:t>Space</w:t>
      </w:r>
      <w:proofErr w:type="spellEnd"/>
      <w:r>
        <w:t xml:space="preserve">. </w:t>
      </w:r>
      <w:proofErr w:type="spellStart"/>
      <w:r>
        <w:t>The</w:t>
      </w:r>
      <w:proofErr w:type="spellEnd"/>
      <w:r>
        <w:t xml:space="preserve"> Lancet </w:t>
      </w:r>
      <w:proofErr w:type="spellStart"/>
      <w:r>
        <w:t>Countdown</w:t>
      </w:r>
      <w:proofErr w:type="spellEnd"/>
      <w:r>
        <w:t xml:space="preserve">. </w:t>
      </w:r>
      <w:hyperlink r:id="rId8">
        <w:r w:rsidRPr="2CC09DFD">
          <w:rPr>
            <w:rStyle w:val="Hipervnculo"/>
            <w:rFonts w:eastAsiaTheme="minorEastAsia"/>
          </w:rPr>
          <w:t>https://www.lancetcountdown.org/data-platform/adaptation-planning-and-resilience-for-health/2-2-climate-information-services-for-health/2-2-3-urban-green-space</w:t>
        </w:r>
      </w:hyperlink>
    </w:p>
    <w:p w14:paraId="70592F4E" w14:textId="7069F946" w:rsidR="006B7EF9" w:rsidRDefault="006B7EF9" w:rsidP="60EAC1B2">
      <w:pPr>
        <w:spacing w:after="0"/>
        <w:ind w:left="720" w:hanging="720"/>
        <w:jc w:val="both"/>
        <w:rPr>
          <w:rFonts w:ascii="Calibri" w:eastAsia="Calibri" w:hAnsi="Calibri" w:cs="Calibri"/>
        </w:rPr>
      </w:pPr>
      <w:r w:rsidRPr="60EAC1B2">
        <w:rPr>
          <w:rFonts w:eastAsiaTheme="minorEastAsia"/>
        </w:rPr>
        <w:t>Lilly,</w:t>
      </w:r>
      <w:r w:rsidR="3446313A" w:rsidRPr="60EAC1B2">
        <w:rPr>
          <w:rFonts w:eastAsiaTheme="minorEastAsia"/>
        </w:rPr>
        <w:t xml:space="preserve"> </w:t>
      </w:r>
      <w:r w:rsidRPr="60EAC1B2">
        <w:rPr>
          <w:rFonts w:eastAsiaTheme="minorEastAsia"/>
        </w:rPr>
        <w:t>S</w:t>
      </w:r>
      <w:r w:rsidR="289A21C2" w:rsidRPr="60EAC1B2">
        <w:rPr>
          <w:rFonts w:eastAsiaTheme="minorEastAsia"/>
        </w:rPr>
        <w:t xml:space="preserve">. y </w:t>
      </w:r>
      <w:proofErr w:type="spellStart"/>
      <w:r w:rsidRPr="60EAC1B2">
        <w:rPr>
          <w:rFonts w:eastAsiaTheme="minorEastAsia"/>
        </w:rPr>
        <w:t>Currid</w:t>
      </w:r>
      <w:proofErr w:type="spellEnd"/>
      <w:r w:rsidRPr="60EAC1B2">
        <w:rPr>
          <w:rFonts w:eastAsiaTheme="minorEastAsia"/>
        </w:rPr>
        <w:t>, P.</w:t>
      </w:r>
      <w:r w:rsidR="6893AA9F" w:rsidRPr="60EAC1B2">
        <w:rPr>
          <w:rFonts w:eastAsiaTheme="minorEastAsia"/>
        </w:rPr>
        <w:t xml:space="preserve"> (</w:t>
      </w:r>
      <w:r w:rsidRPr="60EAC1B2">
        <w:rPr>
          <w:rFonts w:eastAsiaTheme="minorEastAsia"/>
        </w:rPr>
        <w:t>2008</w:t>
      </w:r>
      <w:r w:rsidR="18CCBE60" w:rsidRPr="60EAC1B2">
        <w:rPr>
          <w:rFonts w:eastAsiaTheme="minorEastAsia"/>
        </w:rPr>
        <w:t>)</w:t>
      </w:r>
      <w:r w:rsidRPr="60EAC1B2">
        <w:rPr>
          <w:rFonts w:eastAsiaTheme="minorEastAsia"/>
        </w:rPr>
        <w:t>. Mejores prácticas de manejo: Poda de árboles. Norma Nacional Estad</w:t>
      </w:r>
      <w:r w:rsidR="264834DD" w:rsidRPr="60EAC1B2">
        <w:rPr>
          <w:rFonts w:eastAsiaTheme="minorEastAsia"/>
        </w:rPr>
        <w:t>o</w:t>
      </w:r>
      <w:r w:rsidRPr="60EAC1B2">
        <w:rPr>
          <w:rFonts w:eastAsiaTheme="minorEastAsia"/>
        </w:rPr>
        <w:t>unidense para las operaciones de arboricultura. Pr</w:t>
      </w:r>
      <w:r w:rsidR="4792AD72" w:rsidRPr="60EAC1B2">
        <w:rPr>
          <w:rFonts w:eastAsiaTheme="minorEastAsia"/>
        </w:rPr>
        <w:t>á</w:t>
      </w:r>
      <w:r w:rsidRPr="60EAC1B2">
        <w:rPr>
          <w:rFonts w:eastAsiaTheme="minorEastAsia"/>
        </w:rPr>
        <w:t xml:space="preserve">cticas estandarizadas para el manejo de árboles, arbustos y otras plantas leñosas. ANSI A300 </w:t>
      </w:r>
      <w:proofErr w:type="spellStart"/>
      <w:r w:rsidRPr="60EAC1B2">
        <w:rPr>
          <w:rFonts w:eastAsiaTheme="minorEastAsia"/>
        </w:rPr>
        <w:t>Part</w:t>
      </w:r>
      <w:proofErr w:type="spellEnd"/>
      <w:r w:rsidRPr="60EAC1B2">
        <w:rPr>
          <w:rFonts w:eastAsiaTheme="minorEastAsia"/>
        </w:rPr>
        <w:t xml:space="preserve"> 1.</w:t>
      </w:r>
      <w:r w:rsidR="5E84158C" w:rsidRPr="60EAC1B2">
        <w:rPr>
          <w:rFonts w:eastAsiaTheme="minorEastAsia"/>
        </w:rPr>
        <w:t xml:space="preserve"> International </w:t>
      </w:r>
      <w:proofErr w:type="spellStart"/>
      <w:r w:rsidR="5E84158C" w:rsidRPr="60EAC1B2">
        <w:rPr>
          <w:rFonts w:eastAsiaTheme="minorEastAsia"/>
        </w:rPr>
        <w:t>Society</w:t>
      </w:r>
      <w:proofErr w:type="spellEnd"/>
      <w:r w:rsidR="5E84158C" w:rsidRPr="60EAC1B2">
        <w:rPr>
          <w:rFonts w:eastAsiaTheme="minorEastAsia"/>
        </w:rPr>
        <w:t xml:space="preserve"> </w:t>
      </w:r>
      <w:proofErr w:type="spellStart"/>
      <w:r w:rsidR="5E84158C" w:rsidRPr="60EAC1B2">
        <w:rPr>
          <w:rFonts w:eastAsiaTheme="minorEastAsia"/>
        </w:rPr>
        <w:t>of</w:t>
      </w:r>
      <w:proofErr w:type="spellEnd"/>
      <w:r w:rsidR="5E84158C" w:rsidRPr="60EAC1B2">
        <w:rPr>
          <w:rFonts w:eastAsiaTheme="minorEastAsia"/>
        </w:rPr>
        <w:t xml:space="preserve"> </w:t>
      </w:r>
      <w:proofErr w:type="spellStart"/>
      <w:r w:rsidR="5E84158C" w:rsidRPr="60EAC1B2">
        <w:rPr>
          <w:rFonts w:eastAsiaTheme="minorEastAsia"/>
        </w:rPr>
        <w:t>Arboriculture</w:t>
      </w:r>
      <w:proofErr w:type="spellEnd"/>
      <w:r w:rsidR="5E84158C" w:rsidRPr="60EAC1B2">
        <w:rPr>
          <w:rFonts w:eastAsiaTheme="minorEastAsia"/>
        </w:rPr>
        <w:t>.</w:t>
      </w:r>
    </w:p>
    <w:p w14:paraId="7F579D3F" w14:textId="78B4B9D3" w:rsidR="006B7EF9" w:rsidRDefault="006B7EF9" w:rsidP="60EAC1B2">
      <w:pPr>
        <w:spacing w:after="0"/>
        <w:ind w:left="720" w:hanging="720"/>
        <w:jc w:val="both"/>
        <w:rPr>
          <w:rFonts w:ascii="Calibri" w:eastAsia="Calibri" w:hAnsi="Calibri" w:cs="Calibri"/>
        </w:rPr>
      </w:pPr>
      <w:r w:rsidRPr="60EAC1B2">
        <w:rPr>
          <w:rFonts w:eastAsiaTheme="minorEastAsia"/>
        </w:rPr>
        <w:t xml:space="preserve">Lilly, S. </w:t>
      </w:r>
      <w:r w:rsidR="3EBAB703" w:rsidRPr="60EAC1B2">
        <w:rPr>
          <w:rFonts w:eastAsiaTheme="minorEastAsia"/>
        </w:rPr>
        <w:t>(</w:t>
      </w:r>
      <w:r w:rsidRPr="60EAC1B2">
        <w:rPr>
          <w:rFonts w:eastAsiaTheme="minorEastAsia"/>
        </w:rPr>
        <w:t>2011</w:t>
      </w:r>
      <w:r w:rsidR="5D5B39ED" w:rsidRPr="60EAC1B2">
        <w:rPr>
          <w:rFonts w:eastAsiaTheme="minorEastAsia"/>
        </w:rPr>
        <w:t>)</w:t>
      </w:r>
      <w:r w:rsidRPr="60EAC1B2">
        <w:rPr>
          <w:rFonts w:eastAsiaTheme="minorEastAsia"/>
        </w:rPr>
        <w:t xml:space="preserve">. </w:t>
      </w:r>
      <w:r w:rsidRPr="60EAC1B2">
        <w:rPr>
          <w:rFonts w:eastAsiaTheme="minorEastAsia"/>
          <w:i/>
          <w:iCs/>
        </w:rPr>
        <w:t xml:space="preserve">Guía de estudio para la certificación del </w:t>
      </w:r>
      <w:proofErr w:type="spellStart"/>
      <w:r w:rsidRPr="60EAC1B2">
        <w:rPr>
          <w:rFonts w:eastAsiaTheme="minorEastAsia"/>
          <w:i/>
          <w:iCs/>
        </w:rPr>
        <w:t>arborista</w:t>
      </w:r>
      <w:proofErr w:type="spellEnd"/>
      <w:r w:rsidRPr="60EAC1B2">
        <w:rPr>
          <w:rFonts w:eastAsiaTheme="minorEastAsia"/>
        </w:rPr>
        <w:t xml:space="preserve">. </w:t>
      </w:r>
      <w:r w:rsidR="1FDF3E64" w:rsidRPr="60EAC1B2">
        <w:rPr>
          <w:rFonts w:eastAsiaTheme="minorEastAsia"/>
        </w:rPr>
        <w:t xml:space="preserve">International </w:t>
      </w:r>
      <w:proofErr w:type="spellStart"/>
      <w:r w:rsidR="1FDF3E64" w:rsidRPr="60EAC1B2">
        <w:rPr>
          <w:rFonts w:eastAsiaTheme="minorEastAsia"/>
        </w:rPr>
        <w:t>Society</w:t>
      </w:r>
      <w:proofErr w:type="spellEnd"/>
      <w:r w:rsidR="1FDF3E64" w:rsidRPr="60EAC1B2">
        <w:rPr>
          <w:rFonts w:eastAsiaTheme="minorEastAsia"/>
        </w:rPr>
        <w:t xml:space="preserve"> </w:t>
      </w:r>
      <w:proofErr w:type="spellStart"/>
      <w:r w:rsidR="1FDF3E64" w:rsidRPr="60EAC1B2">
        <w:rPr>
          <w:rFonts w:eastAsiaTheme="minorEastAsia"/>
        </w:rPr>
        <w:t>of</w:t>
      </w:r>
      <w:proofErr w:type="spellEnd"/>
      <w:r w:rsidR="1FDF3E64" w:rsidRPr="60EAC1B2">
        <w:rPr>
          <w:rFonts w:eastAsiaTheme="minorEastAsia"/>
        </w:rPr>
        <w:t xml:space="preserve"> </w:t>
      </w:r>
      <w:proofErr w:type="spellStart"/>
      <w:r w:rsidR="1FDF3E64" w:rsidRPr="60EAC1B2">
        <w:rPr>
          <w:rFonts w:eastAsiaTheme="minorEastAsia"/>
        </w:rPr>
        <w:t>Arboriculture</w:t>
      </w:r>
      <w:proofErr w:type="spellEnd"/>
      <w:r w:rsidR="1FDF3E64" w:rsidRPr="60EAC1B2">
        <w:rPr>
          <w:rFonts w:eastAsiaTheme="minorEastAsia"/>
        </w:rPr>
        <w:t>.</w:t>
      </w:r>
    </w:p>
    <w:p w14:paraId="5F3869AE" w14:textId="3FEEF117" w:rsidR="006B7EF9" w:rsidRDefault="006B7EF9" w:rsidP="2CC09DFD">
      <w:pPr>
        <w:spacing w:after="0"/>
        <w:ind w:left="720" w:hanging="720"/>
        <w:jc w:val="both"/>
        <w:rPr>
          <w:rFonts w:ascii="Calibri" w:eastAsia="Calibri" w:hAnsi="Calibri" w:cs="Calibri"/>
        </w:rPr>
      </w:pPr>
      <w:r w:rsidRPr="60EAC1B2">
        <w:rPr>
          <w:rFonts w:ascii="Calibri" w:eastAsia="Calibri" w:hAnsi="Calibri" w:cs="Calibri"/>
        </w:rPr>
        <w:t xml:space="preserve">MINAE-GEF-PNUD (2019). </w:t>
      </w:r>
      <w:r w:rsidRPr="60EAC1B2">
        <w:rPr>
          <w:rFonts w:ascii="Calibri" w:eastAsia="Calibri" w:hAnsi="Calibri" w:cs="Calibri"/>
          <w:i/>
          <w:iCs/>
        </w:rPr>
        <w:t>Diagnóstico multidimensional del Corredor Biológico Interurbano María Aguilar.</w:t>
      </w:r>
      <w:r w:rsidRPr="60EAC1B2">
        <w:rPr>
          <w:rFonts w:ascii="Calibri" w:eastAsia="Calibri" w:hAnsi="Calibri" w:cs="Calibri"/>
        </w:rPr>
        <w:t xml:space="preserve"> Programa de las Naciones Unidas para el Desarrollo</w:t>
      </w:r>
      <w:r w:rsidR="46F5C244" w:rsidRPr="60EAC1B2">
        <w:rPr>
          <w:rFonts w:ascii="Calibri" w:eastAsia="Calibri" w:hAnsi="Calibri" w:cs="Calibri"/>
        </w:rPr>
        <w:t xml:space="preserve">, </w:t>
      </w:r>
      <w:r w:rsidRPr="60EAC1B2">
        <w:rPr>
          <w:rFonts w:ascii="Calibri" w:eastAsia="Calibri" w:hAnsi="Calibri" w:cs="Calibri"/>
        </w:rPr>
        <w:t>Proyecto Conservando la biodiversidad a través de la gestión sostenible en los paisajes de producción en Costa Rica.</w:t>
      </w:r>
      <w:r w:rsidR="53F1DE8D" w:rsidRPr="60EAC1B2">
        <w:rPr>
          <w:rFonts w:ascii="Calibri" w:eastAsia="Calibri" w:hAnsi="Calibri" w:cs="Calibri"/>
        </w:rPr>
        <w:t xml:space="preserve"> </w:t>
      </w:r>
      <w:hyperlink r:id="rId9">
        <w:r w:rsidR="53F1DE8D" w:rsidRPr="60EAC1B2">
          <w:rPr>
            <w:rStyle w:val="Hipervnculo"/>
            <w:rFonts w:ascii="Calibri" w:eastAsia="Calibri" w:hAnsi="Calibri" w:cs="Calibri"/>
          </w:rPr>
          <w:t>https://www.undp.org/es/costa-rica/publications/diagnostico-multidimensional-del-corredor-biologico-interurbano-maria-aguilar-cbima</w:t>
        </w:r>
      </w:hyperlink>
    </w:p>
    <w:p w14:paraId="277598EB" w14:textId="748F98B0" w:rsidR="00A42005" w:rsidRDefault="00A42005" w:rsidP="2CC09DFD">
      <w:pPr>
        <w:spacing w:after="0"/>
        <w:ind w:left="720" w:hanging="720"/>
        <w:jc w:val="both"/>
        <w:rPr>
          <w:rFonts w:eastAsiaTheme="minorEastAsia"/>
        </w:rPr>
      </w:pPr>
      <w:r w:rsidRPr="2CC09DFD">
        <w:rPr>
          <w:rFonts w:eastAsiaTheme="minorEastAsia"/>
        </w:rPr>
        <w:t>Picón, E</w:t>
      </w:r>
      <w:r w:rsidR="78AF6A6C" w:rsidRPr="2CC09DFD">
        <w:rPr>
          <w:rFonts w:eastAsiaTheme="minorEastAsia"/>
        </w:rPr>
        <w:t xml:space="preserve">., </w:t>
      </w:r>
      <w:proofErr w:type="spellStart"/>
      <w:r w:rsidRPr="2CC09DFD">
        <w:rPr>
          <w:rFonts w:eastAsiaTheme="minorEastAsia"/>
        </w:rPr>
        <w:t>Alberich</w:t>
      </w:r>
      <w:proofErr w:type="spellEnd"/>
      <w:r w:rsidRPr="2CC09DFD">
        <w:rPr>
          <w:rFonts w:eastAsiaTheme="minorEastAsia"/>
        </w:rPr>
        <w:t>, J</w:t>
      </w:r>
      <w:r w:rsidR="4E78FDF4" w:rsidRPr="2CC09DFD">
        <w:rPr>
          <w:rFonts w:eastAsiaTheme="minorEastAsia"/>
        </w:rPr>
        <w:t>.,</w:t>
      </w:r>
      <w:r w:rsidRPr="2CC09DFD">
        <w:rPr>
          <w:rFonts w:eastAsiaTheme="minorEastAsia"/>
        </w:rPr>
        <w:t xml:space="preserve"> </w:t>
      </w:r>
      <w:proofErr w:type="spellStart"/>
      <w:r w:rsidRPr="2CC09DFD">
        <w:rPr>
          <w:rFonts w:eastAsiaTheme="minorEastAsia"/>
        </w:rPr>
        <w:t>Perez</w:t>
      </w:r>
      <w:proofErr w:type="spellEnd"/>
      <w:r w:rsidRPr="2CC09DFD">
        <w:rPr>
          <w:rFonts w:eastAsiaTheme="minorEastAsia"/>
        </w:rPr>
        <w:t>, Y</w:t>
      </w:r>
      <w:r w:rsidR="54FFABD6" w:rsidRPr="2CC09DFD">
        <w:rPr>
          <w:rFonts w:eastAsiaTheme="minorEastAsia"/>
        </w:rPr>
        <w:t>. y</w:t>
      </w:r>
      <w:r w:rsidRPr="2CC09DFD">
        <w:rPr>
          <w:rFonts w:eastAsiaTheme="minorEastAsia"/>
        </w:rPr>
        <w:t xml:space="preserve"> Muro, J</w:t>
      </w:r>
      <w:r w:rsidR="042EA8AF" w:rsidRPr="2CC09DFD">
        <w:rPr>
          <w:rFonts w:eastAsiaTheme="minorEastAsia"/>
        </w:rPr>
        <w:t>. (</w:t>
      </w:r>
      <w:r w:rsidRPr="2CC09DFD">
        <w:rPr>
          <w:rFonts w:eastAsiaTheme="minorEastAsia"/>
        </w:rPr>
        <w:t>2022</w:t>
      </w:r>
      <w:r w:rsidR="1059EE8A" w:rsidRPr="2CC09DFD">
        <w:rPr>
          <w:rFonts w:eastAsiaTheme="minorEastAsia"/>
        </w:rPr>
        <w:t>)</w:t>
      </w:r>
      <w:r w:rsidRPr="2CC09DFD">
        <w:rPr>
          <w:rFonts w:eastAsiaTheme="minorEastAsia"/>
        </w:rPr>
        <w:t xml:space="preserve">. Parques urbanos, activos de salud y personas mayores. Un análisis de justicia espacial en los barrios de la ciudad de Tarragona. </w:t>
      </w:r>
      <w:r w:rsidRPr="2CC09DFD">
        <w:rPr>
          <w:rFonts w:eastAsiaTheme="minorEastAsia"/>
          <w:i/>
          <w:iCs/>
        </w:rPr>
        <w:lastRenderedPageBreak/>
        <w:t>Cuaderno de Investigación Urbanística</w:t>
      </w:r>
      <w:r w:rsidR="5801DD05" w:rsidRPr="2CC09DFD">
        <w:rPr>
          <w:rFonts w:eastAsiaTheme="minorEastAsia"/>
          <w:i/>
          <w:iCs/>
        </w:rPr>
        <w:t xml:space="preserve">, </w:t>
      </w:r>
      <w:r w:rsidR="5801DD05" w:rsidRPr="2CC09DFD">
        <w:rPr>
          <w:rFonts w:eastAsiaTheme="minorEastAsia"/>
        </w:rPr>
        <w:t>(1</w:t>
      </w:r>
      <w:r w:rsidRPr="2CC09DFD">
        <w:rPr>
          <w:rFonts w:eastAsiaTheme="minorEastAsia"/>
        </w:rPr>
        <w:t>42</w:t>
      </w:r>
      <w:r w:rsidR="10FBDEEC" w:rsidRPr="2CC09DFD">
        <w:rPr>
          <w:rFonts w:eastAsiaTheme="minorEastAsia"/>
        </w:rPr>
        <w:t xml:space="preserve">), 59-77. </w:t>
      </w:r>
      <w:hyperlink r:id="rId10">
        <w:r w:rsidR="0FF62FA2" w:rsidRPr="2CC09DFD">
          <w:rPr>
            <w:rStyle w:val="Hipervnculo"/>
            <w:rFonts w:eastAsiaTheme="minorEastAsia"/>
          </w:rPr>
          <w:t>https://doi.org/10.20868/ciur.2022.142.4887</w:t>
        </w:r>
      </w:hyperlink>
    </w:p>
    <w:p w14:paraId="123B125A" w14:textId="36FE11BF" w:rsidR="006B7EF9" w:rsidRPr="0098235D" w:rsidRDefault="006B7EF9" w:rsidP="60EAC1B2">
      <w:pPr>
        <w:spacing w:after="0"/>
        <w:ind w:left="720" w:hanging="720"/>
        <w:jc w:val="both"/>
        <w:rPr>
          <w:rFonts w:eastAsiaTheme="minorEastAsia"/>
        </w:rPr>
      </w:pPr>
      <w:r w:rsidRPr="60EAC1B2">
        <w:rPr>
          <w:rFonts w:eastAsiaTheme="minorEastAsia"/>
        </w:rPr>
        <w:t>Rivas, D.</w:t>
      </w:r>
      <w:r w:rsidR="64B9AA50" w:rsidRPr="60EAC1B2">
        <w:rPr>
          <w:rFonts w:eastAsiaTheme="minorEastAsia"/>
        </w:rPr>
        <w:t xml:space="preserve"> (s. </w:t>
      </w:r>
      <w:r w:rsidR="1CB1CAA7" w:rsidRPr="60EAC1B2">
        <w:rPr>
          <w:rFonts w:eastAsiaTheme="minorEastAsia"/>
        </w:rPr>
        <w:t>f</w:t>
      </w:r>
      <w:r w:rsidR="64B9AA50" w:rsidRPr="60EAC1B2">
        <w:rPr>
          <w:rFonts w:eastAsiaTheme="minorEastAsia"/>
        </w:rPr>
        <w:t>.)</w:t>
      </w:r>
      <w:r w:rsidRPr="60EAC1B2">
        <w:rPr>
          <w:rFonts w:eastAsiaTheme="minorEastAsia"/>
        </w:rPr>
        <w:t xml:space="preserve">. </w:t>
      </w:r>
      <w:r w:rsidRPr="60EAC1B2">
        <w:rPr>
          <w:rFonts w:eastAsiaTheme="minorEastAsia"/>
          <w:i/>
          <w:iCs/>
        </w:rPr>
        <w:t>Silvicultura urbana y arboricultura: discusión conceptual</w:t>
      </w:r>
      <w:r w:rsidRPr="60EAC1B2">
        <w:rPr>
          <w:rFonts w:eastAsiaTheme="minorEastAsia"/>
        </w:rPr>
        <w:t>. Universidad</w:t>
      </w:r>
      <w:r w:rsidR="1C4997D7" w:rsidRPr="60EAC1B2">
        <w:rPr>
          <w:rFonts w:eastAsiaTheme="minorEastAsia"/>
        </w:rPr>
        <w:t xml:space="preserve"> </w:t>
      </w:r>
      <w:r w:rsidRPr="60EAC1B2">
        <w:rPr>
          <w:rFonts w:eastAsiaTheme="minorEastAsia"/>
        </w:rPr>
        <w:t>Autónoma Chapingo. Texcoco, México.</w:t>
      </w:r>
    </w:p>
    <w:p w14:paraId="32CDA315" w14:textId="77777777" w:rsidR="009A54E2" w:rsidRDefault="009A54E2"/>
    <w:sectPr w:rsidR="009A54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BA6F"/>
    <w:multiLevelType w:val="hybridMultilevel"/>
    <w:tmpl w:val="21F8B096"/>
    <w:lvl w:ilvl="0" w:tplc="F320B0D8">
      <w:start w:val="1"/>
      <w:numFmt w:val="decimal"/>
      <w:lvlText w:val="%1."/>
      <w:lvlJc w:val="left"/>
      <w:pPr>
        <w:ind w:left="720" w:hanging="360"/>
      </w:pPr>
    </w:lvl>
    <w:lvl w:ilvl="1" w:tplc="C63EDBAC">
      <w:start w:val="1"/>
      <w:numFmt w:val="lowerLetter"/>
      <w:lvlText w:val="%2."/>
      <w:lvlJc w:val="left"/>
      <w:pPr>
        <w:ind w:left="1440" w:hanging="360"/>
      </w:pPr>
    </w:lvl>
    <w:lvl w:ilvl="2" w:tplc="D3EE0782">
      <w:start w:val="1"/>
      <w:numFmt w:val="lowerRoman"/>
      <w:lvlText w:val="%3."/>
      <w:lvlJc w:val="right"/>
      <w:pPr>
        <w:ind w:left="2160" w:hanging="180"/>
      </w:pPr>
    </w:lvl>
    <w:lvl w:ilvl="3" w:tplc="50E86C2A">
      <w:start w:val="1"/>
      <w:numFmt w:val="decimal"/>
      <w:lvlText w:val="%4."/>
      <w:lvlJc w:val="left"/>
      <w:pPr>
        <w:ind w:left="2880" w:hanging="360"/>
      </w:pPr>
    </w:lvl>
    <w:lvl w:ilvl="4" w:tplc="E4FA0098">
      <w:start w:val="1"/>
      <w:numFmt w:val="lowerLetter"/>
      <w:lvlText w:val="%5."/>
      <w:lvlJc w:val="left"/>
      <w:pPr>
        <w:ind w:left="3600" w:hanging="360"/>
      </w:pPr>
    </w:lvl>
    <w:lvl w:ilvl="5" w:tplc="17ACA882">
      <w:start w:val="1"/>
      <w:numFmt w:val="lowerRoman"/>
      <w:lvlText w:val="%6."/>
      <w:lvlJc w:val="right"/>
      <w:pPr>
        <w:ind w:left="4320" w:hanging="180"/>
      </w:pPr>
    </w:lvl>
    <w:lvl w:ilvl="6" w:tplc="F3A4A058">
      <w:start w:val="1"/>
      <w:numFmt w:val="decimal"/>
      <w:lvlText w:val="%7."/>
      <w:lvlJc w:val="left"/>
      <w:pPr>
        <w:ind w:left="5040" w:hanging="360"/>
      </w:pPr>
    </w:lvl>
    <w:lvl w:ilvl="7" w:tplc="BB30DA26">
      <w:start w:val="1"/>
      <w:numFmt w:val="lowerLetter"/>
      <w:lvlText w:val="%8."/>
      <w:lvlJc w:val="left"/>
      <w:pPr>
        <w:ind w:left="5760" w:hanging="360"/>
      </w:pPr>
    </w:lvl>
    <w:lvl w:ilvl="8" w:tplc="6F102502">
      <w:start w:val="1"/>
      <w:numFmt w:val="lowerRoman"/>
      <w:lvlText w:val="%9."/>
      <w:lvlJc w:val="right"/>
      <w:pPr>
        <w:ind w:left="6480" w:hanging="180"/>
      </w:pPr>
    </w:lvl>
  </w:abstractNum>
  <w:abstractNum w:abstractNumId="1" w15:restartNumberingAfterBreak="0">
    <w:nsid w:val="5C4A4EDE"/>
    <w:multiLevelType w:val="hybridMultilevel"/>
    <w:tmpl w:val="453C621A"/>
    <w:lvl w:ilvl="0" w:tplc="FFFFFFFF">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CC2227F"/>
    <w:multiLevelType w:val="hybridMultilevel"/>
    <w:tmpl w:val="49BC1594"/>
    <w:lvl w:ilvl="0" w:tplc="523405AA">
      <w:start w:val="1"/>
      <w:numFmt w:val="decimal"/>
      <w:lvlText w:val="%1."/>
      <w:lvlJc w:val="left"/>
      <w:pPr>
        <w:ind w:left="720" w:hanging="360"/>
      </w:pPr>
    </w:lvl>
    <w:lvl w:ilvl="1" w:tplc="AA4E181C">
      <w:start w:val="1"/>
      <w:numFmt w:val="lowerLetter"/>
      <w:lvlText w:val="%2."/>
      <w:lvlJc w:val="left"/>
      <w:pPr>
        <w:ind w:left="1440" w:hanging="360"/>
      </w:pPr>
    </w:lvl>
    <w:lvl w:ilvl="2" w:tplc="38DEFAD2">
      <w:start w:val="1"/>
      <w:numFmt w:val="lowerRoman"/>
      <w:lvlText w:val="%3."/>
      <w:lvlJc w:val="right"/>
      <w:pPr>
        <w:ind w:left="2160" w:hanging="180"/>
      </w:pPr>
    </w:lvl>
    <w:lvl w:ilvl="3" w:tplc="E270845C">
      <w:start w:val="1"/>
      <w:numFmt w:val="decimal"/>
      <w:lvlText w:val="%4."/>
      <w:lvlJc w:val="left"/>
      <w:pPr>
        <w:ind w:left="2880" w:hanging="360"/>
      </w:pPr>
    </w:lvl>
    <w:lvl w:ilvl="4" w:tplc="2962EB12">
      <w:start w:val="1"/>
      <w:numFmt w:val="lowerLetter"/>
      <w:lvlText w:val="%5."/>
      <w:lvlJc w:val="left"/>
      <w:pPr>
        <w:ind w:left="3600" w:hanging="360"/>
      </w:pPr>
    </w:lvl>
    <w:lvl w:ilvl="5" w:tplc="C42439B4">
      <w:start w:val="1"/>
      <w:numFmt w:val="lowerRoman"/>
      <w:lvlText w:val="%6."/>
      <w:lvlJc w:val="right"/>
      <w:pPr>
        <w:ind w:left="4320" w:hanging="180"/>
      </w:pPr>
    </w:lvl>
    <w:lvl w:ilvl="6" w:tplc="F816F822">
      <w:start w:val="1"/>
      <w:numFmt w:val="decimal"/>
      <w:lvlText w:val="%7."/>
      <w:lvlJc w:val="left"/>
      <w:pPr>
        <w:ind w:left="5040" w:hanging="360"/>
      </w:pPr>
    </w:lvl>
    <w:lvl w:ilvl="7" w:tplc="CC2E982A">
      <w:start w:val="1"/>
      <w:numFmt w:val="lowerLetter"/>
      <w:lvlText w:val="%8."/>
      <w:lvlJc w:val="left"/>
      <w:pPr>
        <w:ind w:left="5760" w:hanging="360"/>
      </w:pPr>
    </w:lvl>
    <w:lvl w:ilvl="8" w:tplc="2B84F696">
      <w:start w:val="1"/>
      <w:numFmt w:val="lowerRoman"/>
      <w:lvlText w:val="%9."/>
      <w:lvlJc w:val="right"/>
      <w:pPr>
        <w:ind w:left="6480" w:hanging="180"/>
      </w:pPr>
    </w:lvl>
  </w:abstractNum>
  <w:num w:numId="1" w16cid:durableId="1911384047">
    <w:abstractNumId w:val="0"/>
  </w:num>
  <w:num w:numId="2" w16cid:durableId="898857744">
    <w:abstractNumId w:val="2"/>
  </w:num>
  <w:num w:numId="3" w16cid:durableId="2134520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F9"/>
    <w:rsid w:val="00044F76"/>
    <w:rsid w:val="000E791D"/>
    <w:rsid w:val="00341157"/>
    <w:rsid w:val="0049172E"/>
    <w:rsid w:val="005A1916"/>
    <w:rsid w:val="005E0A6E"/>
    <w:rsid w:val="006175A9"/>
    <w:rsid w:val="00674378"/>
    <w:rsid w:val="006B7EF9"/>
    <w:rsid w:val="007F570C"/>
    <w:rsid w:val="00975E3D"/>
    <w:rsid w:val="009A54E2"/>
    <w:rsid w:val="00A350ED"/>
    <w:rsid w:val="00A42005"/>
    <w:rsid w:val="00A851A1"/>
    <w:rsid w:val="00BE7824"/>
    <w:rsid w:val="00D30B7D"/>
    <w:rsid w:val="00D837E8"/>
    <w:rsid w:val="00F40479"/>
    <w:rsid w:val="00FC545D"/>
    <w:rsid w:val="00FD3F88"/>
    <w:rsid w:val="00FE0FDE"/>
    <w:rsid w:val="01AE2E7C"/>
    <w:rsid w:val="01B326AA"/>
    <w:rsid w:val="023A59CA"/>
    <w:rsid w:val="03735B55"/>
    <w:rsid w:val="042EA8AF"/>
    <w:rsid w:val="045F8AD1"/>
    <w:rsid w:val="04976B71"/>
    <w:rsid w:val="04A07C4C"/>
    <w:rsid w:val="0507983F"/>
    <w:rsid w:val="05092AD8"/>
    <w:rsid w:val="05146D35"/>
    <w:rsid w:val="05C069D4"/>
    <w:rsid w:val="05DD25DA"/>
    <w:rsid w:val="06A368A0"/>
    <w:rsid w:val="06AAFC17"/>
    <w:rsid w:val="06AB4941"/>
    <w:rsid w:val="07E13A44"/>
    <w:rsid w:val="0850DD13"/>
    <w:rsid w:val="095051C9"/>
    <w:rsid w:val="09DB0962"/>
    <w:rsid w:val="0B76D9C3"/>
    <w:rsid w:val="0D441336"/>
    <w:rsid w:val="0DB5337F"/>
    <w:rsid w:val="0E047321"/>
    <w:rsid w:val="0EB6680B"/>
    <w:rsid w:val="0FB6E82D"/>
    <w:rsid w:val="0FF62FA2"/>
    <w:rsid w:val="1059EE8A"/>
    <w:rsid w:val="10D41730"/>
    <w:rsid w:val="10FBDEEC"/>
    <w:rsid w:val="11EE08CD"/>
    <w:rsid w:val="132DEAE6"/>
    <w:rsid w:val="134EE7D0"/>
    <w:rsid w:val="1371FF3F"/>
    <w:rsid w:val="13CC4685"/>
    <w:rsid w:val="1430CF49"/>
    <w:rsid w:val="148C4965"/>
    <w:rsid w:val="14A4E1C4"/>
    <w:rsid w:val="166852A5"/>
    <w:rsid w:val="18CCBE60"/>
    <w:rsid w:val="18D3B42E"/>
    <w:rsid w:val="19050F0D"/>
    <w:rsid w:val="198210D1"/>
    <w:rsid w:val="1A216EB5"/>
    <w:rsid w:val="1A256EB3"/>
    <w:rsid w:val="1BD73F48"/>
    <w:rsid w:val="1C228932"/>
    <w:rsid w:val="1C4997D7"/>
    <w:rsid w:val="1C7879E6"/>
    <w:rsid w:val="1CAC5EF9"/>
    <w:rsid w:val="1CB1CAA7"/>
    <w:rsid w:val="1CD371EE"/>
    <w:rsid w:val="1CF5CA16"/>
    <w:rsid w:val="1D30BB74"/>
    <w:rsid w:val="1D730FA9"/>
    <w:rsid w:val="1DE697B1"/>
    <w:rsid w:val="1E0D0A69"/>
    <w:rsid w:val="1E95BBF1"/>
    <w:rsid w:val="1EE7734F"/>
    <w:rsid w:val="1F0EE00A"/>
    <w:rsid w:val="1F3644DF"/>
    <w:rsid w:val="1FDF3E64"/>
    <w:rsid w:val="20B4042B"/>
    <w:rsid w:val="20FE005C"/>
    <w:rsid w:val="2108056E"/>
    <w:rsid w:val="2132C2AC"/>
    <w:rsid w:val="2304BC43"/>
    <w:rsid w:val="246A636E"/>
    <w:rsid w:val="2500DBFB"/>
    <w:rsid w:val="25774EBE"/>
    <w:rsid w:val="264834DD"/>
    <w:rsid w:val="2826F9E0"/>
    <w:rsid w:val="289A21C2"/>
    <w:rsid w:val="28E66943"/>
    <w:rsid w:val="28FE6A7A"/>
    <w:rsid w:val="29BB7778"/>
    <w:rsid w:val="2BA45EDE"/>
    <w:rsid w:val="2C85A973"/>
    <w:rsid w:val="2CC09DFD"/>
    <w:rsid w:val="2CC3BA8E"/>
    <w:rsid w:val="2D0990FB"/>
    <w:rsid w:val="2D38C1E8"/>
    <w:rsid w:val="2DF42A29"/>
    <w:rsid w:val="2DF65741"/>
    <w:rsid w:val="2E4F8093"/>
    <w:rsid w:val="2FADEE13"/>
    <w:rsid w:val="33D68E6B"/>
    <w:rsid w:val="34135FCD"/>
    <w:rsid w:val="3446313A"/>
    <w:rsid w:val="34B49F29"/>
    <w:rsid w:val="3505C4EE"/>
    <w:rsid w:val="37101A8C"/>
    <w:rsid w:val="37B5FB4F"/>
    <w:rsid w:val="38B5F73C"/>
    <w:rsid w:val="393D228E"/>
    <w:rsid w:val="3BBA756E"/>
    <w:rsid w:val="3C68C965"/>
    <w:rsid w:val="3D1B0A98"/>
    <w:rsid w:val="3D59EC60"/>
    <w:rsid w:val="3EBAB703"/>
    <w:rsid w:val="3FA040D1"/>
    <w:rsid w:val="3FFC670C"/>
    <w:rsid w:val="407CEE00"/>
    <w:rsid w:val="40861B05"/>
    <w:rsid w:val="40EF0F08"/>
    <w:rsid w:val="42B41354"/>
    <w:rsid w:val="433B4135"/>
    <w:rsid w:val="4350A198"/>
    <w:rsid w:val="435A44E2"/>
    <w:rsid w:val="43ACCDD3"/>
    <w:rsid w:val="442E04DD"/>
    <w:rsid w:val="44D7BC68"/>
    <w:rsid w:val="45304020"/>
    <w:rsid w:val="45D6B9F7"/>
    <w:rsid w:val="4609F750"/>
    <w:rsid w:val="4676F10A"/>
    <w:rsid w:val="4682381F"/>
    <w:rsid w:val="469FA875"/>
    <w:rsid w:val="46F5C244"/>
    <w:rsid w:val="4792AD72"/>
    <w:rsid w:val="486006D1"/>
    <w:rsid w:val="48B91A7A"/>
    <w:rsid w:val="48C0ADF1"/>
    <w:rsid w:val="49383023"/>
    <w:rsid w:val="4971EC0F"/>
    <w:rsid w:val="4A075348"/>
    <w:rsid w:val="4A2F1D56"/>
    <w:rsid w:val="4AC8B214"/>
    <w:rsid w:val="4B8F6A6D"/>
    <w:rsid w:val="4C31F385"/>
    <w:rsid w:val="4C7EED2F"/>
    <w:rsid w:val="4DCDC3E6"/>
    <w:rsid w:val="4E1ABD90"/>
    <w:rsid w:val="4E78FDF4"/>
    <w:rsid w:val="4EC8AA16"/>
    <w:rsid w:val="4F8E5C23"/>
    <w:rsid w:val="4FFB4450"/>
    <w:rsid w:val="513935F5"/>
    <w:rsid w:val="52D50656"/>
    <w:rsid w:val="533E7042"/>
    <w:rsid w:val="53545E9B"/>
    <w:rsid w:val="53B56D04"/>
    <w:rsid w:val="53F1DE8D"/>
    <w:rsid w:val="5470D6B7"/>
    <w:rsid w:val="54FFABD6"/>
    <w:rsid w:val="573B5B69"/>
    <w:rsid w:val="57C36D73"/>
    <w:rsid w:val="5801DD05"/>
    <w:rsid w:val="5816DC6B"/>
    <w:rsid w:val="585A208A"/>
    <w:rsid w:val="5885F232"/>
    <w:rsid w:val="593C4F29"/>
    <w:rsid w:val="5A3A20A7"/>
    <w:rsid w:val="5A6029DB"/>
    <w:rsid w:val="5AC9808F"/>
    <w:rsid w:val="5AEF9C18"/>
    <w:rsid w:val="5B83BA56"/>
    <w:rsid w:val="5BD928A2"/>
    <w:rsid w:val="5C80E0CA"/>
    <w:rsid w:val="5D1AA1AF"/>
    <w:rsid w:val="5D5B39ED"/>
    <w:rsid w:val="5E49F00D"/>
    <w:rsid w:val="5E84158C"/>
    <w:rsid w:val="5EC5A583"/>
    <w:rsid w:val="5F415EB1"/>
    <w:rsid w:val="5F466D4E"/>
    <w:rsid w:val="5F930BEE"/>
    <w:rsid w:val="5FBB76E4"/>
    <w:rsid w:val="5FE03EDA"/>
    <w:rsid w:val="60191A5E"/>
    <w:rsid w:val="60EAC1B2"/>
    <w:rsid w:val="62038226"/>
    <w:rsid w:val="63F44C3D"/>
    <w:rsid w:val="641F5D63"/>
    <w:rsid w:val="64B9AA50"/>
    <w:rsid w:val="64F374E1"/>
    <w:rsid w:val="650117AD"/>
    <w:rsid w:val="6764AAD7"/>
    <w:rsid w:val="6769DCA3"/>
    <w:rsid w:val="680EBF4C"/>
    <w:rsid w:val="6893AA9F"/>
    <w:rsid w:val="68B17874"/>
    <w:rsid w:val="68BEEB3C"/>
    <w:rsid w:val="6A4E2E97"/>
    <w:rsid w:val="6B307C68"/>
    <w:rsid w:val="6C135B70"/>
    <w:rsid w:val="6C8B88C3"/>
    <w:rsid w:val="6CE816EE"/>
    <w:rsid w:val="6CEF56CC"/>
    <w:rsid w:val="6CFF8AEC"/>
    <w:rsid w:val="6E33BBDF"/>
    <w:rsid w:val="7009A6E0"/>
    <w:rsid w:val="70E007D6"/>
    <w:rsid w:val="716B5CA1"/>
    <w:rsid w:val="72110D2A"/>
    <w:rsid w:val="726C0C88"/>
    <w:rsid w:val="735293DF"/>
    <w:rsid w:val="758CFFA3"/>
    <w:rsid w:val="771B76C8"/>
    <w:rsid w:val="78AF6A6C"/>
    <w:rsid w:val="78D7ACCC"/>
    <w:rsid w:val="7A4A447E"/>
    <w:rsid w:val="7B1C889E"/>
    <w:rsid w:val="7B83B04A"/>
    <w:rsid w:val="7BFED191"/>
    <w:rsid w:val="7C84E430"/>
    <w:rsid w:val="7CA4CD9A"/>
    <w:rsid w:val="7D87911E"/>
    <w:rsid w:val="7E3AA47D"/>
    <w:rsid w:val="7F950DE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2C038"/>
  <w15:chartTrackingRefBased/>
  <w15:docId w15:val="{687FEDCC-EB0D-4537-84D0-E340CAF1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E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7EF9"/>
    <w:pPr>
      <w:ind w:left="720"/>
      <w:contextualSpacing/>
    </w:pPr>
  </w:style>
  <w:style w:type="character" w:styleId="Hipervnculo">
    <w:name w:val="Hyperlink"/>
    <w:basedOn w:val="Fuentedeprrafopredeter"/>
    <w:uiPriority w:val="99"/>
    <w:unhideWhenUsed/>
    <w:rsid w:val="006B7E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etcountdown.org/data-platform/adaptation-planning-and-resilience-for-health/2-2-climate-information-services-for-health/2-2-3-urban-green-spa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oi.org/10.20868/ciur.2022.142.4887" TargetMode="External"/><Relationship Id="rId4" Type="http://schemas.openxmlformats.org/officeDocument/2006/relationships/numbering" Target="numbering.xml"/><Relationship Id="rId9" Type="http://schemas.openxmlformats.org/officeDocument/2006/relationships/hyperlink" Target="https://www.undp.org/es/costa-rica/publications/diagnostico-multidimensional-del-corredor-biologico-interurbano-maria-aguilar-cbim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1440db-c1d7-4003-b505-07b820888a02">
      <Terms xmlns="http://schemas.microsoft.com/office/infopath/2007/PartnerControls"/>
    </lcf76f155ced4ddcb4097134ff3c332f>
    <TaxCatchAll xmlns="2035a33a-4757-4c91-b0cc-240b3659b5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CF6C85FFDFCC40AA7BE388E446CF66" ma:contentTypeVersion="14" ma:contentTypeDescription="Create a new document." ma:contentTypeScope="" ma:versionID="ff01edb13e994abbca1f40d8dd828720">
  <xsd:schema xmlns:xsd="http://www.w3.org/2001/XMLSchema" xmlns:xs="http://www.w3.org/2001/XMLSchema" xmlns:p="http://schemas.microsoft.com/office/2006/metadata/properties" xmlns:ns2="d91440db-c1d7-4003-b505-07b820888a02" xmlns:ns3="2035a33a-4757-4c91-b0cc-240b3659b590" targetNamespace="http://schemas.microsoft.com/office/2006/metadata/properties" ma:root="true" ma:fieldsID="63e4fe09b02e1a37c4848aed4d0c63d8" ns2:_="" ns3:_="">
    <xsd:import namespace="d91440db-c1d7-4003-b505-07b820888a02"/>
    <xsd:import namespace="2035a33a-4757-4c91-b0cc-240b3659b5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440db-c1d7-4003-b505-07b820888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6f29e5-583e-4ec3-9caa-eb674acb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35a33a-4757-4c91-b0cc-240b3659b59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3f62b21-1735-42d7-814c-0bf2dd2d4600}" ma:internalName="TaxCatchAll" ma:showField="CatchAllData" ma:web="2035a33a-4757-4c91-b0cc-240b3659b5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B23E4-1DBE-4CEA-88A3-D3136A3DA049}">
  <ds:schemaRefs>
    <ds:schemaRef ds:uri="http://schemas.microsoft.com/sharepoint/v3/contenttype/forms"/>
  </ds:schemaRefs>
</ds:datastoreItem>
</file>

<file path=customXml/itemProps2.xml><?xml version="1.0" encoding="utf-8"?>
<ds:datastoreItem xmlns:ds="http://schemas.openxmlformats.org/officeDocument/2006/customXml" ds:itemID="{B6F5A25D-89B7-4738-A9E6-8F03924F3291}">
  <ds:schemaRefs>
    <ds:schemaRef ds:uri="http://schemas.microsoft.com/office/2006/metadata/properties"/>
    <ds:schemaRef ds:uri="http://schemas.microsoft.com/office/infopath/2007/PartnerControls"/>
    <ds:schemaRef ds:uri="d91440db-c1d7-4003-b505-07b820888a02"/>
    <ds:schemaRef ds:uri="2035a33a-4757-4c91-b0cc-240b3659b590"/>
  </ds:schemaRefs>
</ds:datastoreItem>
</file>

<file path=customXml/itemProps3.xml><?xml version="1.0" encoding="utf-8"?>
<ds:datastoreItem xmlns:ds="http://schemas.openxmlformats.org/officeDocument/2006/customXml" ds:itemID="{BC353B91-3199-4B19-B5FA-5E0BAE35D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440db-c1d7-4003-b505-07b820888a02"/>
    <ds:schemaRef ds:uri="2035a33a-4757-4c91-b0cc-240b3659b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2292</Words>
  <Characters>13067</Characters>
  <Application>Microsoft Office Word</Application>
  <DocSecurity>0</DocSecurity>
  <Lines>108</Lines>
  <Paragraphs>30</Paragraphs>
  <ScaleCrop>false</ScaleCrop>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Jose Ballestero Jimenez</dc:creator>
  <cp:keywords/>
  <dc:description/>
  <cp:lastModifiedBy>Sergio Molina</cp:lastModifiedBy>
  <cp:revision>14</cp:revision>
  <dcterms:created xsi:type="dcterms:W3CDTF">2022-11-03T16:56:00Z</dcterms:created>
  <dcterms:modified xsi:type="dcterms:W3CDTF">2023-01-30T17:38:00Z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0x01010015CF6C85FFDFCC40AA7BE388E446CF66</vt:lpwstr>
  </property>
  <property fmtid="{D5CDD505-2E9C-101B-9397-08002B2CF9AE}" pid="3" name="MediaServiceImageTags">
    <vt:lpwstr/>
  </property>
</Properties>
</file>