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BE07" w14:textId="75D7382D" w:rsidR="00372DFE" w:rsidRPr="00F47DFE" w:rsidRDefault="44F133B2" w:rsidP="20340972">
      <w:pPr>
        <w:pStyle w:val="Ttulo"/>
        <w:jc w:val="center"/>
        <w:rPr>
          <w:rFonts w:asciiTheme="minorHAnsi" w:eastAsia="Calibri" w:hAnsiTheme="minorHAnsi" w:cstheme="minorHAnsi"/>
          <w:b/>
          <w:bCs/>
          <w:color w:val="385623" w:themeColor="accent6" w:themeShade="80"/>
          <w:sz w:val="22"/>
          <w:szCs w:val="22"/>
        </w:rPr>
      </w:pPr>
      <w:r w:rsidRPr="00F47DFE">
        <w:rPr>
          <w:rFonts w:asciiTheme="minorHAnsi" w:eastAsia="Calibri" w:hAnsiTheme="minorHAnsi" w:cstheme="minorHAnsi"/>
          <w:b/>
          <w:bCs/>
          <w:sz w:val="22"/>
          <w:szCs w:val="22"/>
        </w:rPr>
        <w:t xml:space="preserve">Economía verde y urbana: </w:t>
      </w:r>
      <w:r w:rsidR="0EB92591" w:rsidRPr="00F47DFE">
        <w:rPr>
          <w:rFonts w:asciiTheme="minorHAnsi" w:eastAsia="Calibri" w:hAnsiTheme="minorHAnsi" w:cstheme="minorHAnsi"/>
          <w:b/>
          <w:bCs/>
          <w:sz w:val="22"/>
          <w:szCs w:val="22"/>
        </w:rPr>
        <w:t xml:space="preserve">importancia, avances, oportunidades y retos </w:t>
      </w:r>
      <w:r w:rsidRPr="00F47DFE">
        <w:rPr>
          <w:rFonts w:asciiTheme="minorHAnsi" w:eastAsia="Calibri" w:hAnsiTheme="minorHAnsi" w:cstheme="minorHAnsi"/>
          <w:b/>
          <w:bCs/>
          <w:sz w:val="22"/>
          <w:szCs w:val="22"/>
        </w:rPr>
        <w:t>para Costa Rica</w:t>
      </w:r>
    </w:p>
    <w:p w14:paraId="3CCC4D7B" w14:textId="4ED1A54E" w:rsidR="4D0D7B9E" w:rsidRPr="00F47DFE" w:rsidRDefault="4D0D7B9E" w:rsidP="4D0D7B9E">
      <w:pPr>
        <w:rPr>
          <w:rFonts w:cstheme="minorHAnsi"/>
        </w:rPr>
      </w:pPr>
    </w:p>
    <w:p w14:paraId="551A90C3" w14:textId="77777777" w:rsidR="00050A8D" w:rsidRPr="00F47DFE" w:rsidRDefault="06853452" w:rsidP="4D0D7B9E">
      <w:pPr>
        <w:spacing w:after="0"/>
        <w:jc w:val="right"/>
        <w:rPr>
          <w:rFonts w:eastAsia="Calibri" w:cstheme="minorHAnsi"/>
          <w:b/>
          <w:bCs/>
        </w:rPr>
      </w:pPr>
      <w:r w:rsidRPr="00F47DFE">
        <w:rPr>
          <w:rFonts w:eastAsia="Calibri" w:cstheme="minorHAnsi"/>
          <w:b/>
          <w:bCs/>
        </w:rPr>
        <w:t>Fernando Rodríguez</w:t>
      </w:r>
      <w:r w:rsidR="00050A8D" w:rsidRPr="00F47DFE">
        <w:rPr>
          <w:rFonts w:eastAsia="Calibri" w:cstheme="minorHAnsi"/>
          <w:b/>
          <w:bCs/>
        </w:rPr>
        <w:t xml:space="preserve"> Garro</w:t>
      </w:r>
    </w:p>
    <w:p w14:paraId="609CD8FF" w14:textId="65995BB4" w:rsidR="0085366E" w:rsidRPr="00F47DFE" w:rsidRDefault="001947FF" w:rsidP="001947FF">
      <w:pPr>
        <w:pStyle w:val="Default"/>
        <w:jc w:val="right"/>
        <w:rPr>
          <w:rFonts w:asciiTheme="minorHAnsi" w:hAnsiTheme="minorHAnsi" w:cstheme="minorHAnsi"/>
          <w:color w:val="0000FF"/>
          <w:sz w:val="22"/>
          <w:szCs w:val="22"/>
          <w:lang w:val="es-CR"/>
        </w:rPr>
      </w:pPr>
      <w:r w:rsidRPr="00F47DFE">
        <w:rPr>
          <w:rFonts w:asciiTheme="minorHAnsi" w:eastAsia="Calibri" w:hAnsiTheme="minorHAnsi" w:cstheme="minorHAnsi"/>
          <w:b/>
          <w:bCs/>
          <w:sz w:val="22"/>
          <w:szCs w:val="22"/>
          <w:lang w:val="es-CR"/>
        </w:rPr>
        <w:t>Organización de Estudios Tropicales (</w:t>
      </w:r>
      <w:hyperlink r:id="rId10" w:history="1">
        <w:r w:rsidRPr="00F47DFE">
          <w:rPr>
            <w:rStyle w:val="Hipervnculo"/>
            <w:rFonts w:asciiTheme="minorHAnsi" w:hAnsiTheme="minorHAnsi" w:cstheme="minorHAnsi"/>
            <w:sz w:val="22"/>
            <w:szCs w:val="22"/>
            <w:lang w:val="es-CR"/>
          </w:rPr>
          <w:t>fernando.rodriguez@tropicalstudies.org</w:t>
        </w:r>
      </w:hyperlink>
      <w:r w:rsidRPr="00F47DFE">
        <w:rPr>
          <w:rFonts w:asciiTheme="minorHAnsi" w:eastAsia="Calibri" w:hAnsiTheme="minorHAnsi" w:cstheme="minorHAnsi"/>
          <w:b/>
          <w:bCs/>
          <w:sz w:val="22"/>
          <w:szCs w:val="22"/>
          <w:lang w:val="es-CR"/>
        </w:rPr>
        <w:t>)</w:t>
      </w:r>
      <w:r w:rsidR="0CE8AD0D" w:rsidRPr="00F47DFE">
        <w:rPr>
          <w:rFonts w:asciiTheme="minorHAnsi" w:eastAsia="Calibri" w:hAnsiTheme="minorHAnsi" w:cstheme="minorHAnsi"/>
          <w:b/>
          <w:bCs/>
          <w:color w:val="auto"/>
          <w:sz w:val="22"/>
          <w:szCs w:val="22"/>
          <w:lang w:val="es-CR"/>
        </w:rPr>
        <w:t xml:space="preserve"> </w:t>
      </w:r>
    </w:p>
    <w:p w14:paraId="4B617838" w14:textId="77777777" w:rsidR="00E11BCE" w:rsidRPr="00F47DFE" w:rsidRDefault="00E11BCE" w:rsidP="20340972">
      <w:pPr>
        <w:spacing w:after="0"/>
        <w:jc w:val="right"/>
        <w:rPr>
          <w:rFonts w:eastAsia="Calibri" w:cstheme="minorHAnsi"/>
          <w:b/>
          <w:bCs/>
        </w:rPr>
      </w:pPr>
    </w:p>
    <w:p w14:paraId="4FED7A65" w14:textId="43621442" w:rsidR="001947FF" w:rsidRPr="00F47DFE" w:rsidRDefault="06853452" w:rsidP="4D0D7B9E">
      <w:pPr>
        <w:spacing w:after="0"/>
        <w:jc w:val="right"/>
        <w:rPr>
          <w:rFonts w:eastAsia="Calibri" w:cstheme="minorHAnsi"/>
          <w:b/>
          <w:bCs/>
        </w:rPr>
      </w:pPr>
      <w:r w:rsidRPr="00F47DFE">
        <w:rPr>
          <w:rFonts w:eastAsia="Calibri" w:cstheme="minorHAnsi"/>
          <w:b/>
          <w:bCs/>
        </w:rPr>
        <w:t>Juan Daniel Acuña</w:t>
      </w:r>
      <w:r w:rsidR="00F47DFE" w:rsidRPr="00F47DFE">
        <w:rPr>
          <w:rFonts w:eastAsia="Calibri" w:cstheme="minorHAnsi"/>
          <w:b/>
          <w:bCs/>
        </w:rPr>
        <w:t xml:space="preserve"> Román</w:t>
      </w:r>
      <w:r w:rsidR="7A44AEC6" w:rsidRPr="00F47DFE">
        <w:rPr>
          <w:rFonts w:eastAsia="Calibri" w:cstheme="minorHAnsi"/>
          <w:b/>
          <w:bCs/>
        </w:rPr>
        <w:t xml:space="preserve"> </w:t>
      </w:r>
    </w:p>
    <w:p w14:paraId="72E7E96F" w14:textId="5C7FD69A" w:rsidR="4D0D7B9E" w:rsidRPr="00F47DFE" w:rsidRDefault="001947FF" w:rsidP="00F47DFE">
      <w:pPr>
        <w:pStyle w:val="Default"/>
        <w:jc w:val="right"/>
        <w:rPr>
          <w:rFonts w:asciiTheme="minorHAnsi" w:hAnsiTheme="minorHAnsi" w:cstheme="minorHAnsi"/>
          <w:color w:val="0000FF"/>
          <w:sz w:val="22"/>
          <w:szCs w:val="22"/>
          <w:lang w:val="es-CR"/>
        </w:rPr>
      </w:pPr>
      <w:r w:rsidRPr="00F47DFE">
        <w:rPr>
          <w:rFonts w:asciiTheme="minorHAnsi" w:eastAsia="Calibri" w:hAnsiTheme="minorHAnsi" w:cstheme="minorHAnsi"/>
          <w:b/>
          <w:bCs/>
          <w:sz w:val="22"/>
          <w:szCs w:val="22"/>
          <w:lang w:val="es-CR"/>
        </w:rPr>
        <w:t>Organización de Estudios Tropicales</w:t>
      </w:r>
      <w:r w:rsidRPr="00F47DFE">
        <w:rPr>
          <w:rFonts w:asciiTheme="minorHAnsi" w:eastAsia="Calibri" w:hAnsiTheme="minorHAnsi" w:cstheme="minorHAnsi"/>
          <w:b/>
          <w:bCs/>
          <w:sz w:val="22"/>
          <w:szCs w:val="22"/>
          <w:lang w:val="es-CR"/>
        </w:rPr>
        <w:t xml:space="preserve"> </w:t>
      </w:r>
      <w:r w:rsidR="3C248EDF" w:rsidRPr="00F47DFE">
        <w:rPr>
          <w:rFonts w:asciiTheme="minorHAnsi" w:eastAsia="Calibri" w:hAnsiTheme="minorHAnsi" w:cstheme="minorHAnsi"/>
          <w:color w:val="auto"/>
          <w:sz w:val="22"/>
          <w:szCs w:val="22"/>
          <w:lang w:val="es-CR"/>
        </w:rPr>
        <w:t>(</w:t>
      </w:r>
      <w:hyperlink r:id="rId11" w:history="1">
        <w:r w:rsidR="00F47DFE" w:rsidRPr="00F47DFE">
          <w:rPr>
            <w:rStyle w:val="Hipervnculo"/>
            <w:rFonts w:asciiTheme="minorHAnsi" w:hAnsiTheme="minorHAnsi" w:cstheme="minorHAnsi"/>
            <w:sz w:val="22"/>
            <w:szCs w:val="22"/>
            <w:lang w:val="es-CR"/>
          </w:rPr>
          <w:t>juan.acuna@tropicalstudies.org</w:t>
        </w:r>
      </w:hyperlink>
      <w:r w:rsidR="3C248EDF" w:rsidRPr="00F47DFE">
        <w:rPr>
          <w:rFonts w:asciiTheme="minorHAnsi" w:eastAsia="Calibri" w:hAnsiTheme="minorHAnsi" w:cstheme="minorHAnsi"/>
          <w:color w:val="auto"/>
          <w:sz w:val="22"/>
          <w:szCs w:val="22"/>
          <w:lang w:val="es-CR"/>
        </w:rPr>
        <w:t>)</w:t>
      </w:r>
    </w:p>
    <w:p w14:paraId="2B723064" w14:textId="77777777" w:rsidR="00E11BCE" w:rsidRPr="00F47DFE" w:rsidRDefault="00E11BCE" w:rsidP="00E11BCE">
      <w:pPr>
        <w:spacing w:after="0"/>
        <w:jc w:val="right"/>
        <w:rPr>
          <w:rFonts w:eastAsia="Calibri" w:cstheme="minorHAnsi"/>
        </w:rPr>
      </w:pPr>
    </w:p>
    <w:p w14:paraId="14B19D42" w14:textId="3788973D" w:rsidR="00550F9C" w:rsidRPr="00E11BCE" w:rsidRDefault="232BFFCF" w:rsidP="4D0D7B9E">
      <w:pPr>
        <w:pStyle w:val="Subttulo"/>
        <w:spacing w:after="0"/>
        <w:jc w:val="both"/>
        <w:rPr>
          <w:rFonts w:eastAsia="Calibri" w:cstheme="minorHAnsi"/>
          <w:color w:val="auto"/>
          <w:spacing w:val="0"/>
        </w:rPr>
      </w:pPr>
      <w:r w:rsidRPr="00F47DFE">
        <w:rPr>
          <w:rFonts w:eastAsia="Calibri" w:cstheme="minorHAnsi"/>
          <w:b/>
          <w:bCs/>
          <w:color w:val="auto"/>
          <w:spacing w:val="0"/>
          <w:sz w:val="28"/>
          <w:szCs w:val="28"/>
        </w:rPr>
        <w:t>L</w:t>
      </w:r>
      <w:r w:rsidRPr="00F47DFE">
        <w:rPr>
          <w:rFonts w:eastAsia="Calibri" w:cstheme="minorHAnsi"/>
          <w:color w:val="auto"/>
          <w:spacing w:val="0"/>
        </w:rPr>
        <w:t>a economía global se ha beneficiado enormemente de la industrialización y el</w:t>
      </w:r>
      <w:r w:rsidR="266E3AC5" w:rsidRPr="00F47DFE">
        <w:rPr>
          <w:rFonts w:eastAsia="Calibri" w:cstheme="minorHAnsi"/>
          <w:color w:val="auto"/>
          <w:spacing w:val="0"/>
        </w:rPr>
        <w:t xml:space="preserve"> aumento de la capacidad de consumo de</w:t>
      </w:r>
      <w:r w:rsidR="266E3AC5" w:rsidRPr="00E11BCE">
        <w:rPr>
          <w:rFonts w:eastAsia="Calibri" w:cstheme="minorHAnsi"/>
          <w:color w:val="auto"/>
          <w:spacing w:val="0"/>
        </w:rPr>
        <w:t xml:space="preserve"> la población planetaria, que ha permitido incrementar la producción en relación</w:t>
      </w:r>
      <w:r w:rsidR="6F4F7F44" w:rsidRPr="00E11BCE">
        <w:rPr>
          <w:rFonts w:eastAsia="Calibri" w:cstheme="minorHAnsi"/>
          <w:color w:val="auto"/>
          <w:spacing w:val="0"/>
        </w:rPr>
        <w:t xml:space="preserve"> con</w:t>
      </w:r>
      <w:r w:rsidR="266E3AC5" w:rsidRPr="00E11BCE">
        <w:rPr>
          <w:rFonts w:eastAsia="Calibri" w:cstheme="minorHAnsi"/>
          <w:color w:val="auto"/>
          <w:spacing w:val="0"/>
        </w:rPr>
        <w:t xml:space="preserve"> la primera mitad del siglo pasado</w:t>
      </w:r>
      <w:r w:rsidRPr="00E11BCE">
        <w:rPr>
          <w:rFonts w:eastAsia="Calibri" w:cstheme="minorHAnsi"/>
          <w:color w:val="auto"/>
          <w:spacing w:val="0"/>
        </w:rPr>
        <w:t xml:space="preserve">. </w:t>
      </w:r>
      <w:r w:rsidR="00F47DFE" w:rsidRPr="00E11BCE">
        <w:rPr>
          <w:rFonts w:eastAsia="Calibri" w:cstheme="minorHAnsi"/>
          <w:color w:val="auto"/>
          <w:spacing w:val="0"/>
        </w:rPr>
        <w:t>Nunca</w:t>
      </w:r>
      <w:r w:rsidRPr="00E11BCE">
        <w:rPr>
          <w:rFonts w:eastAsia="Calibri" w:cstheme="minorHAnsi"/>
          <w:color w:val="auto"/>
          <w:spacing w:val="0"/>
        </w:rPr>
        <w:t xml:space="preserve"> en la historia se ha experimentado una creación y acumulación de riqueza como la que evidenciamos </w:t>
      </w:r>
      <w:r w:rsidR="00FD4BF6">
        <w:rPr>
          <w:rFonts w:eastAsia="Calibri" w:cstheme="minorHAnsi"/>
          <w:color w:val="auto"/>
          <w:spacing w:val="0"/>
        </w:rPr>
        <w:t>en la actualidad</w:t>
      </w:r>
      <w:r w:rsidRPr="00E11BCE">
        <w:rPr>
          <w:rFonts w:eastAsia="Calibri" w:cstheme="minorHAnsi"/>
          <w:color w:val="auto"/>
          <w:spacing w:val="0"/>
        </w:rPr>
        <w:t xml:space="preserve">. </w:t>
      </w:r>
      <w:r w:rsidR="00A720CE">
        <w:rPr>
          <w:rFonts w:eastAsia="Calibri" w:cstheme="minorHAnsi"/>
          <w:color w:val="auto"/>
          <w:spacing w:val="0"/>
        </w:rPr>
        <w:t xml:space="preserve">A </w:t>
      </w:r>
      <w:r w:rsidRPr="00E11BCE">
        <w:rPr>
          <w:rFonts w:eastAsia="Calibri" w:cstheme="minorHAnsi"/>
          <w:color w:val="auto"/>
          <w:spacing w:val="0"/>
        </w:rPr>
        <w:t xml:space="preserve">esta generación y acumulación de riqueza </w:t>
      </w:r>
      <w:r w:rsidR="00A720CE">
        <w:rPr>
          <w:rFonts w:eastAsia="Calibri" w:cstheme="minorHAnsi"/>
          <w:color w:val="auto"/>
          <w:spacing w:val="0"/>
        </w:rPr>
        <w:t xml:space="preserve">le hemos llamado </w:t>
      </w:r>
      <w:r w:rsidR="35C5327A" w:rsidRPr="00E11BCE">
        <w:rPr>
          <w:rFonts w:eastAsia="Calibri" w:cstheme="minorHAnsi"/>
          <w:color w:val="auto"/>
          <w:spacing w:val="0"/>
        </w:rPr>
        <w:t xml:space="preserve">desarrollo </w:t>
      </w:r>
      <w:r w:rsidRPr="00E11BCE">
        <w:rPr>
          <w:rFonts w:eastAsia="Calibri" w:cstheme="minorHAnsi"/>
          <w:color w:val="auto"/>
          <w:spacing w:val="0"/>
        </w:rPr>
        <w:t>económico, y erradamente se le ha atribuido la</w:t>
      </w:r>
      <w:r w:rsidR="00932ED4">
        <w:rPr>
          <w:rFonts w:eastAsia="Calibri" w:cstheme="minorHAnsi"/>
          <w:color w:val="auto"/>
          <w:spacing w:val="0"/>
        </w:rPr>
        <w:t>s</w:t>
      </w:r>
      <w:r w:rsidRPr="00E11BCE">
        <w:rPr>
          <w:rFonts w:eastAsia="Calibri" w:cstheme="minorHAnsi"/>
          <w:color w:val="auto"/>
          <w:spacing w:val="0"/>
        </w:rPr>
        <w:t xml:space="preserve"> cualidad</w:t>
      </w:r>
      <w:r w:rsidR="00932ED4">
        <w:rPr>
          <w:rFonts w:eastAsia="Calibri" w:cstheme="minorHAnsi"/>
          <w:color w:val="auto"/>
          <w:spacing w:val="0"/>
        </w:rPr>
        <w:t>es</w:t>
      </w:r>
      <w:r w:rsidRPr="00E11BCE">
        <w:rPr>
          <w:rFonts w:eastAsia="Calibri" w:cstheme="minorHAnsi"/>
          <w:color w:val="auto"/>
          <w:spacing w:val="0"/>
        </w:rPr>
        <w:t xml:space="preserve"> de progreso, felicidad y bienestar</w:t>
      </w:r>
      <w:r w:rsidR="35C5327A" w:rsidRPr="00E11BCE">
        <w:rPr>
          <w:rFonts w:eastAsia="Calibri" w:cstheme="minorHAnsi"/>
          <w:color w:val="auto"/>
          <w:spacing w:val="0"/>
        </w:rPr>
        <w:t xml:space="preserve"> material general</w:t>
      </w:r>
      <w:r w:rsidRPr="00E11BCE">
        <w:rPr>
          <w:rFonts w:eastAsia="Calibri" w:cstheme="minorHAnsi"/>
          <w:color w:val="auto"/>
          <w:spacing w:val="0"/>
        </w:rPr>
        <w:t xml:space="preserve">. </w:t>
      </w:r>
    </w:p>
    <w:p w14:paraId="7CEAB8E0" w14:textId="513B1DE1" w:rsidR="00550F9C" w:rsidRDefault="232BFFCF" w:rsidP="4D0D7B9E">
      <w:pPr>
        <w:spacing w:after="0"/>
        <w:ind w:firstLine="708"/>
        <w:jc w:val="both"/>
      </w:pPr>
      <w:r w:rsidRPr="00E11BCE">
        <w:rPr>
          <w:rFonts w:eastAsia="Calibri" w:cstheme="minorHAnsi"/>
        </w:rPr>
        <w:t xml:space="preserve">Estas equívocas cualidades del </w:t>
      </w:r>
      <w:r w:rsidR="35C5327A" w:rsidRPr="00E11BCE">
        <w:rPr>
          <w:rFonts w:eastAsia="Calibri" w:cstheme="minorHAnsi"/>
        </w:rPr>
        <w:t xml:space="preserve">desarrollo </w:t>
      </w:r>
      <w:r w:rsidRPr="00E11BCE">
        <w:rPr>
          <w:rFonts w:eastAsia="Calibri" w:cstheme="minorHAnsi"/>
        </w:rPr>
        <w:t>económico</w:t>
      </w:r>
      <w:r w:rsidR="35C5327A" w:rsidRPr="00E11BCE">
        <w:rPr>
          <w:rFonts w:eastAsia="Calibri" w:cstheme="minorHAnsi"/>
        </w:rPr>
        <w:t>, centrado en el aumento ilimitado de la producción,</w:t>
      </w:r>
      <w:r w:rsidRPr="00E11BCE">
        <w:rPr>
          <w:rFonts w:eastAsia="Calibri" w:cstheme="minorHAnsi"/>
        </w:rPr>
        <w:t xml:space="preserve"> han llevado a las economías a una constante búsqueda </w:t>
      </w:r>
      <w:r w:rsidR="6F4F7F44" w:rsidRPr="00E11BCE">
        <w:rPr>
          <w:rFonts w:eastAsia="Calibri" w:cstheme="minorHAnsi"/>
        </w:rPr>
        <w:t xml:space="preserve">de </w:t>
      </w:r>
      <w:r w:rsidRPr="00E11BCE">
        <w:rPr>
          <w:rFonts w:eastAsia="Calibri" w:cstheme="minorHAnsi"/>
        </w:rPr>
        <w:t>mayor crecimiento</w:t>
      </w:r>
      <w:r w:rsidRPr="00E11BCE">
        <w:rPr>
          <w:rFonts w:cstheme="minorHAnsi"/>
        </w:rPr>
        <w:t xml:space="preserve"> económico</w:t>
      </w:r>
      <w:r w:rsidR="00932ED4">
        <w:rPr>
          <w:rFonts w:cstheme="minorHAnsi"/>
        </w:rPr>
        <w:t>;</w:t>
      </w:r>
      <w:r w:rsidRPr="00E11BCE">
        <w:rPr>
          <w:rFonts w:cstheme="minorHAnsi"/>
        </w:rPr>
        <w:t xml:space="preserve"> sin embargo, su consecución se ha visto acompañada de una degradación de</w:t>
      </w:r>
      <w:r w:rsidR="35C5327A" w:rsidRPr="00E11BCE">
        <w:rPr>
          <w:rFonts w:cstheme="minorHAnsi"/>
        </w:rPr>
        <w:t>l ambiente</w:t>
      </w:r>
      <w:r w:rsidRPr="00E11BCE">
        <w:rPr>
          <w:rFonts w:cstheme="minorHAnsi"/>
        </w:rPr>
        <w:t>,</w:t>
      </w:r>
      <w:r>
        <w:t xml:space="preserve"> </w:t>
      </w:r>
      <w:r w:rsidR="35C5327A">
        <w:t xml:space="preserve">el </w:t>
      </w:r>
      <w:r>
        <w:t xml:space="preserve">bienestar y </w:t>
      </w:r>
      <w:r w:rsidR="35C5327A">
        <w:t xml:space="preserve">la </w:t>
      </w:r>
      <w:r>
        <w:t>calidad de vida. Esto no es una argumentación en detrimento del crecimiento económico, en d</w:t>
      </w:r>
      <w:r w:rsidR="532F4051">
        <w:t>o</w:t>
      </w:r>
      <w:r>
        <w:t>nde</w:t>
      </w:r>
      <w:r w:rsidR="5A7A6206">
        <w:t xml:space="preserve"> éste</w:t>
      </w:r>
      <w:r>
        <w:t xml:space="preserve"> </w:t>
      </w:r>
      <w:r w:rsidR="06853452">
        <w:t>sea</w:t>
      </w:r>
      <w:r>
        <w:t xml:space="preserve"> una carga o mal para la sociedad. Si no que, </w:t>
      </w:r>
      <w:r w:rsidRPr="20340972">
        <w:rPr>
          <w:i/>
          <w:iCs/>
        </w:rPr>
        <w:t xml:space="preserve">el </w:t>
      </w:r>
      <w:r w:rsidR="35C5327A" w:rsidRPr="20340972">
        <w:rPr>
          <w:i/>
          <w:iCs/>
        </w:rPr>
        <w:t>desarrollo</w:t>
      </w:r>
      <w:r w:rsidRPr="20340972">
        <w:rPr>
          <w:i/>
          <w:iCs/>
        </w:rPr>
        <w:t xml:space="preserve"> económico es más complejo de lo que se planteó décadas atrás</w:t>
      </w:r>
      <w:r>
        <w:t>.</w:t>
      </w:r>
    </w:p>
    <w:p w14:paraId="05CFEC87" w14:textId="375D9090" w:rsidR="00550F9C" w:rsidRDefault="00550F9C" w:rsidP="4D0D7B9E">
      <w:pPr>
        <w:spacing w:after="0"/>
        <w:ind w:firstLine="708"/>
        <w:jc w:val="both"/>
      </w:pPr>
      <w:r>
        <w:t>Nuestra</w:t>
      </w:r>
      <w:r w:rsidR="003C43A9">
        <w:t>s</w:t>
      </w:r>
      <w:r>
        <w:t xml:space="preserve"> economía</w:t>
      </w:r>
      <w:r w:rsidR="003C43A9">
        <w:t>s</w:t>
      </w:r>
      <w:r>
        <w:t xml:space="preserve"> </w:t>
      </w:r>
      <w:r w:rsidR="00E3120F">
        <w:t>han basado su crecimiento en el uso</w:t>
      </w:r>
      <w:r w:rsidR="003C43A9">
        <w:t xml:space="preserve"> </w:t>
      </w:r>
      <w:r>
        <w:t>intensiv</w:t>
      </w:r>
      <w:r w:rsidR="00E3120F">
        <w:t>o</w:t>
      </w:r>
      <w:r>
        <w:t xml:space="preserve"> </w:t>
      </w:r>
      <w:r w:rsidR="00E3120F">
        <w:t xml:space="preserve">del </w:t>
      </w:r>
      <w:r w:rsidR="003C43A9">
        <w:t xml:space="preserve">capital (humano, </w:t>
      </w:r>
      <w:r w:rsidR="00EA2E13">
        <w:t>físico</w:t>
      </w:r>
      <w:r w:rsidR="003C43A9">
        <w:t xml:space="preserve"> y natural)</w:t>
      </w:r>
      <w:r w:rsidR="56AB3720">
        <w:t xml:space="preserve">, </w:t>
      </w:r>
      <w:r w:rsidR="00AD2929">
        <w:t xml:space="preserve">el </w:t>
      </w:r>
      <w:r w:rsidR="718E2910">
        <w:t>cual</w:t>
      </w:r>
      <w:r w:rsidR="00AD2929">
        <w:t xml:space="preserve"> se ha visto</w:t>
      </w:r>
      <w:r w:rsidR="00E3120F">
        <w:t xml:space="preserve"> </w:t>
      </w:r>
      <w:r w:rsidR="00AD2929">
        <w:t xml:space="preserve">limitado </w:t>
      </w:r>
      <w:r w:rsidR="00E3120F">
        <w:t>por las tasas de extracción</w:t>
      </w:r>
      <w:r w:rsidR="00BA31E0">
        <w:t xml:space="preserve"> y de reproducción</w:t>
      </w:r>
      <w:r w:rsidR="00E3120F">
        <w:t>, así como</w:t>
      </w:r>
      <w:r w:rsidR="6B6ABEA9">
        <w:t xml:space="preserve"> por</w:t>
      </w:r>
      <w:r w:rsidR="00E3120F">
        <w:t xml:space="preserve"> los </w:t>
      </w:r>
      <w:r w:rsidR="003C43A9">
        <w:t xml:space="preserve">acervos </w:t>
      </w:r>
      <w:r w:rsidR="00E3120F">
        <w:t xml:space="preserve">existentes </w:t>
      </w:r>
      <w:r w:rsidR="003C43A9">
        <w:t>de estos capitales.</w:t>
      </w:r>
      <w:r w:rsidR="4095FAD6">
        <w:t xml:space="preserve"> </w:t>
      </w:r>
      <w:r w:rsidR="00AD2929">
        <w:t>Estas</w:t>
      </w:r>
      <w:r w:rsidR="00E3120F">
        <w:t xml:space="preserve"> limitaciones de crecimiento han </w:t>
      </w:r>
      <w:r w:rsidR="00AD2929">
        <w:t>orientado</w:t>
      </w:r>
      <w:r w:rsidR="00E3120F">
        <w:t xml:space="preserve"> la innovación y</w:t>
      </w:r>
      <w:r w:rsidR="00AD2929">
        <w:t xml:space="preserve"> el</w:t>
      </w:r>
      <w:r w:rsidR="00E3120F">
        <w:t xml:space="preserve"> desarrollo de los países </w:t>
      </w:r>
      <w:r w:rsidR="00AD2929">
        <w:t>hacia</w:t>
      </w:r>
      <w:r w:rsidR="00E3120F">
        <w:t xml:space="preserve"> mecanismos más intensivos para la extracción y la búsqueda de nuevos acervos de capital (existentes o sustitutos).</w:t>
      </w:r>
      <w:r w:rsidR="00F90B88">
        <w:t xml:space="preserve"> </w:t>
      </w:r>
      <w:r w:rsidR="00E3120F">
        <w:t>Dicha innovación y desarrollo ha</w:t>
      </w:r>
      <w:r w:rsidR="005F3C82">
        <w:t xml:space="preserve"> —</w:t>
      </w:r>
      <w:r w:rsidR="00E3120F">
        <w:t>en su mayoría</w:t>
      </w:r>
      <w:r w:rsidR="005F3C82">
        <w:t>—</w:t>
      </w:r>
      <w:r w:rsidR="00E3120F">
        <w:t xml:space="preserve"> </w:t>
      </w:r>
      <w:r w:rsidR="003C43A9">
        <w:t>implicado un uso del capital natural que no contempla las necesidades inter temporales de la socieda</w:t>
      </w:r>
      <w:r w:rsidR="00E3120F">
        <w:t>d, la capacidad</w:t>
      </w:r>
      <w:r w:rsidR="00BA31E0">
        <w:t xml:space="preserve"> de reproducción</w:t>
      </w:r>
      <w:r w:rsidR="00E3120F">
        <w:t xml:space="preserve"> del capital natural</w:t>
      </w:r>
      <w:r w:rsidR="00BA31E0">
        <w:t>,</w:t>
      </w:r>
      <w:r w:rsidR="008D3560">
        <w:t xml:space="preserve"> ni el impacto de la degradación ambiental sobre la oferta y demanda agregada</w:t>
      </w:r>
      <w:r w:rsidR="003C43A9">
        <w:t xml:space="preserve">. </w:t>
      </w:r>
    </w:p>
    <w:p w14:paraId="2E2D6E9C" w14:textId="5FA4F620" w:rsidR="007D5204" w:rsidRDefault="00F90B88" w:rsidP="4D0D7B9E">
      <w:pPr>
        <w:spacing w:after="0"/>
        <w:ind w:firstLine="708"/>
        <w:jc w:val="both"/>
      </w:pPr>
      <w:r>
        <w:t>En los últimos cuarenta años se han creado diversas metodologías para reflejar de una manera más integral y realista el desarrollo. Amartya Sen, premio Nobel en economía, impulsó en la década de 1980 la teoría del desarrollo sostenible</w:t>
      </w:r>
      <w:r w:rsidR="009D4595">
        <w:t xml:space="preserve"> y</w:t>
      </w:r>
      <w:r w:rsidR="00753C89">
        <w:t>,</w:t>
      </w:r>
      <w:r w:rsidR="009D4595">
        <w:t xml:space="preserve"> desde entonces</w:t>
      </w:r>
      <w:r w:rsidR="00753C89">
        <w:t>,</w:t>
      </w:r>
      <w:r w:rsidR="009D4595">
        <w:t xml:space="preserve"> divers</w:t>
      </w:r>
      <w:r w:rsidR="001F1C89">
        <w:t>a</w:t>
      </w:r>
      <w:r w:rsidR="009D4595">
        <w:t xml:space="preserve">s </w:t>
      </w:r>
      <w:r w:rsidR="001F1C89">
        <w:t xml:space="preserve">personas expertas en </w:t>
      </w:r>
      <w:r w:rsidR="009D4595">
        <w:t>econom</w:t>
      </w:r>
      <w:r w:rsidR="001F1C89">
        <w:t>ía</w:t>
      </w:r>
      <w:r w:rsidR="009D4595">
        <w:t xml:space="preserve">, </w:t>
      </w:r>
      <w:r w:rsidR="001F1C89">
        <w:t>política</w:t>
      </w:r>
      <w:r w:rsidR="009D4595">
        <w:t xml:space="preserve">, </w:t>
      </w:r>
      <w:r w:rsidR="001F1C89">
        <w:t>filosofía</w:t>
      </w:r>
      <w:r w:rsidR="009D4595">
        <w:t>, entre otr</w:t>
      </w:r>
      <w:r w:rsidR="001F1C89">
        <w:t>as ciencias</w:t>
      </w:r>
      <w:r w:rsidR="009D4595">
        <w:t>, han profundizado en el tema del desarrollo sostenible</w:t>
      </w:r>
      <w:r w:rsidR="00E53F4B">
        <w:t>, defin</w:t>
      </w:r>
      <w:r w:rsidR="00CF2893">
        <w:t>ido</w:t>
      </w:r>
      <w:r w:rsidR="00E53F4B">
        <w:t xml:space="preserve"> </w:t>
      </w:r>
      <w:r w:rsidR="00CF2893">
        <w:t xml:space="preserve">en su momento como </w:t>
      </w:r>
      <w:r w:rsidR="00AC12C8">
        <w:t>aqu</w:t>
      </w:r>
      <w:r w:rsidR="00753C89">
        <w:t>e</w:t>
      </w:r>
      <w:r w:rsidR="00AC12C8">
        <w:t>l “desarrollo que satisface las necesidades del presente sin comprometer la habilidad de generaciones futuras de satisfacer sus propias necesidades”</w:t>
      </w:r>
      <w:r w:rsidR="00AC12C8">
        <w:rPr>
          <w:rStyle w:val="Refdenotaalpie"/>
        </w:rPr>
        <w:footnoteReference w:id="1"/>
      </w:r>
      <w:r w:rsidR="00AC12C8">
        <w:t xml:space="preserve">. </w:t>
      </w:r>
    </w:p>
    <w:p w14:paraId="4049BCEA" w14:textId="7AF75AAB" w:rsidR="00AC12C8" w:rsidRDefault="15DEAB1B" w:rsidP="4D0D7B9E">
      <w:pPr>
        <w:spacing w:after="0"/>
        <w:ind w:firstLine="708"/>
        <w:jc w:val="both"/>
      </w:pPr>
      <w:r>
        <w:t>En la actualidad, existen grandes</w:t>
      </w:r>
      <w:r w:rsidR="3B508771">
        <w:t xml:space="preserve"> retos para </w:t>
      </w:r>
      <w:r w:rsidR="1A330701">
        <w:t>cuantificar</w:t>
      </w:r>
      <w:r>
        <w:t>, promover</w:t>
      </w:r>
      <w:r w:rsidR="1A330701">
        <w:t xml:space="preserve"> y alcanzar un desarrollo sostenible.</w:t>
      </w:r>
      <w:r>
        <w:t xml:space="preserve"> </w:t>
      </w:r>
      <w:r w:rsidR="1A330701" w:rsidRPr="00BB4692">
        <w:rPr>
          <w:color w:val="4472C4" w:themeColor="accent1"/>
        </w:rPr>
        <w:t xml:space="preserve">Pearce </w:t>
      </w:r>
      <w:r w:rsidR="1A330701" w:rsidRPr="00BB4692">
        <w:rPr>
          <w:i/>
          <w:iCs/>
          <w:color w:val="4472C4" w:themeColor="accent1"/>
        </w:rPr>
        <w:t>et al.</w:t>
      </w:r>
      <w:r w:rsidR="001978DD" w:rsidRPr="00BB4692">
        <w:rPr>
          <w:color w:val="4472C4" w:themeColor="accent1"/>
        </w:rPr>
        <w:t xml:space="preserve"> (1989) </w:t>
      </w:r>
      <w:r>
        <w:t>argumenta</w:t>
      </w:r>
      <w:r w:rsidR="61F3F7E5">
        <w:t>ba</w:t>
      </w:r>
      <w:r>
        <w:t>n</w:t>
      </w:r>
      <w:r w:rsidR="1A330701">
        <w:t xml:space="preserve"> que es imposible alcanzar el desarrollo sostenible sin una transición a una economía verde. </w:t>
      </w:r>
      <w:r w:rsidR="003162D4">
        <w:t xml:space="preserve">Esto </w:t>
      </w:r>
      <w:r w:rsidR="2733D707">
        <w:t xml:space="preserve">debido a que los actuales sistemas </w:t>
      </w:r>
      <w:r w:rsidR="0F6FBDC6">
        <w:t xml:space="preserve">de </w:t>
      </w:r>
      <w:r w:rsidR="61F3F7E5">
        <w:t xml:space="preserve">producción </w:t>
      </w:r>
      <w:r w:rsidR="2733D707">
        <w:t>se encuentran sesgados al agotamiento del capital natural para garantizar su crecimiento.</w:t>
      </w:r>
      <w:r w:rsidR="0F6FBDC6">
        <w:t xml:space="preserve"> Producto de </w:t>
      </w:r>
      <w:r w:rsidR="0F6FBDC6">
        <w:lastRenderedPageBreak/>
        <w:t>este análisis surge la necesidad de realizar una transición de una economía tradicional a una economía verde</w:t>
      </w:r>
      <w:r w:rsidR="00CF024D">
        <w:rPr>
          <w:rStyle w:val="Refdenotaalpie"/>
        </w:rPr>
        <w:footnoteReference w:id="2"/>
      </w:r>
      <w:commentRangeStart w:id="0"/>
      <w:r w:rsidR="0F6FBDC6">
        <w:t>.</w:t>
      </w:r>
      <w:commentRangeEnd w:id="0"/>
      <w:r w:rsidR="007D5204">
        <w:commentReference w:id="0"/>
      </w:r>
      <w:r w:rsidR="0F6FBDC6">
        <w:t xml:space="preserve"> </w:t>
      </w:r>
    </w:p>
    <w:p w14:paraId="52609998" w14:textId="714D51A7" w:rsidR="20340972" w:rsidRDefault="20340972" w:rsidP="20340972">
      <w:pPr>
        <w:spacing w:after="0"/>
        <w:ind w:firstLine="708"/>
        <w:jc w:val="both"/>
      </w:pPr>
    </w:p>
    <w:p w14:paraId="3E199A76" w14:textId="3F7E3077" w:rsidR="007407AF" w:rsidRDefault="20830E98" w:rsidP="4D0D7B9E">
      <w:pPr>
        <w:spacing w:after="0"/>
        <w:jc w:val="both"/>
      </w:pPr>
      <w:r w:rsidRPr="20340972">
        <w:rPr>
          <w:b/>
          <w:bCs/>
          <w:sz w:val="28"/>
          <w:szCs w:val="28"/>
        </w:rPr>
        <w:t>C</w:t>
      </w:r>
      <w:r>
        <w:t>osta Rica: avances hac</w:t>
      </w:r>
      <w:r w:rsidR="281B30DB">
        <w:t>i</w:t>
      </w:r>
      <w:r>
        <w:t>a la transición de economía verde</w:t>
      </w:r>
      <w:r w:rsidR="7013FFAB">
        <w:t xml:space="preserve">. </w:t>
      </w:r>
      <w:r w:rsidR="5FB2404F">
        <w:t>El 3 de octubre del 2016 la Asamblea Legislativa costarricense ratificó el acuerdo de París. Un tratado internacional que compromete al país a una ambiciosa trayectoria de reducción de emisiones</w:t>
      </w:r>
      <w:r w:rsidR="74F6C6D1">
        <w:t xml:space="preserve"> con el fin de mantener el incremento de temperatura por debajo de</w:t>
      </w:r>
      <w:r w:rsidR="74F6C6D1" w:rsidRPr="20340972">
        <w:rPr>
          <w:rFonts w:ascii="Calibri" w:eastAsia="Calibri" w:hAnsi="Calibri" w:cs="Calibri"/>
        </w:rPr>
        <w:t xml:space="preserve"> los 2.0 </w:t>
      </w:r>
      <w:r w:rsidR="2C6E3209" w:rsidRPr="20340972">
        <w:rPr>
          <w:rFonts w:ascii="Calibri" w:eastAsia="Calibri" w:hAnsi="Calibri" w:cs="Calibri"/>
          <w:color w:val="202122"/>
        </w:rPr>
        <w:t>°C</w:t>
      </w:r>
      <w:r w:rsidRPr="20340972">
        <w:rPr>
          <w:rFonts w:ascii="Calibri" w:eastAsia="Calibri" w:hAnsi="Calibri" w:cs="Calibri"/>
        </w:rPr>
        <w:t>. E</w:t>
      </w:r>
      <w:r>
        <w:t>l Acuerdo de París</w:t>
      </w:r>
      <w:r w:rsidR="74F6C6D1">
        <w:t xml:space="preserve"> tiene como fin conservar la vida como la conocemos y alcanzar un desarrollo sostenible, es decir, que el consumo de hoy no perjudique el consumo de las generaciones futuras.</w:t>
      </w:r>
    </w:p>
    <w:p w14:paraId="0B21644A" w14:textId="17431C93" w:rsidR="00B8610D" w:rsidRDefault="142E9FCE" w:rsidP="20340972">
      <w:pPr>
        <w:spacing w:after="0"/>
        <w:ind w:firstLine="708"/>
        <w:jc w:val="both"/>
      </w:pPr>
      <w:r w:rsidRPr="2DCA6A14">
        <w:t xml:space="preserve">La ambición y accionar de Costa Rica ante el cambio climático han </w:t>
      </w:r>
      <w:r w:rsidR="34E91F1E" w:rsidRPr="2DCA6A14">
        <w:t>marcado un liderazgo a nivel internacional</w:t>
      </w:r>
      <w:r w:rsidR="6149AA88" w:rsidRPr="2DCA6A14">
        <w:t>, en d</w:t>
      </w:r>
      <w:r w:rsidR="7D1A9A3F" w:rsidRPr="2DCA6A14">
        <w:t>o</w:t>
      </w:r>
      <w:r w:rsidR="6149AA88" w:rsidRPr="2DCA6A14">
        <w:t>nde destaca su matriz eléctrica 99.8</w:t>
      </w:r>
      <w:r w:rsidR="3D807B35" w:rsidRPr="2DCA6A14">
        <w:t xml:space="preserve"> </w:t>
      </w:r>
      <w:r w:rsidR="6149AA88" w:rsidRPr="2DCA6A14">
        <w:t xml:space="preserve">% de fuentes renovables y </w:t>
      </w:r>
      <w:r w:rsidR="7903350F" w:rsidRPr="2DCA6A14">
        <w:t xml:space="preserve">el </w:t>
      </w:r>
      <w:r w:rsidR="6149AA88" w:rsidRPr="2DCA6A14">
        <w:t>pago por servicios ambientales</w:t>
      </w:r>
      <w:r w:rsidR="6AB53D49" w:rsidRPr="2DCA6A14">
        <w:t>,</w:t>
      </w:r>
      <w:r w:rsidR="3279A691" w:rsidRPr="2DCA6A14">
        <w:t xml:space="preserve"> el cu</w:t>
      </w:r>
      <w:r w:rsidR="3B6DFD89" w:rsidRPr="2DCA6A14">
        <w:t>a</w:t>
      </w:r>
      <w:r w:rsidR="3279A691" w:rsidRPr="2DCA6A14">
        <w:t>l ha financiado más de 1.1 millones de hectáreas entre 1997 y 2016</w:t>
      </w:r>
      <w:r w:rsidR="48D77DCB" w:rsidRPr="2DCA6A14">
        <w:t xml:space="preserve"> (</w:t>
      </w:r>
      <w:r w:rsidR="48D77DCB" w:rsidRPr="2DCA6A14">
        <w:rPr>
          <w:color w:val="0070C0"/>
        </w:rPr>
        <w:t>Sánchez-Chaves y Navarrete-Chacón, 2017</w:t>
      </w:r>
      <w:r w:rsidR="48D77DCB" w:rsidRPr="2DCA6A14">
        <w:t>)</w:t>
      </w:r>
      <w:r w:rsidR="3279A691" w:rsidRPr="2DCA6A14">
        <w:t xml:space="preserve">. De igual manera, el país </w:t>
      </w:r>
      <w:r w:rsidR="2CFEF434" w:rsidRPr="2DCA6A14">
        <w:t>lanzó en 2018 el Plan Nacional de Descarbonización</w:t>
      </w:r>
      <w:r w:rsidR="6AB53D49" w:rsidRPr="2DCA6A14">
        <w:t>, que</w:t>
      </w:r>
      <w:r w:rsidR="2CFEF434" w:rsidRPr="2DCA6A14">
        <w:t xml:space="preserve"> es parte del compromiso del país para “sentar las bases de la nueva economía del siglo XXI, capaz de responder a los cambios del contexto mundial, transitando</w:t>
      </w:r>
      <w:r w:rsidR="6FC84D66" w:rsidRPr="2DCA6A14">
        <w:t xml:space="preserve"> </w:t>
      </w:r>
      <w:r w:rsidR="2CFEF434" w:rsidRPr="2DCA6A14">
        <w:t>hacia una economía verde”</w:t>
      </w:r>
      <w:r w:rsidR="530D7669" w:rsidRPr="2DCA6A14">
        <w:t xml:space="preserve"> (</w:t>
      </w:r>
      <w:r w:rsidR="530D7669" w:rsidRPr="2DCA6A14">
        <w:rPr>
          <w:color w:val="0070C0"/>
        </w:rPr>
        <w:t>Decreto Ejecutivo No 41561-MP-MINAE, 2019</w:t>
      </w:r>
      <w:r w:rsidR="530D7669" w:rsidRPr="2DCA6A14">
        <w:t>)</w:t>
      </w:r>
      <w:r w:rsidR="2CFEF434" w:rsidRPr="2DCA6A14">
        <w:t>. Adicionalmente</w:t>
      </w:r>
      <w:r w:rsidR="20FC4945" w:rsidRPr="2DCA6A14">
        <w:t>,</w:t>
      </w:r>
      <w:r w:rsidR="2CFEF434" w:rsidRPr="2DCA6A14">
        <w:t xml:space="preserve"> </w:t>
      </w:r>
      <w:r w:rsidR="20FC4945" w:rsidRPr="2DCA6A14">
        <w:t>el</w:t>
      </w:r>
      <w:r w:rsidR="2CFEF434" w:rsidRPr="2DCA6A14">
        <w:t xml:space="preserve"> plan se decretó de interés público y nacional</w:t>
      </w:r>
      <w:r w:rsidR="20FC4945" w:rsidRPr="2DCA6A14">
        <w:t>,</w:t>
      </w:r>
      <w:r w:rsidR="2CFEF434" w:rsidRPr="2DCA6A14">
        <w:t xml:space="preserve"> y fue un insumo clave para el desarrollo de otras políticas nacionales de desarrollo e inversión</w:t>
      </w:r>
      <w:r w:rsidR="6AB53D49" w:rsidRPr="2DCA6A14">
        <w:t xml:space="preserve"> para los años siguientes</w:t>
      </w:r>
      <w:r w:rsidR="2CFEF434" w:rsidRPr="2DCA6A14">
        <w:t xml:space="preserve">. </w:t>
      </w:r>
      <w:r w:rsidR="20FC4945" w:rsidRPr="2DCA6A14">
        <w:t>Asimismo, en 2021, el país lanzó el Plan Nacional de Adaptación al Cambio Climático</w:t>
      </w:r>
      <w:r w:rsidR="3255F7ED" w:rsidRPr="2DCA6A14">
        <w:t>,</w:t>
      </w:r>
      <w:r w:rsidR="20FC4945" w:rsidRPr="2DCA6A14">
        <w:t xml:space="preserve"> el </w:t>
      </w:r>
      <w:r w:rsidR="51D71D92" w:rsidRPr="2DCA6A14">
        <w:t>cual</w:t>
      </w:r>
      <w:r w:rsidR="20FC4945" w:rsidRPr="2DCA6A14">
        <w:t xml:space="preserve"> tiene como objetivo </w:t>
      </w:r>
      <w:r w:rsidR="3255F7ED" w:rsidRPr="2DCA6A14">
        <w:t xml:space="preserve">orientar </w:t>
      </w:r>
      <w:r w:rsidR="20FC4945" w:rsidRPr="2DCA6A14">
        <w:t xml:space="preserve">acciones </w:t>
      </w:r>
      <w:r w:rsidR="0C13490B" w:rsidRPr="2DCA6A14">
        <w:t xml:space="preserve">hacia </w:t>
      </w:r>
      <w:r w:rsidR="20FC4945" w:rsidRPr="2DCA6A14">
        <w:t>“la consecución de un modelo de desarrollo que garantice la resiliencia climática de la sociedad costarricense, que evite las pérdidas humanas y modere los daños materiales generados por los efectos adversos del cambio climático, que contribuya a aumentar la calidad de vida de las poblaciones más vulnerables, y que aproveche oportunidades para innovar y transformar los sectores productivos y asegurar la continuidad de los servicios”</w:t>
      </w:r>
      <w:r w:rsidR="1ABB5CED" w:rsidRPr="2DCA6A14">
        <w:t xml:space="preserve"> (</w:t>
      </w:r>
      <w:r w:rsidR="1ABB5CED" w:rsidRPr="2DCA6A14">
        <w:rPr>
          <w:color w:val="0070C0"/>
        </w:rPr>
        <w:t>DCC y MINAE 2022</w:t>
      </w:r>
      <w:r w:rsidR="1ABB5CED" w:rsidRPr="2DCA6A14">
        <w:t>).</w:t>
      </w:r>
    </w:p>
    <w:p w14:paraId="36812918" w14:textId="72CD3F0A" w:rsidR="009C358F" w:rsidRDefault="20FC4945" w:rsidP="20340972">
      <w:pPr>
        <w:spacing w:after="0"/>
        <w:ind w:firstLine="708"/>
        <w:jc w:val="both"/>
        <w:rPr>
          <w:i/>
          <w:iCs/>
        </w:rPr>
      </w:pPr>
      <w:r>
        <w:t>Aunado a esto</w:t>
      </w:r>
      <w:r w:rsidR="66919330">
        <w:t>,</w:t>
      </w:r>
      <w:r>
        <w:t xml:space="preserve"> el país </w:t>
      </w:r>
      <w:r w:rsidR="6F4F7F44">
        <w:t>h</w:t>
      </w:r>
      <w:r>
        <w:t>a liderado propuestas y alianzas internacionales que apoyan la transición hacia una economía verde</w:t>
      </w:r>
      <w:r w:rsidR="583C9F00">
        <w:t xml:space="preserve"> como,</w:t>
      </w:r>
      <w:r>
        <w:t xml:space="preserve"> por ejemplo</w:t>
      </w:r>
      <w:r w:rsidR="7C03CE2C">
        <w:t>,</w:t>
      </w:r>
      <w:r>
        <w:t xml:space="preserve"> </w:t>
      </w:r>
      <w:proofErr w:type="spellStart"/>
      <w:r w:rsidRPr="20340972">
        <w:rPr>
          <w:i/>
          <w:iCs/>
        </w:rPr>
        <w:t>Beyond</w:t>
      </w:r>
      <w:proofErr w:type="spellEnd"/>
      <w:r w:rsidRPr="20340972">
        <w:rPr>
          <w:i/>
          <w:iCs/>
        </w:rPr>
        <w:t xml:space="preserve"> </w:t>
      </w:r>
      <w:proofErr w:type="spellStart"/>
      <w:r w:rsidRPr="20340972">
        <w:rPr>
          <w:i/>
          <w:iCs/>
        </w:rPr>
        <w:t>Oil</w:t>
      </w:r>
      <w:proofErr w:type="spellEnd"/>
      <w:r w:rsidRPr="20340972">
        <w:rPr>
          <w:i/>
          <w:iCs/>
        </w:rPr>
        <w:t xml:space="preserve"> and Gas Alliance</w:t>
      </w:r>
      <w:r w:rsidRPr="20340972">
        <w:t>, la Alianza Internacional para las Áreas Marinas Protegidas, la Biodiversidad y el Cambio Climático, el Acuerdo Regional sobre el Acceso a la Información, Participación Pública y el Acceso a la Justicia en Asuntos Ambientales (más conocido como el Acuerdo de Escazú)</w:t>
      </w:r>
      <w:r w:rsidRPr="20340972">
        <w:rPr>
          <w:i/>
          <w:iCs/>
        </w:rPr>
        <w:t xml:space="preserve">, </w:t>
      </w:r>
      <w:r w:rsidRPr="20340972">
        <w:t>entre otr</w:t>
      </w:r>
      <w:r w:rsidR="7854C92D" w:rsidRPr="20340972">
        <w:t>a</w:t>
      </w:r>
      <w:r w:rsidRPr="20340972">
        <w:t>s más</w:t>
      </w:r>
      <w:r w:rsidRPr="20340972">
        <w:rPr>
          <w:i/>
          <w:iCs/>
        </w:rPr>
        <w:t>.</w:t>
      </w:r>
    </w:p>
    <w:p w14:paraId="584D9085" w14:textId="2FEF76C7" w:rsidR="20340972" w:rsidRDefault="20340972" w:rsidP="20340972">
      <w:pPr>
        <w:pStyle w:val="Subttulo"/>
        <w:spacing w:after="0"/>
        <w:jc w:val="both"/>
        <w:rPr>
          <w:color w:val="auto"/>
        </w:rPr>
      </w:pPr>
    </w:p>
    <w:p w14:paraId="32F6D5B6" w14:textId="23AAD9A6" w:rsidR="00A06839" w:rsidRDefault="240E6231" w:rsidP="20340972">
      <w:pPr>
        <w:spacing w:after="0"/>
        <w:jc w:val="both"/>
      </w:pPr>
      <w:r w:rsidRPr="20340972">
        <w:rPr>
          <w:b/>
          <w:bCs/>
          <w:sz w:val="28"/>
          <w:szCs w:val="28"/>
        </w:rPr>
        <w:t>O</w:t>
      </w:r>
      <w:r w:rsidR="0EB92591">
        <w:t>portunidades de una economía verde para Costa Rica</w:t>
      </w:r>
      <w:r w:rsidR="53B76A9A">
        <w:t xml:space="preserve">. </w:t>
      </w:r>
      <w:r w:rsidR="1DBD5CAB">
        <w:t>La transición a una economía verde es inminente e impostergable por el bien de la misma economía</w:t>
      </w:r>
      <w:r w:rsidR="7F4967CA">
        <w:t>, el</w:t>
      </w:r>
      <w:r w:rsidR="1DBD5CAB">
        <w:t xml:space="preserve"> bienestar de las personas y </w:t>
      </w:r>
      <w:r w:rsidR="7F4967CA">
        <w:t xml:space="preserve">de la </w:t>
      </w:r>
      <w:r w:rsidR="1DBD5CAB">
        <w:t xml:space="preserve">biodiversidad. </w:t>
      </w:r>
      <w:r w:rsidR="22295AF8">
        <w:t>El Ministerio de Ambiente y Energía (MINAE) ha elaborado en conjunto con el Banco Interamericano de Desarrollo (BID)</w:t>
      </w:r>
      <w:r w:rsidR="660225B9">
        <w:t xml:space="preserve"> (</w:t>
      </w:r>
      <w:proofErr w:type="spellStart"/>
      <w:r w:rsidR="660225B9" w:rsidRPr="20340972">
        <w:rPr>
          <w:color w:val="0070C0"/>
        </w:rPr>
        <w:t>Groves</w:t>
      </w:r>
      <w:proofErr w:type="spellEnd"/>
      <w:r w:rsidR="660225B9" w:rsidRPr="20340972">
        <w:rPr>
          <w:color w:val="0070C0"/>
        </w:rPr>
        <w:t xml:space="preserve"> </w:t>
      </w:r>
      <w:r w:rsidR="660225B9" w:rsidRPr="001E6D20">
        <w:rPr>
          <w:i/>
          <w:iCs/>
          <w:color w:val="0070C0"/>
        </w:rPr>
        <w:t>et al</w:t>
      </w:r>
      <w:r w:rsidR="660225B9" w:rsidRPr="20340972">
        <w:rPr>
          <w:color w:val="0070C0"/>
        </w:rPr>
        <w:t>., 2020</w:t>
      </w:r>
      <w:r w:rsidR="660225B9">
        <w:t>)</w:t>
      </w:r>
      <w:r w:rsidR="3255F7ED">
        <w:t>,</w:t>
      </w:r>
      <w:r w:rsidR="22295AF8">
        <w:t xml:space="preserve"> un estudio que demu</w:t>
      </w:r>
      <w:r w:rsidR="22295AF8" w:rsidRPr="001E6D20">
        <w:t>estra que el Plan Nacional de Descarbonización contribuye en más de 40 mil millones de dólares en beneficios netos a la economía</w:t>
      </w:r>
      <w:r w:rsidR="3255F7ED" w:rsidRPr="001E6D20">
        <w:t xml:space="preserve"> costarricense</w:t>
      </w:r>
      <w:r w:rsidR="22295AF8" w:rsidRPr="001E6D20">
        <w:t xml:space="preserve"> al 2050</w:t>
      </w:r>
      <w:r w:rsidR="64CD7C31" w:rsidRPr="001E6D20">
        <w:t>.</w:t>
      </w:r>
    </w:p>
    <w:p w14:paraId="25D4A386" w14:textId="5CBFD443" w:rsidR="00A06839" w:rsidRDefault="3EDD525A" w:rsidP="20340972">
      <w:pPr>
        <w:spacing w:after="0"/>
        <w:ind w:firstLine="708"/>
        <w:jc w:val="both"/>
      </w:pPr>
      <w:r w:rsidRPr="001E6D20">
        <w:t xml:space="preserve">Asimismo, </w:t>
      </w:r>
      <w:r w:rsidR="1A926E77" w:rsidRPr="001E6D20">
        <w:t>el liderazgo del país en temas ambientales le ha permitido acceder a condiciones blandas de financiamiento internacional, así como opciones de financiamiento no reembolsable. Costa Rica</w:t>
      </w:r>
      <w:r w:rsidR="1A926E77">
        <w:t xml:space="preserve"> cuenta con un capital </w:t>
      </w:r>
      <w:r w:rsidR="1A926E77" w:rsidRPr="001E6D20">
        <w:t xml:space="preserve">humano, físico y natural sumamente especializado, capaz de </w:t>
      </w:r>
      <w:r w:rsidR="49744809" w:rsidRPr="001E6D20">
        <w:t>impulsar la transición</w:t>
      </w:r>
      <w:r w:rsidR="1A926E77" w:rsidRPr="001E6D20">
        <w:t xml:space="preserve"> a una economía verde y aumentar la productividad nacional.</w:t>
      </w:r>
      <w:r w:rsidR="50B03748">
        <w:t xml:space="preserve"> </w:t>
      </w:r>
      <w:r w:rsidR="50B03748" w:rsidRPr="00AB602C">
        <w:t>Entre estas capacidades destaca la posibilidad del país de utilizar la matriz eléctrica 100</w:t>
      </w:r>
      <w:r w:rsidR="7D6B0EDB" w:rsidRPr="00AB602C">
        <w:t xml:space="preserve"> </w:t>
      </w:r>
      <w:r w:rsidR="50B03748" w:rsidRPr="00AB602C">
        <w:t xml:space="preserve">% renovable para </w:t>
      </w:r>
      <w:r w:rsidR="283AA7DE" w:rsidRPr="00AB602C">
        <w:lastRenderedPageBreak/>
        <w:t>brindar</w:t>
      </w:r>
      <w:r w:rsidR="41E25546" w:rsidRPr="00AB602C">
        <w:t xml:space="preserve"> </w:t>
      </w:r>
      <w:r w:rsidR="283AA7DE" w:rsidRPr="00AB602C">
        <w:t>energía</w:t>
      </w:r>
      <w:r w:rsidR="2953A085" w:rsidRPr="00AB602C">
        <w:t xml:space="preserve"> a</w:t>
      </w:r>
      <w:r w:rsidR="283AA7DE" w:rsidRPr="00AB602C">
        <w:t xml:space="preserve"> la flotilla vehicular eléctrica (transporte colectivo e individual), la cu</w:t>
      </w:r>
      <w:r w:rsidR="727AD026" w:rsidRPr="00AB602C">
        <w:t>a</w:t>
      </w:r>
      <w:r w:rsidR="283AA7DE" w:rsidRPr="00AB602C">
        <w:t xml:space="preserve">l es causante del </w:t>
      </w:r>
      <w:r w:rsidR="7844B744" w:rsidRPr="00AB602C">
        <w:t>42</w:t>
      </w:r>
      <w:r w:rsidR="5A2C0B41" w:rsidRPr="00AB602C">
        <w:t xml:space="preserve"> </w:t>
      </w:r>
      <w:r w:rsidR="283AA7DE" w:rsidRPr="00AB602C">
        <w:t>%</w:t>
      </w:r>
      <w:r w:rsidR="6FC524BC" w:rsidRPr="00AB602C">
        <w:t xml:space="preserve"> (</w:t>
      </w:r>
      <w:r w:rsidR="6FC524BC" w:rsidRPr="20340972">
        <w:rPr>
          <w:rFonts w:eastAsiaTheme="minorEastAsia"/>
          <w:color w:val="0070C0"/>
        </w:rPr>
        <w:t>MINAE</w:t>
      </w:r>
      <w:r w:rsidR="00B43306">
        <w:rPr>
          <w:rFonts w:eastAsiaTheme="minorEastAsia"/>
          <w:color w:val="0070C0"/>
        </w:rPr>
        <w:t>-</w:t>
      </w:r>
      <w:r w:rsidR="6FC524BC" w:rsidRPr="20340972">
        <w:rPr>
          <w:rFonts w:eastAsiaTheme="minorEastAsia"/>
          <w:color w:val="0070C0"/>
        </w:rPr>
        <w:t>IMN, 2021</w:t>
      </w:r>
      <w:r w:rsidR="6FC524BC" w:rsidRPr="20340972">
        <w:rPr>
          <w:rFonts w:eastAsiaTheme="minorEastAsia"/>
        </w:rPr>
        <w:t>)</w:t>
      </w:r>
      <w:r w:rsidR="283AA7DE" w:rsidRPr="00AB602C">
        <w:t xml:space="preserve"> de los gases de efecto invernadero del país, así como de pérdidas de hasta 3.</w:t>
      </w:r>
      <w:r w:rsidR="63650489" w:rsidRPr="00AB602C">
        <w:t>8</w:t>
      </w:r>
      <w:r w:rsidR="7FE289E7" w:rsidRPr="00AB602C">
        <w:t xml:space="preserve"> </w:t>
      </w:r>
      <w:r w:rsidR="283AA7DE" w:rsidRPr="00AB602C">
        <w:t xml:space="preserve">% del PIB </w:t>
      </w:r>
      <w:r w:rsidR="63650489" w:rsidRPr="00AB602C">
        <w:t>producto de</w:t>
      </w:r>
      <w:r w:rsidR="515B8935" w:rsidRPr="00AB602C">
        <w:t xml:space="preserve"> </w:t>
      </w:r>
      <w:r w:rsidR="63650489" w:rsidRPr="00AB602C">
        <w:t>la congestión vehicular</w:t>
      </w:r>
      <w:r w:rsidR="34F503B1" w:rsidRPr="00AB602C">
        <w:t xml:space="preserve"> (</w:t>
      </w:r>
      <w:r w:rsidR="34F503B1" w:rsidRPr="20340972">
        <w:rPr>
          <w:rFonts w:eastAsiaTheme="minorEastAsia"/>
          <w:color w:val="0070C0"/>
        </w:rPr>
        <w:t>Programa Estado de la Nación, 2018</w:t>
      </w:r>
      <w:r w:rsidR="34F503B1" w:rsidRPr="20340972">
        <w:rPr>
          <w:rFonts w:eastAsiaTheme="minorEastAsia"/>
        </w:rPr>
        <w:t xml:space="preserve">). </w:t>
      </w:r>
      <w:r w:rsidR="283AA7DE" w:rsidRPr="00AB602C">
        <w:t>E</w:t>
      </w:r>
      <w:r w:rsidR="7F4967CA">
        <w:t>s importante</w:t>
      </w:r>
      <w:r w:rsidR="283AA7DE" w:rsidRPr="00AB602C">
        <w:t xml:space="preserve"> considerar que la importación de</w:t>
      </w:r>
      <w:r w:rsidR="283AA7DE">
        <w:t xml:space="preserve"> combustibles fósiles</w:t>
      </w:r>
      <w:r w:rsidR="376B89A0">
        <w:t xml:space="preserve"> presiona la balanza de pagos del país, y las variaciones de sus precios (muy inestables</w:t>
      </w:r>
      <w:r w:rsidR="3C62475C">
        <w:t>,</w:t>
      </w:r>
      <w:r w:rsidR="376B89A0">
        <w:t xml:space="preserve"> dicho sea de paso)</w:t>
      </w:r>
      <w:r w:rsidR="283AA7DE">
        <w:t xml:space="preserve"> es una de las principales causas</w:t>
      </w:r>
      <w:r w:rsidR="376B89A0">
        <w:t xml:space="preserve"> de los vaivenes recientes de la</w:t>
      </w:r>
      <w:r w:rsidR="283AA7DE">
        <w:t xml:space="preserve"> inflaci</w:t>
      </w:r>
      <w:r w:rsidR="376B89A0">
        <w:t>ón</w:t>
      </w:r>
      <w:r w:rsidR="283AA7DE">
        <w:t xml:space="preserve"> y de </w:t>
      </w:r>
      <w:r w:rsidR="376B89A0">
        <w:t xml:space="preserve">la </w:t>
      </w:r>
      <w:r w:rsidR="283AA7DE">
        <w:t>devaluación d</w:t>
      </w:r>
      <w:r w:rsidR="7F4967CA">
        <w:t>e la moneda costarricense</w:t>
      </w:r>
      <w:r w:rsidR="283AA7DE">
        <w:t>.</w:t>
      </w:r>
    </w:p>
    <w:p w14:paraId="51A78719" w14:textId="39F05E52" w:rsidR="00A57BB7" w:rsidRDefault="63650489" w:rsidP="20340972">
      <w:pPr>
        <w:spacing w:after="0"/>
        <w:ind w:firstLine="708"/>
        <w:jc w:val="both"/>
      </w:pPr>
      <w:r>
        <w:t>Un país democrático, estable</w:t>
      </w:r>
      <w:r w:rsidR="76F8A184">
        <w:t xml:space="preserve">, </w:t>
      </w:r>
      <w:r w:rsidR="6E2D16AA">
        <w:t xml:space="preserve">con una hoja de ruta para descarbonizar </w:t>
      </w:r>
      <w:r w:rsidR="76F8A184">
        <w:t>y adaptar la economía ante el cambio climático</w:t>
      </w:r>
      <w:r w:rsidR="376B89A0">
        <w:t>,</w:t>
      </w:r>
      <w:r w:rsidR="76F8A184">
        <w:t xml:space="preserve"> es parte del </w:t>
      </w:r>
      <w:r w:rsidR="76F8A184" w:rsidRPr="20340972">
        <w:rPr>
          <w:i/>
          <w:iCs/>
        </w:rPr>
        <w:t>gran atractivo del país ante inversionistas internacionales. Una economía verde reduce significativamente riesgos financieros</w:t>
      </w:r>
      <w:r w:rsidR="76F8A184">
        <w:t xml:space="preserve"> que enfrentan los inversionistas (riesgos físicos y de transición). </w:t>
      </w:r>
      <w:r w:rsidR="56441348">
        <w:t>La economía verde es parte de nuevas tendencias de innovación y desarrollo a nivel internacional, que permiten un mayor y mejor crecimiento en productividad y bienestar</w:t>
      </w:r>
      <w:r w:rsidR="376B89A0">
        <w:t xml:space="preserve"> humano</w:t>
      </w:r>
      <w:r w:rsidR="56441348">
        <w:t>. Costa Rica posee grandes ventajas comparativas para</w:t>
      </w:r>
      <w:r w:rsidR="6400B6A0">
        <w:t xml:space="preserve"> hacer la transición</w:t>
      </w:r>
      <w:r w:rsidR="56441348">
        <w:t xml:space="preserve"> hacia una economía verde, desaprovecharlas podría significar un gran estancamiento en temas sociales, ambientales y productivos.</w:t>
      </w:r>
      <w:r w:rsidR="7F4967CA">
        <w:t xml:space="preserve"> El país cuenta con las hojas de</w:t>
      </w:r>
      <w:r w:rsidR="7F4967CA" w:rsidRPr="20340972">
        <w:t xml:space="preserve"> ruta y estudios necesarios para alcanzar un desarrollo sostenible, </w:t>
      </w:r>
      <w:r w:rsidR="44F6E362" w:rsidRPr="20340972">
        <w:t xml:space="preserve">lo que constituye </w:t>
      </w:r>
      <w:r w:rsidR="7F4967CA" w:rsidRPr="20340972">
        <w:t>una gran ventaja para crear, orientar y acceder a los recursos financieros necesarios para su implementación.</w:t>
      </w:r>
    </w:p>
    <w:p w14:paraId="15C3E9A5" w14:textId="4262B643" w:rsidR="20340972" w:rsidRDefault="20340972" w:rsidP="20340972">
      <w:pPr>
        <w:spacing w:after="0"/>
        <w:jc w:val="both"/>
      </w:pPr>
    </w:p>
    <w:p w14:paraId="36700F55" w14:textId="3F9F928C" w:rsidR="00AB602C" w:rsidRDefault="0E6533A1" w:rsidP="20340972">
      <w:pPr>
        <w:spacing w:after="0"/>
        <w:jc w:val="both"/>
      </w:pPr>
      <w:r w:rsidRPr="20340972">
        <w:rPr>
          <w:b/>
          <w:bCs/>
          <w:sz w:val="28"/>
          <w:szCs w:val="28"/>
        </w:rPr>
        <w:t>R</w:t>
      </w:r>
      <w:r w:rsidR="56441348" w:rsidRPr="20340972">
        <w:t>etos para la transición hacia una economía verde</w:t>
      </w:r>
      <w:r w:rsidR="54319308" w:rsidRPr="20340972">
        <w:t xml:space="preserve">. </w:t>
      </w:r>
      <w:r w:rsidR="182AD1A1" w:rsidRPr="20340972">
        <w:t>Costa Rica</w:t>
      </w:r>
      <w:r w:rsidR="34E91F1E" w:rsidRPr="20340972">
        <w:t xml:space="preserve"> enfrenta grandes retos para garantizar un desarrollo sostenible a largo plazo. El principal reto del país desde una perspectiva macroeconómica es </w:t>
      </w:r>
      <w:r w:rsidR="3C9455F0" w:rsidRPr="20340972">
        <w:t xml:space="preserve">gestionar y garantizar los recursos necesarios para desarrollar las inversiones </w:t>
      </w:r>
      <w:r w:rsidR="44F6E362" w:rsidRPr="20340972">
        <w:t>requeridas para asegurar la transición a una economía verde</w:t>
      </w:r>
      <w:r w:rsidR="3C9455F0" w:rsidRPr="20340972">
        <w:t xml:space="preserve">. El país requiere </w:t>
      </w:r>
      <w:r w:rsidR="3D3B4857" w:rsidRPr="20340972">
        <w:t>de una gran</w:t>
      </w:r>
      <w:r w:rsidR="3C9455F0" w:rsidRPr="20340972">
        <w:t xml:space="preserve"> inversión para </w:t>
      </w:r>
      <w:r w:rsidR="44F6E362" w:rsidRPr="20340972">
        <w:t>hacer esa</w:t>
      </w:r>
      <w:r w:rsidR="3C9455F0" w:rsidRPr="20340972">
        <w:t xml:space="preserve"> transición</w:t>
      </w:r>
      <w:r w:rsidR="44F6E362" w:rsidRPr="20340972">
        <w:t xml:space="preserve"> de forma</w:t>
      </w:r>
      <w:r w:rsidR="3C9455F0" w:rsidRPr="20340972">
        <w:t xml:space="preserve"> paulatina, que permita a los diferentes sectores de la economía formar parte del cambio. Diversos esfuerzos del </w:t>
      </w:r>
      <w:r w:rsidR="44F6E362" w:rsidRPr="20340972">
        <w:t>Poder Ejecutivo</w:t>
      </w:r>
      <w:r w:rsidR="3C9455F0" w:rsidRPr="20340972">
        <w:t>, en conjunto con la cooperación internacional</w:t>
      </w:r>
      <w:r w:rsidR="29632FA5" w:rsidRPr="20340972">
        <w:t>,</w:t>
      </w:r>
      <w:r w:rsidR="3C9455F0" w:rsidRPr="20340972">
        <w:t xml:space="preserve"> han sido y están siendo desarrollados para este fin.</w:t>
      </w:r>
    </w:p>
    <w:p w14:paraId="7D744951" w14:textId="20309313" w:rsidR="00AB602C" w:rsidRDefault="3C9455F0" w:rsidP="20340972">
      <w:pPr>
        <w:spacing w:after="0"/>
        <w:ind w:firstLine="708"/>
        <w:jc w:val="both"/>
      </w:pPr>
      <w:r w:rsidRPr="20340972">
        <w:t xml:space="preserve">Por otro lado, el país enfrenta el gran reto de crear un marco regulatorio que permita </w:t>
      </w:r>
      <w:r w:rsidRPr="20340972">
        <w:rPr>
          <w:i/>
          <w:iCs/>
        </w:rPr>
        <w:t>nivelar la cancha</w:t>
      </w:r>
      <w:r w:rsidRPr="20340972">
        <w:t xml:space="preserve"> entre </w:t>
      </w:r>
      <w:r w:rsidR="29632FA5">
        <w:t>los incentivos para</w:t>
      </w:r>
      <w:r>
        <w:t xml:space="preserve"> una economía verde y </w:t>
      </w:r>
      <w:r w:rsidR="29632FA5">
        <w:t>los mecanismos de incentivos de</w:t>
      </w:r>
      <w:r>
        <w:t xml:space="preserve"> economía </w:t>
      </w:r>
      <w:r w:rsidR="29632FA5">
        <w:t>tradicional</w:t>
      </w:r>
      <w:r>
        <w:t xml:space="preserve">. Es de conocimiento común que </w:t>
      </w:r>
      <w:r w:rsidR="29632FA5">
        <w:t>algunas</w:t>
      </w:r>
      <w:r>
        <w:t xml:space="preserve"> políticas regulatorias del país se encuentran basadas en </w:t>
      </w:r>
      <w:r w:rsidR="5F175272">
        <w:t xml:space="preserve">la promoción del uso intensivo de hidrocarburos y </w:t>
      </w:r>
      <w:r w:rsidR="29632FA5">
        <w:t xml:space="preserve">en promover actividades que emiten gases de efecto invernadero (GEI), y que </w:t>
      </w:r>
      <w:r w:rsidR="5F175272">
        <w:t>carece</w:t>
      </w:r>
      <w:r w:rsidR="29632FA5">
        <w:t>n</w:t>
      </w:r>
      <w:r w:rsidR="5F175272">
        <w:t xml:space="preserve"> de mecanismos que anali</w:t>
      </w:r>
      <w:r w:rsidR="4B3E988F">
        <w:t>cen</w:t>
      </w:r>
      <w:r w:rsidR="5F175272">
        <w:t>, in</w:t>
      </w:r>
      <w:r w:rsidR="29632FA5">
        <w:t>ternali</w:t>
      </w:r>
      <w:r w:rsidR="36DA05CE">
        <w:t>cen</w:t>
      </w:r>
      <w:r w:rsidR="5F175272">
        <w:t xml:space="preserve"> y </w:t>
      </w:r>
      <w:r w:rsidR="29632FA5">
        <w:t>res</w:t>
      </w:r>
      <w:r w:rsidR="516544F9">
        <w:t>uelvan</w:t>
      </w:r>
      <w:r w:rsidR="5F175272">
        <w:t xml:space="preserve"> las externalidades causadas</w:t>
      </w:r>
      <w:r w:rsidR="29632FA5">
        <w:t>,</w:t>
      </w:r>
      <w:r w:rsidR="5F175272">
        <w:t xml:space="preserve"> tanto por un modelo de desarrollo extractivista (negativas) como por un modelo sostenible (positivas). Por ello es importante crear </w:t>
      </w:r>
      <w:r w:rsidR="29632FA5">
        <w:t>incentivos</w:t>
      </w:r>
      <w:r w:rsidR="5F175272">
        <w:t xml:space="preserve">, subsidios y tributos que disminuyan las imperfecciones e ineficiencias </w:t>
      </w:r>
      <w:r w:rsidR="3E37136A">
        <w:t xml:space="preserve">ambientales </w:t>
      </w:r>
      <w:r w:rsidR="5F175272">
        <w:t>del mercado.</w:t>
      </w:r>
    </w:p>
    <w:p w14:paraId="41DDF2E0" w14:textId="7F55C87D" w:rsidR="00A617AA" w:rsidRDefault="5F175272" w:rsidP="20340972">
      <w:pPr>
        <w:spacing w:after="0"/>
        <w:ind w:firstLine="708"/>
        <w:jc w:val="both"/>
      </w:pPr>
      <w:r>
        <w:t xml:space="preserve">Adicionalmente, hay un gran reto por parte de los hogares y el sector privado en ser parte de esta transición hacia una economía verde. </w:t>
      </w:r>
      <w:r w:rsidR="3E37136A">
        <w:t>Debe</w:t>
      </w:r>
      <w:r>
        <w:t xml:space="preserve"> </w:t>
      </w:r>
      <w:r w:rsidR="3E37136A">
        <w:t xml:space="preserve">crearse </w:t>
      </w:r>
      <w:r w:rsidR="56D9DA17">
        <w:t>concien</w:t>
      </w:r>
      <w:r w:rsidR="3E37136A">
        <w:t>cia</w:t>
      </w:r>
      <w:r w:rsidR="56D9DA17">
        <w:t xml:space="preserve"> </w:t>
      </w:r>
      <w:r w:rsidR="3E37136A">
        <w:t xml:space="preserve">en estos </w:t>
      </w:r>
      <w:r w:rsidR="56D9DA17">
        <w:t xml:space="preserve">sobre sus </w:t>
      </w:r>
      <w:r w:rsidR="3E37136A">
        <w:t xml:space="preserve">formas </w:t>
      </w:r>
      <w:r w:rsidR="56D9DA17">
        <w:t xml:space="preserve">de producción y </w:t>
      </w:r>
      <w:r w:rsidR="3E37136A">
        <w:t xml:space="preserve">niveles de </w:t>
      </w:r>
      <w:r w:rsidR="56D9DA17">
        <w:t>consumo</w:t>
      </w:r>
      <w:r w:rsidR="3E37136A">
        <w:t>,</w:t>
      </w:r>
      <w:r w:rsidR="56D9DA17">
        <w:t xml:space="preserve"> </w:t>
      </w:r>
      <w:r w:rsidR="04B31790">
        <w:t xml:space="preserve">por medio de una mayor </w:t>
      </w:r>
      <w:r w:rsidR="3E37136A">
        <w:t xml:space="preserve">inserción </w:t>
      </w:r>
      <w:r w:rsidR="04B31790">
        <w:t xml:space="preserve">financiera, una mayor disposición </w:t>
      </w:r>
      <w:r w:rsidR="3E37136A">
        <w:t>a pagar por las externalidades negativas</w:t>
      </w:r>
      <w:r w:rsidR="04B31790">
        <w:t xml:space="preserve">, innovación tecnológica y la inclusión de </w:t>
      </w:r>
      <w:r w:rsidR="3E37136A">
        <w:t>formas de consumo</w:t>
      </w:r>
      <w:r w:rsidR="04B31790">
        <w:t xml:space="preserve"> amigables con el ambiente.</w:t>
      </w:r>
    </w:p>
    <w:p w14:paraId="7A044F8F" w14:textId="307A35EB" w:rsidR="008B700A" w:rsidRDefault="3E37136A" w:rsidP="20340972">
      <w:pPr>
        <w:spacing w:after="0"/>
        <w:ind w:firstLine="708"/>
        <w:jc w:val="both"/>
      </w:pPr>
      <w:r>
        <w:t xml:space="preserve">La transición a una economía verde requerirá de una cantidad importante de recursos financieros, tanto públicos como privados, </w:t>
      </w:r>
      <w:r w:rsidR="4DAC2A5F">
        <w:t xml:space="preserve">a fin de financiar ese cambio, además de orientar los incentivos y los recursos de los presupuestos públicos a lograr ese fin. Nuestro sistema tributario, por ejemplo, tiene exoneraciones y tratamientos favorables para el consumo de hidrocarburos de algunos sectores (pesca, aeronáutico y de flota mercante), </w:t>
      </w:r>
      <w:r w:rsidR="7C90AB2E">
        <w:t xml:space="preserve">la adquisición de agroquímicos contaminantes y la importación de vehículos usados, aspectos que son incompatibles con una economía verde. Por otro lado, adolecemos de incentivos para impulsar una economía circular, el </w:t>
      </w:r>
      <w:r w:rsidR="7C90AB2E">
        <w:lastRenderedPageBreak/>
        <w:t>manejo adecuado de residuos sólidos, la correcta disposición de aguas residuales y el impulso a gran escala a un proceso de electrificación del transporte público.</w:t>
      </w:r>
    </w:p>
    <w:p w14:paraId="4C64C7D7" w14:textId="2D957CEC" w:rsidR="0024081B" w:rsidRDefault="7C90AB2E" w:rsidP="20340972">
      <w:pPr>
        <w:spacing w:after="0"/>
        <w:ind w:firstLine="708"/>
        <w:jc w:val="both"/>
      </w:pPr>
      <w:r>
        <w:t xml:space="preserve">Reformas puntuales en nuestro sistema tributario deberán hacerse en próximos años a fin de alinear incentivos y desincentivos con ese proceso de transición, en una serie de ajustes que tenga como norte </w:t>
      </w:r>
      <w:r w:rsidR="2E450F54">
        <w:t xml:space="preserve">el impulso a una nueva economía y no necesariamente una finalidad recaudatoria. De igual manera deberá orientarse a ese proceso el presupuesto público, los recursos y compromisos en él contenidos, la inversión pública y los planes de gastos e inversión del sector público descentralizado. </w:t>
      </w:r>
      <w:r w:rsidR="778EBE94">
        <w:t>L</w:t>
      </w:r>
      <w:r w:rsidR="638AAC2A">
        <w:t>os gobiernos locales son claves en esa transición, pues adaptar las ciudades a una nueva realidad es fundamental y nuestra Gran Área Metropolitana, vista como una gran metrópoli, debe ser la punta de lanza de ese proceso.</w:t>
      </w:r>
    </w:p>
    <w:p w14:paraId="3551D516" w14:textId="176DFB18" w:rsidR="00AE430E" w:rsidRDefault="00AE430E" w:rsidP="4D0D7B9E">
      <w:pPr>
        <w:spacing w:after="0"/>
        <w:jc w:val="both"/>
      </w:pPr>
      <w:r>
        <w:t xml:space="preserve">Hay que repensar las ciudades como un espacio para la movilidad sostenible de las personas, donde la ciudad no antagonice con el espacio natural, sino que más bien se integre con él. Ciudades compactas, resilientes a un clima cambiante, que no se conviertan en islas de calor, con un transporte público eficiente y limpio, son las ciudades del futuro. </w:t>
      </w:r>
    </w:p>
    <w:p w14:paraId="35CA7849" w14:textId="3A315A9A" w:rsidR="00DD4986" w:rsidRDefault="638AAC2A" w:rsidP="20340972">
      <w:pPr>
        <w:spacing w:after="0"/>
        <w:ind w:firstLine="708"/>
        <w:jc w:val="both"/>
      </w:pPr>
      <w:r>
        <w:t>Finalmente</w:t>
      </w:r>
      <w:r w:rsidR="1F18161E">
        <w:t xml:space="preserve">, se requiere de </w:t>
      </w:r>
      <w:r>
        <w:t xml:space="preserve">férrea </w:t>
      </w:r>
      <w:r w:rsidR="1F18161E">
        <w:t xml:space="preserve">voluntad política para realizar </w:t>
      </w:r>
      <w:r w:rsidR="55A2678D">
        <w:t xml:space="preserve">los </w:t>
      </w:r>
      <w:r w:rsidR="1F18161E">
        <w:t>cambios estructurales</w:t>
      </w:r>
      <w:r>
        <w:t xml:space="preserve"> necesarios en este proceso</w:t>
      </w:r>
      <w:r w:rsidR="1F18161E">
        <w:t xml:space="preserve">. </w:t>
      </w:r>
      <w:r w:rsidR="78C1A166">
        <w:t>Es importante el</w:t>
      </w:r>
      <w:r w:rsidR="1F18161E">
        <w:t xml:space="preserve"> compromiso por parte de los tres poderes de la República para garantizar una transición hacia una economía </w:t>
      </w:r>
      <w:r w:rsidR="78C1A166">
        <w:t>verde</w:t>
      </w:r>
      <w:r w:rsidR="1F18161E">
        <w:t xml:space="preserve">, </w:t>
      </w:r>
      <w:r>
        <w:t>así como la toma de decisiones</w:t>
      </w:r>
      <w:r w:rsidR="78C1A166">
        <w:t xml:space="preserve"> alimentada </w:t>
      </w:r>
      <w:r w:rsidR="7C90AB2E">
        <w:t xml:space="preserve">constantemente </w:t>
      </w:r>
      <w:r w:rsidR="78C1A166">
        <w:t>por</w:t>
      </w:r>
      <w:r w:rsidR="1F18161E">
        <w:t xml:space="preserve"> insumos técnicos y científicos que</w:t>
      </w:r>
      <w:r w:rsidR="78C1A166">
        <w:t xml:space="preserve"> brinden robustez. </w:t>
      </w:r>
      <w:r w:rsidR="7073A2A6">
        <w:t xml:space="preserve">Esa toma de decisiones </w:t>
      </w:r>
      <w:r w:rsidR="28837D0D">
        <w:t xml:space="preserve">debe de </w:t>
      </w:r>
      <w:r w:rsidR="5E4ADEB4">
        <w:t xml:space="preserve">estar </w:t>
      </w:r>
      <w:r w:rsidR="78C1A166">
        <w:t xml:space="preserve">orientada al bienestar general de la población en el corto, mediano y largo plazo, </w:t>
      </w:r>
      <w:r w:rsidR="199878E4">
        <w:t xml:space="preserve">y </w:t>
      </w:r>
      <w:r w:rsidR="78C1A166">
        <w:t>que</w:t>
      </w:r>
      <w:r w:rsidR="55A2678D">
        <w:t>,</w:t>
      </w:r>
      <w:r w:rsidR="78C1A166">
        <w:t xml:space="preserve"> </w:t>
      </w:r>
      <w:r w:rsidR="55A2678D">
        <w:t xml:space="preserve">a pesar de </w:t>
      </w:r>
      <w:r w:rsidR="78C1A166">
        <w:t xml:space="preserve">presiones o intereses </w:t>
      </w:r>
      <w:r w:rsidR="2276A5A8">
        <w:t>específicos</w:t>
      </w:r>
      <w:r w:rsidR="55A2678D">
        <w:t>,</w:t>
      </w:r>
      <w:r w:rsidR="199878E4">
        <w:t xml:space="preserve"> pueda apoyar </w:t>
      </w:r>
      <w:r w:rsidR="0C6587EF">
        <w:t>a todos los sectores hacia un desarrollo sostenible</w:t>
      </w:r>
      <w:r w:rsidR="78C1A166">
        <w:t>.</w:t>
      </w:r>
    </w:p>
    <w:p w14:paraId="3E03AFE6" w14:textId="7BE3DBC8" w:rsidR="4D0D7B9E" w:rsidRDefault="4D0D7B9E" w:rsidP="4D0D7B9E">
      <w:pPr>
        <w:spacing w:after="0"/>
        <w:jc w:val="both"/>
      </w:pPr>
    </w:p>
    <w:p w14:paraId="1BE239C4" w14:textId="66B3DC71" w:rsidR="56B27E20" w:rsidRDefault="68777A43" w:rsidP="4D0D7B9E">
      <w:pPr>
        <w:spacing w:after="0"/>
        <w:jc w:val="both"/>
      </w:pPr>
      <w:r w:rsidRPr="20340972">
        <w:rPr>
          <w:b/>
          <w:bCs/>
        </w:rPr>
        <w:t>Referencias</w:t>
      </w:r>
    </w:p>
    <w:p w14:paraId="2C57A659" w14:textId="6B60D579" w:rsidR="4D0D7B9E" w:rsidRDefault="4D0D7B9E" w:rsidP="4D0D7B9E">
      <w:pPr>
        <w:spacing w:after="0"/>
        <w:jc w:val="both"/>
      </w:pPr>
    </w:p>
    <w:p w14:paraId="451C6B97" w14:textId="24AC8EF0" w:rsidR="65F5448C" w:rsidRDefault="189EC9A3" w:rsidP="20340972">
      <w:pPr>
        <w:spacing w:after="0"/>
        <w:ind w:left="720" w:hanging="720"/>
        <w:jc w:val="both"/>
        <w:rPr>
          <w:rFonts w:eastAsiaTheme="minorEastAsia"/>
        </w:rPr>
      </w:pPr>
      <w:r>
        <w:t>Decreto Ejecutivo N</w:t>
      </w:r>
      <w:r w:rsidRPr="20340972">
        <w:rPr>
          <w:vertAlign w:val="superscript"/>
        </w:rPr>
        <w:t>o</w:t>
      </w:r>
      <w:r>
        <w:t xml:space="preserve"> 41561-MP-MINAE. (2019). </w:t>
      </w:r>
      <w:r w:rsidRPr="20340972">
        <w:rPr>
          <w:rFonts w:ascii="Calibri" w:eastAsia="Calibri" w:hAnsi="Calibri" w:cs="Calibri"/>
          <w:color w:val="000000" w:themeColor="text1"/>
          <w:lang w:val="es-ES"/>
        </w:rPr>
        <w:t xml:space="preserve">[Ministerio </w:t>
      </w:r>
      <w:r w:rsidR="78723F45" w:rsidRPr="20340972">
        <w:rPr>
          <w:rFonts w:ascii="Calibri" w:eastAsia="Calibri" w:hAnsi="Calibri" w:cs="Calibri"/>
          <w:color w:val="000000" w:themeColor="text1"/>
          <w:lang w:val="es-ES"/>
        </w:rPr>
        <w:t xml:space="preserve">de la Presidencia </w:t>
      </w:r>
      <w:r w:rsidRPr="20340972">
        <w:rPr>
          <w:rFonts w:ascii="Calibri" w:eastAsia="Calibri" w:hAnsi="Calibri" w:cs="Calibri"/>
          <w:color w:val="000000" w:themeColor="text1"/>
          <w:lang w:val="es-ES"/>
        </w:rPr>
        <w:t xml:space="preserve">y Ministerio de Ambiente y </w:t>
      </w:r>
      <w:r w:rsidRPr="20340972">
        <w:rPr>
          <w:lang w:val="es-ES"/>
        </w:rPr>
        <w:t xml:space="preserve">Energía]. Declaratoria de interés público y nacional del "Plan de Descarbonización Compromiso del Gobierno del Bicentenario". </w:t>
      </w:r>
      <w:r w:rsidRPr="20340972">
        <w:rPr>
          <w:rFonts w:ascii="Calibri" w:eastAsia="Calibri" w:hAnsi="Calibri" w:cs="Calibri"/>
          <w:color w:val="000000" w:themeColor="text1"/>
          <w:lang w:val="es-ES"/>
        </w:rPr>
        <w:t xml:space="preserve">Diario Oficial La Gaceta, </w:t>
      </w:r>
      <w:r w:rsidRPr="20340972">
        <w:rPr>
          <w:rFonts w:ascii="Calibri" w:eastAsia="Calibri" w:hAnsi="Calibri" w:cs="Calibri"/>
          <w:color w:val="202124"/>
          <w:lang w:val="es-ES"/>
        </w:rPr>
        <w:t>n.º 36</w:t>
      </w:r>
      <w:r w:rsidRPr="20340972">
        <w:rPr>
          <w:rFonts w:ascii="Calibri" w:eastAsia="Calibri" w:hAnsi="Calibri" w:cs="Calibri"/>
          <w:color w:val="000000" w:themeColor="text1"/>
          <w:lang w:val="es-ES"/>
        </w:rPr>
        <w:t>, 20 de febrero del 2019.</w:t>
      </w:r>
    </w:p>
    <w:p w14:paraId="5D002AA0" w14:textId="116BC0F1" w:rsidR="65F5448C" w:rsidRDefault="52B2D8FB" w:rsidP="20340972">
      <w:pPr>
        <w:spacing w:after="0"/>
        <w:ind w:left="720" w:hanging="720"/>
        <w:jc w:val="both"/>
        <w:rPr>
          <w:rStyle w:val="Hipervnculo"/>
        </w:rPr>
      </w:pPr>
      <w:r w:rsidRPr="20340972">
        <w:rPr>
          <w:rFonts w:eastAsiaTheme="minorEastAsia"/>
        </w:rPr>
        <w:t xml:space="preserve">DCC, MINAE. (2022). </w:t>
      </w:r>
      <w:r w:rsidRPr="20340972">
        <w:rPr>
          <w:rFonts w:eastAsiaTheme="minorEastAsia"/>
          <w:i/>
          <w:iCs/>
        </w:rPr>
        <w:t>Plan Nacional de Adaptación al Cambio Climático de Costa Rica, 2022 - 2026</w:t>
      </w:r>
      <w:r w:rsidRPr="20340972">
        <w:rPr>
          <w:rFonts w:eastAsiaTheme="minorEastAsia"/>
        </w:rPr>
        <w:t xml:space="preserve">. Dirección de Cambio Climático, Ministerio de Ambiente y Energía. </w:t>
      </w:r>
      <w:hyperlink r:id="rId16">
        <w:r w:rsidRPr="20340972">
          <w:rPr>
            <w:rStyle w:val="Hipervnculo"/>
          </w:rPr>
          <w:t>https://cambioclimatico.go.cr/wp-content/uploads/2022/04/NAP_Documento-2022-2026_VC.pdf</w:t>
        </w:r>
      </w:hyperlink>
      <w:r>
        <w:t xml:space="preserve"> </w:t>
      </w:r>
    </w:p>
    <w:p w14:paraId="2E03F637" w14:textId="05BFF25C" w:rsidR="65F5448C" w:rsidRPr="0055323A" w:rsidRDefault="1EC266E9" w:rsidP="20340972">
      <w:pPr>
        <w:spacing w:after="0"/>
        <w:ind w:left="720" w:hanging="720"/>
        <w:jc w:val="both"/>
        <w:rPr>
          <w:rFonts w:ascii="Calibri" w:eastAsia="Calibri" w:hAnsi="Calibri" w:cs="Calibri"/>
          <w:color w:val="0070C0"/>
          <w:lang w:val="en-US"/>
        </w:rPr>
      </w:pPr>
      <w:proofErr w:type="spellStart"/>
      <w:r w:rsidRPr="20340972">
        <w:rPr>
          <w:rFonts w:eastAsiaTheme="minorEastAsia"/>
        </w:rPr>
        <w:t>Groves</w:t>
      </w:r>
      <w:proofErr w:type="spellEnd"/>
      <w:r w:rsidRPr="20340972">
        <w:rPr>
          <w:rFonts w:eastAsiaTheme="minorEastAsia"/>
        </w:rPr>
        <w:t xml:space="preserve">, D. G., </w:t>
      </w:r>
      <w:proofErr w:type="spellStart"/>
      <w:r w:rsidRPr="20340972">
        <w:rPr>
          <w:rFonts w:eastAsiaTheme="minorEastAsia"/>
        </w:rPr>
        <w:t>Syme</w:t>
      </w:r>
      <w:proofErr w:type="spellEnd"/>
      <w:r w:rsidRPr="20340972">
        <w:rPr>
          <w:rFonts w:eastAsiaTheme="minorEastAsia"/>
        </w:rPr>
        <w:t>, J., Molina-</w:t>
      </w:r>
      <w:proofErr w:type="spellStart"/>
      <w:r w:rsidRPr="20340972">
        <w:rPr>
          <w:rFonts w:eastAsiaTheme="minorEastAsia"/>
        </w:rPr>
        <w:t>Perez</w:t>
      </w:r>
      <w:proofErr w:type="spellEnd"/>
      <w:r w:rsidRPr="20340972">
        <w:rPr>
          <w:rFonts w:eastAsiaTheme="minorEastAsia"/>
        </w:rPr>
        <w:t>, E., Calvo, C., Víctor-</w:t>
      </w:r>
      <w:proofErr w:type="spellStart"/>
      <w:r w:rsidRPr="20340972">
        <w:rPr>
          <w:rFonts w:eastAsiaTheme="minorEastAsia"/>
        </w:rPr>
        <w:t>Gallardo</w:t>
      </w:r>
      <w:proofErr w:type="spellEnd"/>
      <w:r w:rsidRPr="20340972">
        <w:rPr>
          <w:rFonts w:eastAsiaTheme="minorEastAsia"/>
        </w:rPr>
        <w:t xml:space="preserve">, L., </w:t>
      </w:r>
      <w:proofErr w:type="spellStart"/>
      <w:r w:rsidRPr="20340972">
        <w:rPr>
          <w:rFonts w:eastAsiaTheme="minorEastAsia"/>
        </w:rPr>
        <w:t>Godinez</w:t>
      </w:r>
      <w:proofErr w:type="spellEnd"/>
      <w:r w:rsidRPr="20340972">
        <w:rPr>
          <w:rFonts w:eastAsiaTheme="minorEastAsia"/>
        </w:rPr>
        <w:t>-Zamora, G., Quirós-</w:t>
      </w:r>
      <w:proofErr w:type="spellStart"/>
      <w:r w:rsidRPr="20340972">
        <w:rPr>
          <w:rFonts w:eastAsiaTheme="minorEastAsia"/>
        </w:rPr>
        <w:t>Tortós</w:t>
      </w:r>
      <w:proofErr w:type="spellEnd"/>
      <w:r w:rsidRPr="20340972">
        <w:rPr>
          <w:rFonts w:eastAsiaTheme="minorEastAsia"/>
        </w:rPr>
        <w:t>, J., De León, F., Saavedra Gómez, V.</w:t>
      </w:r>
      <w:r w:rsidR="6651D30A" w:rsidRPr="20340972">
        <w:rPr>
          <w:rFonts w:eastAsiaTheme="minorEastAsia"/>
        </w:rPr>
        <w:t xml:space="preserve"> y </w:t>
      </w:r>
      <w:r w:rsidRPr="20340972">
        <w:rPr>
          <w:rFonts w:eastAsiaTheme="minorEastAsia"/>
        </w:rPr>
        <w:t>Vogt-</w:t>
      </w:r>
      <w:proofErr w:type="spellStart"/>
      <w:r w:rsidRPr="20340972">
        <w:rPr>
          <w:rFonts w:eastAsiaTheme="minorEastAsia"/>
        </w:rPr>
        <w:t>Schilb</w:t>
      </w:r>
      <w:proofErr w:type="spellEnd"/>
      <w:r w:rsidRPr="20340972">
        <w:rPr>
          <w:rFonts w:eastAsiaTheme="minorEastAsia"/>
        </w:rPr>
        <w:t xml:space="preserve">, A. (2020). </w:t>
      </w:r>
      <w:proofErr w:type="gramStart"/>
      <w:r w:rsidRPr="0055323A">
        <w:rPr>
          <w:rFonts w:eastAsiaTheme="minorEastAsia"/>
          <w:i/>
          <w:iCs/>
          <w:lang w:val="en-US"/>
        </w:rPr>
        <w:t>The  benefits</w:t>
      </w:r>
      <w:proofErr w:type="gramEnd"/>
      <w:r w:rsidRPr="0055323A">
        <w:rPr>
          <w:rFonts w:eastAsiaTheme="minorEastAsia"/>
          <w:i/>
          <w:iCs/>
          <w:lang w:val="en-US"/>
        </w:rPr>
        <w:t xml:space="preserve">  and  costs  of  decarbonizing  Costa  Rica’s  economy:  informing  the  implementation  of  Costa  Rica's  National Decarbonization Plan under uncertainty</w:t>
      </w:r>
      <w:r w:rsidRPr="0055323A">
        <w:rPr>
          <w:rFonts w:eastAsiaTheme="minorEastAsia"/>
          <w:lang w:val="en-US"/>
        </w:rPr>
        <w:t>. IDB Monograph, 863. In</w:t>
      </w:r>
      <w:r w:rsidRPr="0055323A">
        <w:rPr>
          <w:lang w:val="en-US"/>
        </w:rPr>
        <w:t>ter-</w:t>
      </w:r>
      <w:proofErr w:type="gramStart"/>
      <w:r w:rsidRPr="0055323A">
        <w:rPr>
          <w:lang w:val="en-US"/>
        </w:rPr>
        <w:t>American  Development</w:t>
      </w:r>
      <w:proofErr w:type="gramEnd"/>
      <w:r w:rsidRPr="0055323A">
        <w:rPr>
          <w:lang w:val="en-US"/>
        </w:rPr>
        <w:t xml:space="preserve">  Bank. </w:t>
      </w:r>
      <w:hyperlink r:id="rId17">
        <w:r w:rsidRPr="0055323A">
          <w:rPr>
            <w:rStyle w:val="Hipervnculo"/>
            <w:rFonts w:ascii="Calibri" w:eastAsia="Calibri" w:hAnsi="Calibri" w:cs="Calibri"/>
            <w:lang w:val="en-US"/>
          </w:rPr>
          <w:t>http://dx.doi.org/10.18235/0002870</w:t>
        </w:r>
      </w:hyperlink>
    </w:p>
    <w:p w14:paraId="321C4F06" w14:textId="77777777" w:rsidR="00BB4692" w:rsidRDefault="42E7206E" w:rsidP="00BB4692">
      <w:pPr>
        <w:spacing w:after="0"/>
        <w:ind w:left="720" w:hanging="720"/>
        <w:jc w:val="both"/>
        <w:rPr>
          <w:rStyle w:val="Hipervnculo"/>
          <w:rFonts w:ascii="Calibri" w:eastAsia="Calibri" w:hAnsi="Calibri" w:cs="Calibri"/>
        </w:rPr>
      </w:pPr>
      <w:r w:rsidRPr="20340972">
        <w:rPr>
          <w:rFonts w:eastAsiaTheme="minorEastAsia"/>
        </w:rPr>
        <w:t>MINAE, IMN</w:t>
      </w:r>
      <w:r w:rsidR="2B30B973" w:rsidRPr="20340972">
        <w:rPr>
          <w:rFonts w:eastAsiaTheme="minorEastAsia"/>
        </w:rPr>
        <w:t>. (20</w:t>
      </w:r>
      <w:r w:rsidR="77D50F0E" w:rsidRPr="20340972">
        <w:rPr>
          <w:rFonts w:eastAsiaTheme="minorEastAsia"/>
        </w:rPr>
        <w:t>21</w:t>
      </w:r>
      <w:r w:rsidR="2B30B973" w:rsidRPr="20340972">
        <w:rPr>
          <w:rFonts w:eastAsiaTheme="minorEastAsia"/>
        </w:rPr>
        <w:t>)</w:t>
      </w:r>
      <w:r w:rsidR="0E8968E9" w:rsidRPr="20340972">
        <w:rPr>
          <w:rFonts w:eastAsiaTheme="minorEastAsia"/>
        </w:rPr>
        <w:t>.</w:t>
      </w:r>
      <w:r w:rsidR="0E8968E9" w:rsidRPr="20340972">
        <w:rPr>
          <w:rFonts w:eastAsiaTheme="minorEastAsia"/>
          <w:i/>
          <w:iCs/>
        </w:rPr>
        <w:t xml:space="preserve"> </w:t>
      </w:r>
      <w:r w:rsidR="5ADC9BB9" w:rsidRPr="20340972">
        <w:rPr>
          <w:rFonts w:ascii="Calibri" w:eastAsia="Calibri" w:hAnsi="Calibri" w:cs="Calibri"/>
          <w:i/>
          <w:iCs/>
        </w:rPr>
        <w:t>Inventario Nacional de gases de efecto invernadero y absorción de carbono 1990-2017</w:t>
      </w:r>
      <w:r w:rsidR="5ADC9BB9" w:rsidRPr="20340972">
        <w:rPr>
          <w:rFonts w:ascii="Calibri" w:eastAsia="Calibri" w:hAnsi="Calibri" w:cs="Calibri"/>
        </w:rPr>
        <w:t>.</w:t>
      </w:r>
      <w:r w:rsidR="559B8B14" w:rsidRPr="20340972">
        <w:rPr>
          <w:rFonts w:ascii="Calibri" w:eastAsia="Calibri" w:hAnsi="Calibri" w:cs="Calibri"/>
        </w:rPr>
        <w:t xml:space="preserve"> Ministerio de Ambiente y Energía Instituto Meteorológico Nacional</w:t>
      </w:r>
      <w:r w:rsidR="3B0F1468" w:rsidRPr="20340972">
        <w:rPr>
          <w:rFonts w:ascii="Calibri" w:eastAsia="Calibri" w:hAnsi="Calibri" w:cs="Calibri"/>
        </w:rPr>
        <w:t xml:space="preserve"> </w:t>
      </w:r>
      <w:hyperlink r:id="rId18">
        <w:r w:rsidR="3B0F1468" w:rsidRPr="20340972">
          <w:rPr>
            <w:rStyle w:val="Hipervnculo"/>
            <w:rFonts w:ascii="Calibri" w:eastAsia="Calibri" w:hAnsi="Calibri" w:cs="Calibri"/>
          </w:rPr>
          <w:t>http://cglobal.imn.ac.cr/documentos/publicaciones/InventariosGEI/InventarioGEI-2017/offline/InventarioGEI2017.pdf</w:t>
        </w:r>
      </w:hyperlink>
    </w:p>
    <w:p w14:paraId="109F3EBC" w14:textId="7E202444" w:rsidR="00BB4692" w:rsidRPr="00BB4692" w:rsidRDefault="00BB4692" w:rsidP="00BB4692">
      <w:pPr>
        <w:spacing w:after="0"/>
        <w:ind w:left="720" w:hanging="720"/>
        <w:jc w:val="both"/>
        <w:rPr>
          <w:rFonts w:eastAsiaTheme="minorEastAsia"/>
        </w:rPr>
      </w:pPr>
      <w:r w:rsidRPr="00BB4692">
        <w:rPr>
          <w:rFonts w:eastAsiaTheme="minorEastAsia"/>
        </w:rPr>
        <w:t xml:space="preserve">Pearce, D., </w:t>
      </w:r>
      <w:proofErr w:type="spellStart"/>
      <w:r w:rsidRPr="00BB4692">
        <w:rPr>
          <w:rFonts w:eastAsiaTheme="minorEastAsia"/>
        </w:rPr>
        <w:t>Markandya</w:t>
      </w:r>
      <w:proofErr w:type="spellEnd"/>
      <w:r w:rsidRPr="00BB4692">
        <w:rPr>
          <w:rFonts w:eastAsiaTheme="minorEastAsia"/>
        </w:rPr>
        <w:t xml:space="preserve">, A., y </w:t>
      </w:r>
      <w:proofErr w:type="spellStart"/>
      <w:r w:rsidRPr="00BB4692">
        <w:rPr>
          <w:rFonts w:eastAsiaTheme="minorEastAsia"/>
        </w:rPr>
        <w:t>Barbier</w:t>
      </w:r>
      <w:proofErr w:type="spellEnd"/>
      <w:r w:rsidRPr="00BB4692">
        <w:rPr>
          <w:rFonts w:eastAsiaTheme="minorEastAsia"/>
        </w:rPr>
        <w:t>, E. B. (1989). B</w:t>
      </w:r>
      <w:r w:rsidRPr="00BB4692">
        <w:rPr>
          <w:rFonts w:eastAsiaTheme="minorEastAsia"/>
          <w:i/>
          <w:iCs/>
        </w:rPr>
        <w:t>lueprint for a green economy (Report for the</w:t>
      </w:r>
      <w:r w:rsidRPr="00BB4692">
        <w:rPr>
          <w:rFonts w:eastAsiaTheme="minorEastAsia"/>
          <w:i/>
          <w:iCs/>
        </w:rPr>
        <w:t xml:space="preserve"> </w:t>
      </w:r>
      <w:r w:rsidRPr="00BB4692">
        <w:rPr>
          <w:rFonts w:eastAsiaTheme="minorEastAsia"/>
          <w:i/>
          <w:iCs/>
        </w:rPr>
        <w:t>Department of Environment, UK, prepared by the London Environmental Economics Centre)</w:t>
      </w:r>
      <w:r w:rsidRPr="00BB4692">
        <w:rPr>
          <w:rFonts w:eastAsiaTheme="minorEastAsia"/>
        </w:rPr>
        <w:t xml:space="preserve">. </w:t>
      </w:r>
      <w:r w:rsidRPr="00BB4692">
        <w:rPr>
          <w:rFonts w:eastAsiaTheme="minorEastAsia"/>
        </w:rPr>
        <w:t xml:space="preserve"> </w:t>
      </w:r>
      <w:r w:rsidRPr="00BB4692">
        <w:rPr>
          <w:rFonts w:eastAsiaTheme="minorEastAsia"/>
        </w:rPr>
        <w:t>Earthscan Publications Ltd</w:t>
      </w:r>
      <w:r w:rsidRPr="00BB4692">
        <w:rPr>
          <w:rFonts w:eastAsiaTheme="minorEastAsia"/>
        </w:rPr>
        <w:t>.</w:t>
      </w:r>
    </w:p>
    <w:p w14:paraId="100618CE" w14:textId="77777777" w:rsidR="00BB4692" w:rsidRDefault="00BB4692" w:rsidP="20340972">
      <w:pPr>
        <w:spacing w:after="0"/>
        <w:ind w:left="720" w:hanging="720"/>
        <w:jc w:val="both"/>
        <w:rPr>
          <w:rFonts w:eastAsiaTheme="minorEastAsia"/>
        </w:rPr>
      </w:pPr>
    </w:p>
    <w:p w14:paraId="42497420" w14:textId="45600755" w:rsidR="65F5448C" w:rsidRDefault="7C7EA43F" w:rsidP="20340972">
      <w:pPr>
        <w:spacing w:after="0"/>
        <w:ind w:left="720" w:hanging="720"/>
        <w:jc w:val="both"/>
        <w:rPr>
          <w:rFonts w:eastAsiaTheme="minorEastAsia"/>
        </w:rPr>
      </w:pPr>
      <w:r w:rsidRPr="20340972">
        <w:rPr>
          <w:rFonts w:eastAsiaTheme="minorEastAsia"/>
        </w:rPr>
        <w:t xml:space="preserve">Programa Estado de la Nación. (2018). </w:t>
      </w:r>
      <w:r w:rsidRPr="20340972">
        <w:rPr>
          <w:rFonts w:eastAsiaTheme="minorEastAsia"/>
          <w:i/>
          <w:iCs/>
        </w:rPr>
        <w:t>Informe 2018: Estado de la Nación en desarrollo humano sostenible.</w:t>
      </w:r>
      <w:r w:rsidR="65403D3A" w:rsidRPr="20340972">
        <w:rPr>
          <w:rFonts w:eastAsiaTheme="minorEastAsia"/>
          <w:i/>
          <w:iCs/>
        </w:rPr>
        <w:t xml:space="preserve"> </w:t>
      </w:r>
      <w:hyperlink r:id="rId19">
        <w:r w:rsidR="65403D3A" w:rsidRPr="20340972">
          <w:rPr>
            <w:rStyle w:val="Hipervnculo"/>
            <w:rFonts w:eastAsiaTheme="minorEastAsia"/>
          </w:rPr>
          <w:t>https://repositorio.conare.ac.cr/handle/20.500.12337/2983</w:t>
        </w:r>
      </w:hyperlink>
    </w:p>
    <w:p w14:paraId="74EFAF29" w14:textId="37992766" w:rsidR="65F5448C" w:rsidRDefault="6BA651ED" w:rsidP="4D0D7B9E">
      <w:pPr>
        <w:spacing w:after="0"/>
        <w:ind w:left="720" w:hanging="720"/>
        <w:jc w:val="both"/>
        <w:rPr>
          <w:rStyle w:val="Hipervnculo"/>
          <w:rFonts w:eastAsiaTheme="minorEastAsia"/>
        </w:rPr>
      </w:pPr>
      <w:r w:rsidRPr="20340972">
        <w:rPr>
          <w:rFonts w:eastAsiaTheme="minorEastAsia"/>
        </w:rPr>
        <w:t xml:space="preserve">Sánchez-Chaves, O., </w:t>
      </w:r>
      <w:r w:rsidR="052D6271" w:rsidRPr="20340972">
        <w:rPr>
          <w:rFonts w:eastAsiaTheme="minorEastAsia"/>
        </w:rPr>
        <w:t>y</w:t>
      </w:r>
      <w:r w:rsidRPr="20340972">
        <w:rPr>
          <w:rFonts w:eastAsiaTheme="minorEastAsia"/>
        </w:rPr>
        <w:t xml:space="preserve"> Navarrete-Chacón, G. (2017). La experiencia de Costa Rica en el pago por servicios ambientales: 20 años de lecciones aprendidas. </w:t>
      </w:r>
      <w:r w:rsidRPr="20340972">
        <w:rPr>
          <w:rFonts w:eastAsiaTheme="minorEastAsia"/>
          <w:i/>
          <w:iCs/>
        </w:rPr>
        <w:t>Revista De Ciencias Ambientales</w:t>
      </w:r>
      <w:r w:rsidRPr="20340972">
        <w:rPr>
          <w:rFonts w:eastAsiaTheme="minorEastAsia"/>
        </w:rPr>
        <w:t xml:space="preserve">, </w:t>
      </w:r>
      <w:r w:rsidRPr="20340972">
        <w:rPr>
          <w:rFonts w:eastAsiaTheme="minorEastAsia"/>
          <w:i/>
          <w:iCs/>
        </w:rPr>
        <w:t>51</w:t>
      </w:r>
      <w:r w:rsidRPr="20340972">
        <w:rPr>
          <w:rFonts w:eastAsiaTheme="minorEastAsia"/>
        </w:rPr>
        <w:t xml:space="preserve">(2), 195-214. </w:t>
      </w:r>
      <w:hyperlink r:id="rId20">
        <w:r w:rsidRPr="20340972">
          <w:rPr>
            <w:rStyle w:val="Hipervnculo"/>
            <w:rFonts w:eastAsiaTheme="minorEastAsia"/>
          </w:rPr>
          <w:t>https://doi.org/10.15359/rca.51-2.11</w:t>
        </w:r>
      </w:hyperlink>
    </w:p>
    <w:p w14:paraId="65D4D609" w14:textId="5F2F25BE" w:rsidR="007771A6" w:rsidRPr="007771A6" w:rsidRDefault="007771A6" w:rsidP="007771A6">
      <w:pPr>
        <w:spacing w:after="0"/>
        <w:ind w:left="720" w:hanging="720"/>
        <w:jc w:val="both"/>
        <w:rPr>
          <w:rFonts w:eastAsiaTheme="minorEastAsia"/>
          <w:lang w:val="en-US"/>
        </w:rPr>
      </w:pPr>
      <w:r w:rsidRPr="007771A6">
        <w:rPr>
          <w:rFonts w:eastAsiaTheme="minorEastAsia"/>
          <w:lang w:val="en-US"/>
        </w:rPr>
        <w:t>UNEP</w:t>
      </w:r>
      <w:r>
        <w:rPr>
          <w:rFonts w:eastAsiaTheme="minorEastAsia"/>
          <w:lang w:val="en-US"/>
        </w:rPr>
        <w:t>. (</w:t>
      </w:r>
      <w:r w:rsidRPr="007771A6">
        <w:rPr>
          <w:rFonts w:eastAsiaTheme="minorEastAsia"/>
          <w:lang w:val="en-US"/>
        </w:rPr>
        <w:t>2011</w:t>
      </w:r>
      <w:r>
        <w:rPr>
          <w:rFonts w:eastAsiaTheme="minorEastAsia"/>
          <w:lang w:val="en-US"/>
        </w:rPr>
        <w:t>).</w:t>
      </w:r>
      <w:r w:rsidRPr="007771A6">
        <w:rPr>
          <w:rFonts w:eastAsiaTheme="minorEastAsia"/>
          <w:lang w:val="en-US"/>
        </w:rPr>
        <w:t xml:space="preserve"> Towards a Green Economy: Pathways to Sustainable Development and</w:t>
      </w:r>
      <w:r>
        <w:rPr>
          <w:rFonts w:eastAsiaTheme="minorEastAsia"/>
          <w:lang w:val="en-US"/>
        </w:rPr>
        <w:t xml:space="preserve"> </w:t>
      </w:r>
      <w:r w:rsidRPr="007771A6">
        <w:rPr>
          <w:rFonts w:eastAsiaTheme="minorEastAsia"/>
          <w:lang w:val="en-US"/>
        </w:rPr>
        <w:t>Poverty Eradication - A Synthesis for Policy Makers</w:t>
      </w:r>
      <w:r>
        <w:rPr>
          <w:rFonts w:eastAsiaTheme="minorEastAsia"/>
          <w:lang w:val="en-US"/>
        </w:rPr>
        <w:t>.</w:t>
      </w:r>
      <w:r w:rsidRPr="007771A6">
        <w:rPr>
          <w:rFonts w:eastAsiaTheme="minorEastAsia"/>
          <w:lang w:val="en-US"/>
        </w:rPr>
        <w:t xml:space="preserve"> </w:t>
      </w:r>
      <w:hyperlink r:id="rId21" w:history="1">
        <w:r w:rsidRPr="00A07EE3">
          <w:rPr>
            <w:rStyle w:val="Hipervnculo"/>
            <w:rFonts w:eastAsiaTheme="minorEastAsia"/>
            <w:lang w:val="en-US"/>
          </w:rPr>
          <w:t>www.unep.org/greeneconomy</w:t>
        </w:r>
      </w:hyperlink>
      <w:r>
        <w:rPr>
          <w:rFonts w:eastAsiaTheme="minorEastAsia"/>
          <w:lang w:val="en-US"/>
        </w:rPr>
        <w:t xml:space="preserve"> </w:t>
      </w:r>
    </w:p>
    <w:p w14:paraId="453DB246" w14:textId="7196B3C4" w:rsidR="20340972" w:rsidRPr="007771A6" w:rsidRDefault="20340972" w:rsidP="20340972">
      <w:pPr>
        <w:spacing w:after="0"/>
        <w:ind w:left="720" w:hanging="720"/>
        <w:jc w:val="both"/>
        <w:rPr>
          <w:rFonts w:eastAsiaTheme="minorEastAsia"/>
          <w:lang w:val="en-US"/>
        </w:rPr>
      </w:pPr>
    </w:p>
    <w:p w14:paraId="512F97F7" w14:textId="6101BCAD" w:rsidR="20340972" w:rsidRPr="007771A6" w:rsidRDefault="20340972" w:rsidP="20340972">
      <w:pPr>
        <w:spacing w:after="0"/>
        <w:ind w:left="720" w:hanging="720"/>
        <w:jc w:val="both"/>
        <w:rPr>
          <w:lang w:val="en-US"/>
        </w:rPr>
      </w:pPr>
    </w:p>
    <w:p w14:paraId="3E76ACFD" w14:textId="276968D5" w:rsidR="20340972" w:rsidRPr="007771A6" w:rsidRDefault="20340972" w:rsidP="20340972">
      <w:pPr>
        <w:spacing w:after="0"/>
        <w:ind w:left="720" w:hanging="720"/>
        <w:jc w:val="both"/>
        <w:rPr>
          <w:lang w:val="en-US"/>
        </w:rPr>
      </w:pPr>
    </w:p>
    <w:p w14:paraId="652841EF" w14:textId="598C16D4" w:rsidR="20340972" w:rsidRPr="007771A6" w:rsidRDefault="20340972" w:rsidP="20340972">
      <w:pPr>
        <w:spacing w:after="0"/>
        <w:ind w:left="720" w:hanging="720"/>
        <w:jc w:val="both"/>
        <w:rPr>
          <w:rFonts w:eastAsiaTheme="minorEastAsia"/>
          <w:lang w:val="en-US"/>
        </w:rPr>
      </w:pPr>
    </w:p>
    <w:p w14:paraId="44E4F5FA" w14:textId="7153D434" w:rsidR="20340972" w:rsidRPr="007771A6" w:rsidRDefault="20340972" w:rsidP="20340972">
      <w:pPr>
        <w:spacing w:after="0"/>
        <w:ind w:left="720" w:hanging="720"/>
        <w:jc w:val="both"/>
        <w:rPr>
          <w:rFonts w:eastAsiaTheme="minorEastAsia"/>
          <w:lang w:val="en-US"/>
        </w:rPr>
      </w:pPr>
    </w:p>
    <w:p w14:paraId="5F49C07A" w14:textId="09CC5BF1" w:rsidR="4D0D7B9E" w:rsidRPr="007771A6" w:rsidRDefault="4D0D7B9E" w:rsidP="4D0D7B9E">
      <w:pPr>
        <w:spacing w:after="0"/>
        <w:ind w:left="720" w:hanging="720"/>
        <w:jc w:val="both"/>
        <w:rPr>
          <w:rFonts w:eastAsiaTheme="minorEastAsia"/>
          <w:lang w:val="en-US"/>
        </w:rPr>
      </w:pPr>
    </w:p>
    <w:p w14:paraId="3FCF36D0" w14:textId="1D9EB549" w:rsidR="20340972" w:rsidRPr="007771A6" w:rsidRDefault="20340972" w:rsidP="20340972">
      <w:pPr>
        <w:spacing w:after="0"/>
        <w:jc w:val="both"/>
        <w:rPr>
          <w:rFonts w:ascii="Calibri" w:eastAsia="Calibri" w:hAnsi="Calibri" w:cs="Calibri"/>
          <w:color w:val="000000" w:themeColor="text1"/>
          <w:lang w:val="en-US"/>
        </w:rPr>
      </w:pPr>
    </w:p>
    <w:p w14:paraId="00A709AE" w14:textId="7B9CE938" w:rsidR="20340972" w:rsidRPr="007771A6" w:rsidRDefault="20340972" w:rsidP="20340972">
      <w:pPr>
        <w:spacing w:after="0"/>
        <w:ind w:left="720" w:hanging="720"/>
        <w:jc w:val="both"/>
        <w:rPr>
          <w:rFonts w:ascii="Calibri" w:eastAsia="Calibri" w:hAnsi="Calibri" w:cs="Calibri"/>
          <w:color w:val="000000" w:themeColor="text1"/>
          <w:lang w:val="en-US"/>
        </w:rPr>
      </w:pPr>
    </w:p>
    <w:p w14:paraId="26121D99" w14:textId="5E392301" w:rsidR="04A70CEF" w:rsidRDefault="04A70CEF" w:rsidP="20340972">
      <w:pPr>
        <w:spacing w:after="0"/>
        <w:ind w:left="720" w:hanging="720"/>
        <w:jc w:val="both"/>
      </w:pPr>
      <w:r>
        <w:t xml:space="preserve">. </w:t>
      </w:r>
    </w:p>
    <w:sectPr w:rsidR="04A70CEF">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SUS UGALDE GOMEZ" w:date="2022-12-02T15:03:00Z" w:initials="JG">
    <w:p w14:paraId="1A8DFC21" w14:textId="202B7915" w:rsidR="4D0D7B9E" w:rsidRDefault="4D0D7B9E">
      <w:r>
        <w:t>Falta la cita de UNEP, 2010 en el pie de página.</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8DFC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02243B8" w16cex:dateUtc="2022-12-02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DFC21" w16cid:durableId="302243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A17A1" w14:textId="77777777" w:rsidR="0025173B" w:rsidRDefault="0025173B" w:rsidP="00AC12C8">
      <w:pPr>
        <w:spacing w:after="0" w:line="240" w:lineRule="auto"/>
      </w:pPr>
      <w:r>
        <w:separator/>
      </w:r>
    </w:p>
  </w:endnote>
  <w:endnote w:type="continuationSeparator" w:id="0">
    <w:p w14:paraId="5BD5C9C3" w14:textId="77777777" w:rsidR="0025173B" w:rsidRDefault="0025173B" w:rsidP="00AC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987D" w14:textId="77777777" w:rsidR="0025173B" w:rsidRDefault="0025173B" w:rsidP="00AC12C8">
      <w:pPr>
        <w:spacing w:after="0" w:line="240" w:lineRule="auto"/>
      </w:pPr>
      <w:r>
        <w:separator/>
      </w:r>
    </w:p>
  </w:footnote>
  <w:footnote w:type="continuationSeparator" w:id="0">
    <w:p w14:paraId="44286F0B" w14:textId="77777777" w:rsidR="0025173B" w:rsidRDefault="0025173B" w:rsidP="00AC12C8">
      <w:pPr>
        <w:spacing w:after="0" w:line="240" w:lineRule="auto"/>
      </w:pPr>
      <w:r>
        <w:continuationSeparator/>
      </w:r>
    </w:p>
  </w:footnote>
  <w:footnote w:id="1">
    <w:p w14:paraId="0F19BA39" w14:textId="4E35D90B" w:rsidR="00AC12C8" w:rsidRPr="00AC12C8" w:rsidRDefault="00AC12C8" w:rsidP="00AC12C8">
      <w:pPr>
        <w:autoSpaceDE w:val="0"/>
        <w:autoSpaceDN w:val="0"/>
        <w:adjustRightInd w:val="0"/>
        <w:spacing w:after="0" w:line="240" w:lineRule="auto"/>
        <w:rPr>
          <w:rFonts w:ascii="MyriadPro-Regular" w:hAnsi="MyriadPro-Regular" w:cs="MyriadPro-Regular"/>
          <w:sz w:val="20"/>
          <w:szCs w:val="20"/>
        </w:rPr>
      </w:pPr>
      <w:r>
        <w:rPr>
          <w:rStyle w:val="Refdenotaalpie"/>
        </w:rPr>
        <w:footnoteRef/>
      </w:r>
      <w:r w:rsidR="4D0D7B9E">
        <w:rPr>
          <w:rFonts w:ascii="MyriadPro-Regular" w:hAnsi="MyriadPro-Regular" w:cs="MyriadPro-Regular"/>
          <w:sz w:val="20"/>
          <w:szCs w:val="20"/>
        </w:rPr>
        <w:t xml:space="preserve"> Consenso alcanzado sobre la definición de desarrollo sostenible </w:t>
      </w:r>
      <w:r w:rsidR="0018558D">
        <w:rPr>
          <w:rFonts w:ascii="MyriadPro-Regular" w:hAnsi="MyriadPro-Regular" w:cs="MyriadPro-Regular"/>
          <w:sz w:val="20"/>
          <w:szCs w:val="20"/>
        </w:rPr>
        <w:t xml:space="preserve">de </w:t>
      </w:r>
      <w:r w:rsidR="4D0D7B9E">
        <w:rPr>
          <w:rFonts w:ascii="MyriadPro-Regular" w:hAnsi="MyriadPro-Regular" w:cs="MyriadPro-Regular"/>
          <w:sz w:val="20"/>
          <w:szCs w:val="20"/>
        </w:rPr>
        <w:t xml:space="preserve">la Comisión Mundial para el Medio Ambiente y el Desarrollo </w:t>
      </w:r>
      <w:r w:rsidR="00E53F4B">
        <w:rPr>
          <w:rFonts w:ascii="MyriadPro-Regular" w:hAnsi="MyriadPro-Regular" w:cs="MyriadPro-Regular"/>
          <w:sz w:val="20"/>
          <w:szCs w:val="20"/>
        </w:rPr>
        <w:t xml:space="preserve">publicado en su informe en </w:t>
      </w:r>
      <w:r w:rsidR="4D0D7B9E">
        <w:rPr>
          <w:rFonts w:ascii="MyriadPro-Regular" w:hAnsi="MyriadPro-Regular" w:cs="MyriadPro-Regular"/>
          <w:sz w:val="20"/>
          <w:szCs w:val="20"/>
        </w:rPr>
        <w:t>1987.</w:t>
      </w:r>
    </w:p>
  </w:footnote>
  <w:footnote w:id="2">
    <w:p w14:paraId="27AC5F90" w14:textId="412F6AEB" w:rsidR="00CF024D" w:rsidRDefault="00CF024D">
      <w:pPr>
        <w:pStyle w:val="Textonotapie"/>
      </w:pPr>
      <w:r>
        <w:rPr>
          <w:rStyle w:val="Refdenotaalpie"/>
        </w:rPr>
        <w:footnoteRef/>
      </w:r>
      <w:r w:rsidRPr="00CF024D">
        <w:t>“aquella economía que resulta en un mejor bienestar humano y equidad social, reduciendo</w:t>
      </w:r>
      <w:r w:rsidR="00C3024F">
        <w:t xml:space="preserve"> </w:t>
      </w:r>
      <w:r w:rsidRPr="00CF024D">
        <w:t>significativamente los riesgos ambientales y las escaseces ecológicas”</w:t>
      </w:r>
      <w:r>
        <w:t xml:space="preserve"> (</w:t>
      </w:r>
      <w:r w:rsidRPr="007771A6">
        <w:rPr>
          <w:color w:val="4472C4" w:themeColor="accent1"/>
        </w:rPr>
        <w:t>UNEP, 201</w:t>
      </w:r>
      <w:r w:rsidR="007771A6" w:rsidRPr="007771A6">
        <w:rPr>
          <w:color w:val="4472C4" w:themeColor="accent1"/>
        </w:rPr>
        <w:t>1</w:t>
      </w:r>
      <w:r>
        <w:t>)</w:t>
      </w:r>
      <w:r w:rsidR="00A86967">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UGALDE GOMEZ">
    <w15:presenceInfo w15:providerId="AD" w15:userId="S::jesus.ugalde.gomez@una.ac.cr::721ab954-a47a-4baf-93fd-652f5d04eb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AF"/>
    <w:rsid w:val="00050A8D"/>
    <w:rsid w:val="00053193"/>
    <w:rsid w:val="000744B8"/>
    <w:rsid w:val="00092816"/>
    <w:rsid w:val="000A29E2"/>
    <w:rsid w:val="00117014"/>
    <w:rsid w:val="00120DD9"/>
    <w:rsid w:val="00183D37"/>
    <w:rsid w:val="00184ED3"/>
    <w:rsid w:val="0018558D"/>
    <w:rsid w:val="00186799"/>
    <w:rsid w:val="001947FF"/>
    <w:rsid w:val="001978DD"/>
    <w:rsid w:val="001B339B"/>
    <w:rsid w:val="001B7ABD"/>
    <w:rsid w:val="001C7DA2"/>
    <w:rsid w:val="001D15DA"/>
    <w:rsid w:val="001E6D20"/>
    <w:rsid w:val="001F1C89"/>
    <w:rsid w:val="00212F72"/>
    <w:rsid w:val="002400FC"/>
    <w:rsid w:val="0024081B"/>
    <w:rsid w:val="0025173B"/>
    <w:rsid w:val="00271A4C"/>
    <w:rsid w:val="002A6B24"/>
    <w:rsid w:val="002B59DD"/>
    <w:rsid w:val="002C2420"/>
    <w:rsid w:val="00314B4F"/>
    <w:rsid w:val="003162D4"/>
    <w:rsid w:val="00372DFE"/>
    <w:rsid w:val="00374624"/>
    <w:rsid w:val="003B0E61"/>
    <w:rsid w:val="003C43A9"/>
    <w:rsid w:val="003E23C6"/>
    <w:rsid w:val="003F783C"/>
    <w:rsid w:val="004A59B4"/>
    <w:rsid w:val="004F0A88"/>
    <w:rsid w:val="00524414"/>
    <w:rsid w:val="005362AF"/>
    <w:rsid w:val="00550F9C"/>
    <w:rsid w:val="0055323A"/>
    <w:rsid w:val="005628F5"/>
    <w:rsid w:val="00594530"/>
    <w:rsid w:val="005F1B21"/>
    <w:rsid w:val="005F3C82"/>
    <w:rsid w:val="00667BA4"/>
    <w:rsid w:val="0069315D"/>
    <w:rsid w:val="00693992"/>
    <w:rsid w:val="006B51A3"/>
    <w:rsid w:val="006E43F9"/>
    <w:rsid w:val="00705A4C"/>
    <w:rsid w:val="007407AF"/>
    <w:rsid w:val="00753C89"/>
    <w:rsid w:val="00772DFD"/>
    <w:rsid w:val="00774BF2"/>
    <w:rsid w:val="007771A6"/>
    <w:rsid w:val="007D3673"/>
    <w:rsid w:val="007D5204"/>
    <w:rsid w:val="007F0A3B"/>
    <w:rsid w:val="00815BA8"/>
    <w:rsid w:val="00824DB0"/>
    <w:rsid w:val="00832F86"/>
    <w:rsid w:val="00836424"/>
    <w:rsid w:val="0085366E"/>
    <w:rsid w:val="008769DB"/>
    <w:rsid w:val="008A1C7E"/>
    <w:rsid w:val="008B700A"/>
    <w:rsid w:val="008D3560"/>
    <w:rsid w:val="008D79EB"/>
    <w:rsid w:val="00914323"/>
    <w:rsid w:val="00926D5E"/>
    <w:rsid w:val="00932ED4"/>
    <w:rsid w:val="009A78BA"/>
    <w:rsid w:val="009C04EB"/>
    <w:rsid w:val="009C358F"/>
    <w:rsid w:val="009D302E"/>
    <w:rsid w:val="009D4595"/>
    <w:rsid w:val="00A06839"/>
    <w:rsid w:val="00A40251"/>
    <w:rsid w:val="00A51FA7"/>
    <w:rsid w:val="00A57BB7"/>
    <w:rsid w:val="00A617AA"/>
    <w:rsid w:val="00A720CE"/>
    <w:rsid w:val="00A86967"/>
    <w:rsid w:val="00AB602C"/>
    <w:rsid w:val="00AC12C8"/>
    <w:rsid w:val="00AD2929"/>
    <w:rsid w:val="00AE430E"/>
    <w:rsid w:val="00AE60B5"/>
    <w:rsid w:val="00B0381C"/>
    <w:rsid w:val="00B43306"/>
    <w:rsid w:val="00B84AA5"/>
    <w:rsid w:val="00B8610D"/>
    <w:rsid w:val="00BA31E0"/>
    <w:rsid w:val="00BB4692"/>
    <w:rsid w:val="00BD5A6A"/>
    <w:rsid w:val="00C17092"/>
    <w:rsid w:val="00C3024F"/>
    <w:rsid w:val="00C40A91"/>
    <w:rsid w:val="00C85BDF"/>
    <w:rsid w:val="00C9217A"/>
    <w:rsid w:val="00CB42C2"/>
    <w:rsid w:val="00CE7B78"/>
    <w:rsid w:val="00CF024D"/>
    <w:rsid w:val="00CF2893"/>
    <w:rsid w:val="00D23B9C"/>
    <w:rsid w:val="00D747FC"/>
    <w:rsid w:val="00DC4139"/>
    <w:rsid w:val="00DC4BFF"/>
    <w:rsid w:val="00DD4986"/>
    <w:rsid w:val="00E11BCE"/>
    <w:rsid w:val="00E3120F"/>
    <w:rsid w:val="00E32224"/>
    <w:rsid w:val="00E53F4B"/>
    <w:rsid w:val="00E822B0"/>
    <w:rsid w:val="00EA2E13"/>
    <w:rsid w:val="00EC65EF"/>
    <w:rsid w:val="00F20F17"/>
    <w:rsid w:val="00F44C63"/>
    <w:rsid w:val="00F47DFE"/>
    <w:rsid w:val="00F90B88"/>
    <w:rsid w:val="00FB3D25"/>
    <w:rsid w:val="00FD4BF6"/>
    <w:rsid w:val="03A1BF2E"/>
    <w:rsid w:val="04A70CEF"/>
    <w:rsid w:val="04B31790"/>
    <w:rsid w:val="052D6271"/>
    <w:rsid w:val="05ED9056"/>
    <w:rsid w:val="0656EA99"/>
    <w:rsid w:val="06853452"/>
    <w:rsid w:val="08BAAA8B"/>
    <w:rsid w:val="0926BF2F"/>
    <w:rsid w:val="09954521"/>
    <w:rsid w:val="09FEF7C8"/>
    <w:rsid w:val="0A567AEC"/>
    <w:rsid w:val="0B9AC829"/>
    <w:rsid w:val="0BAE38A7"/>
    <w:rsid w:val="0C13490B"/>
    <w:rsid w:val="0C6587EF"/>
    <w:rsid w:val="0C6D7539"/>
    <w:rsid w:val="0CE8AD0D"/>
    <w:rsid w:val="0DBFE35D"/>
    <w:rsid w:val="0E6533A1"/>
    <w:rsid w:val="0E8968E9"/>
    <w:rsid w:val="0EB92591"/>
    <w:rsid w:val="0F6FBDC6"/>
    <w:rsid w:val="0F9600B3"/>
    <w:rsid w:val="102764B6"/>
    <w:rsid w:val="106E394C"/>
    <w:rsid w:val="1199AEAA"/>
    <w:rsid w:val="122BF27B"/>
    <w:rsid w:val="12D400E4"/>
    <w:rsid w:val="13802237"/>
    <w:rsid w:val="142E9FCE"/>
    <w:rsid w:val="14A0CE51"/>
    <w:rsid w:val="156DB5B6"/>
    <w:rsid w:val="15DEAB1B"/>
    <w:rsid w:val="1609C8F8"/>
    <w:rsid w:val="16F802F8"/>
    <w:rsid w:val="17A11298"/>
    <w:rsid w:val="17F4EACA"/>
    <w:rsid w:val="182AD1A1"/>
    <w:rsid w:val="18512F18"/>
    <w:rsid w:val="18757660"/>
    <w:rsid w:val="189EC9A3"/>
    <w:rsid w:val="199878E4"/>
    <w:rsid w:val="1A330701"/>
    <w:rsid w:val="1A926E77"/>
    <w:rsid w:val="1ABB5CED"/>
    <w:rsid w:val="1C20AEDA"/>
    <w:rsid w:val="1D4D903A"/>
    <w:rsid w:val="1DBD5CAB"/>
    <w:rsid w:val="1EC07BCE"/>
    <w:rsid w:val="1EC266E9"/>
    <w:rsid w:val="1ED2E595"/>
    <w:rsid w:val="1F18161E"/>
    <w:rsid w:val="1F20C34C"/>
    <w:rsid w:val="20340972"/>
    <w:rsid w:val="20696E93"/>
    <w:rsid w:val="20830E98"/>
    <w:rsid w:val="20FC4945"/>
    <w:rsid w:val="21062005"/>
    <w:rsid w:val="21067FDC"/>
    <w:rsid w:val="21518FB8"/>
    <w:rsid w:val="22295AF8"/>
    <w:rsid w:val="2276A5A8"/>
    <w:rsid w:val="232BFFCF"/>
    <w:rsid w:val="238C97DE"/>
    <w:rsid w:val="239E00B6"/>
    <w:rsid w:val="240E6231"/>
    <w:rsid w:val="25608FA5"/>
    <w:rsid w:val="266E3AC5"/>
    <w:rsid w:val="2733D707"/>
    <w:rsid w:val="280F0DA6"/>
    <w:rsid w:val="281B30DB"/>
    <w:rsid w:val="283AA7DE"/>
    <w:rsid w:val="28837D0D"/>
    <w:rsid w:val="2953A085"/>
    <w:rsid w:val="29632FA5"/>
    <w:rsid w:val="297C311F"/>
    <w:rsid w:val="2AA1C659"/>
    <w:rsid w:val="2B05D9F2"/>
    <w:rsid w:val="2B30B973"/>
    <w:rsid w:val="2BC971BA"/>
    <w:rsid w:val="2C6E3209"/>
    <w:rsid w:val="2CFEF434"/>
    <w:rsid w:val="2DCA6A14"/>
    <w:rsid w:val="2DE05207"/>
    <w:rsid w:val="2E08A007"/>
    <w:rsid w:val="2E450F54"/>
    <w:rsid w:val="2EF15206"/>
    <w:rsid w:val="2F01127C"/>
    <w:rsid w:val="2F7C2268"/>
    <w:rsid w:val="2FCA9FF4"/>
    <w:rsid w:val="30AB2ED7"/>
    <w:rsid w:val="310337C6"/>
    <w:rsid w:val="31667055"/>
    <w:rsid w:val="316E1AA7"/>
    <w:rsid w:val="3255F7ED"/>
    <w:rsid w:val="3279A691"/>
    <w:rsid w:val="34E91F1E"/>
    <w:rsid w:val="34F503B1"/>
    <w:rsid w:val="35C5327A"/>
    <w:rsid w:val="35F9A07E"/>
    <w:rsid w:val="36DA05CE"/>
    <w:rsid w:val="376B89A0"/>
    <w:rsid w:val="396A863B"/>
    <w:rsid w:val="3A1E45C2"/>
    <w:rsid w:val="3B0F1468"/>
    <w:rsid w:val="3B508771"/>
    <w:rsid w:val="3B6DFD89"/>
    <w:rsid w:val="3C248EDF"/>
    <w:rsid w:val="3C62475C"/>
    <w:rsid w:val="3C6292F6"/>
    <w:rsid w:val="3C9455F0"/>
    <w:rsid w:val="3CC08F89"/>
    <w:rsid w:val="3D3B4857"/>
    <w:rsid w:val="3D807B35"/>
    <w:rsid w:val="3DFE6357"/>
    <w:rsid w:val="3E37136A"/>
    <w:rsid w:val="3E6B0EDB"/>
    <w:rsid w:val="3EDD525A"/>
    <w:rsid w:val="3F2E3914"/>
    <w:rsid w:val="4095FAD6"/>
    <w:rsid w:val="41E25546"/>
    <w:rsid w:val="4256C48E"/>
    <w:rsid w:val="42651088"/>
    <w:rsid w:val="42E7206E"/>
    <w:rsid w:val="449F6D3A"/>
    <w:rsid w:val="44F133B2"/>
    <w:rsid w:val="44F6E362"/>
    <w:rsid w:val="451B9CAE"/>
    <w:rsid w:val="45753CF3"/>
    <w:rsid w:val="4609753C"/>
    <w:rsid w:val="47176CC3"/>
    <w:rsid w:val="480B2EBB"/>
    <w:rsid w:val="48B33D24"/>
    <w:rsid w:val="48D77DCB"/>
    <w:rsid w:val="49744809"/>
    <w:rsid w:val="4A4F0D85"/>
    <w:rsid w:val="4B3E988F"/>
    <w:rsid w:val="4D0D7B9E"/>
    <w:rsid w:val="4DAC2A5F"/>
    <w:rsid w:val="4F227EA8"/>
    <w:rsid w:val="50B03748"/>
    <w:rsid w:val="50D51209"/>
    <w:rsid w:val="5119FA4A"/>
    <w:rsid w:val="515B8935"/>
    <w:rsid w:val="516544F9"/>
    <w:rsid w:val="51ABB28D"/>
    <w:rsid w:val="51D71D92"/>
    <w:rsid w:val="52B2D8FB"/>
    <w:rsid w:val="530D7669"/>
    <w:rsid w:val="532F4051"/>
    <w:rsid w:val="53B76A9A"/>
    <w:rsid w:val="540D8396"/>
    <w:rsid w:val="54319308"/>
    <w:rsid w:val="559B8B14"/>
    <w:rsid w:val="55A2678D"/>
    <w:rsid w:val="56441348"/>
    <w:rsid w:val="56AB3720"/>
    <w:rsid w:val="56B27E20"/>
    <w:rsid w:val="56D9DA17"/>
    <w:rsid w:val="5801CBB4"/>
    <w:rsid w:val="583C9F00"/>
    <w:rsid w:val="59C5106C"/>
    <w:rsid w:val="5A187513"/>
    <w:rsid w:val="5A2C0B41"/>
    <w:rsid w:val="5A7A6206"/>
    <w:rsid w:val="5ADC9BB9"/>
    <w:rsid w:val="5C455594"/>
    <w:rsid w:val="5D23C6FC"/>
    <w:rsid w:val="5D44BFE3"/>
    <w:rsid w:val="5D641333"/>
    <w:rsid w:val="5D680E47"/>
    <w:rsid w:val="5E3F4541"/>
    <w:rsid w:val="5E4ADEB4"/>
    <w:rsid w:val="5EE09044"/>
    <w:rsid w:val="5F175272"/>
    <w:rsid w:val="5FB2404F"/>
    <w:rsid w:val="5FDB15A2"/>
    <w:rsid w:val="60E51632"/>
    <w:rsid w:val="60F73DC0"/>
    <w:rsid w:val="6149AA88"/>
    <w:rsid w:val="61BD6BB9"/>
    <w:rsid w:val="61F3F7E5"/>
    <w:rsid w:val="62D869B7"/>
    <w:rsid w:val="63650489"/>
    <w:rsid w:val="638AAC2A"/>
    <w:rsid w:val="6400B6A0"/>
    <w:rsid w:val="64CD7C31"/>
    <w:rsid w:val="65403D3A"/>
    <w:rsid w:val="65439E87"/>
    <w:rsid w:val="65F5448C"/>
    <w:rsid w:val="660225B9"/>
    <w:rsid w:val="6651D30A"/>
    <w:rsid w:val="66919330"/>
    <w:rsid w:val="68777A43"/>
    <w:rsid w:val="6A9AD66A"/>
    <w:rsid w:val="6AB53D49"/>
    <w:rsid w:val="6B4F9040"/>
    <w:rsid w:val="6B581ABE"/>
    <w:rsid w:val="6B6ABEA9"/>
    <w:rsid w:val="6BA651ED"/>
    <w:rsid w:val="6CF3EB1F"/>
    <w:rsid w:val="6E2D16AA"/>
    <w:rsid w:val="6E8056CE"/>
    <w:rsid w:val="6EF8243C"/>
    <w:rsid w:val="6F4F7F44"/>
    <w:rsid w:val="6FC524BC"/>
    <w:rsid w:val="6FC84D66"/>
    <w:rsid w:val="7013FFAB"/>
    <w:rsid w:val="7073A2A6"/>
    <w:rsid w:val="718E2910"/>
    <w:rsid w:val="727AD026"/>
    <w:rsid w:val="72FCED7D"/>
    <w:rsid w:val="732DA4A3"/>
    <w:rsid w:val="73F340E9"/>
    <w:rsid w:val="74B49DAD"/>
    <w:rsid w:val="74F6C6D1"/>
    <w:rsid w:val="752EF0F8"/>
    <w:rsid w:val="76F8A184"/>
    <w:rsid w:val="7700C8D9"/>
    <w:rsid w:val="775F5764"/>
    <w:rsid w:val="778EBE94"/>
    <w:rsid w:val="77D50F0E"/>
    <w:rsid w:val="7844B744"/>
    <w:rsid w:val="7854C92D"/>
    <w:rsid w:val="78723F45"/>
    <w:rsid w:val="789C993A"/>
    <w:rsid w:val="78C1A166"/>
    <w:rsid w:val="7903350F"/>
    <w:rsid w:val="7A44AEC6"/>
    <w:rsid w:val="7ACBF296"/>
    <w:rsid w:val="7C03CE2C"/>
    <w:rsid w:val="7C202252"/>
    <w:rsid w:val="7C35BDDF"/>
    <w:rsid w:val="7C5976FD"/>
    <w:rsid w:val="7C7EA43F"/>
    <w:rsid w:val="7C90AB2E"/>
    <w:rsid w:val="7CD4AF1D"/>
    <w:rsid w:val="7D1A9A3F"/>
    <w:rsid w:val="7D1E6951"/>
    <w:rsid w:val="7D6B0EDB"/>
    <w:rsid w:val="7F4967CA"/>
    <w:rsid w:val="7F7E4ED1"/>
    <w:rsid w:val="7FCE4A11"/>
    <w:rsid w:val="7FE289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68C9"/>
  <w15:chartTrackingRefBased/>
  <w15:docId w15:val="{C63542DD-FB18-4FC2-8AAD-D9AE608E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C12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12C8"/>
    <w:rPr>
      <w:sz w:val="20"/>
      <w:szCs w:val="20"/>
    </w:rPr>
  </w:style>
  <w:style w:type="character" w:styleId="Refdenotaalpie">
    <w:name w:val="footnote reference"/>
    <w:basedOn w:val="Fuentedeprrafopredeter"/>
    <w:uiPriority w:val="99"/>
    <w:semiHidden/>
    <w:unhideWhenUsed/>
    <w:rsid w:val="00AC12C8"/>
    <w:rPr>
      <w:vertAlign w:val="superscript"/>
    </w:rPr>
  </w:style>
  <w:style w:type="paragraph" w:styleId="Subttulo">
    <w:name w:val="Subtitle"/>
    <w:basedOn w:val="Normal"/>
    <w:next w:val="Normal"/>
    <w:link w:val="SubttuloCar"/>
    <w:uiPriority w:val="11"/>
    <w:qFormat/>
    <w:rsid w:val="00A8696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A86967"/>
    <w:rPr>
      <w:rFonts w:eastAsiaTheme="minorEastAsia"/>
      <w:color w:val="5A5A5A" w:themeColor="text1" w:themeTint="A5"/>
      <w:spacing w:val="15"/>
    </w:rPr>
  </w:style>
  <w:style w:type="paragraph" w:styleId="Ttulo">
    <w:name w:val="Title"/>
    <w:basedOn w:val="Normal"/>
    <w:next w:val="Normal"/>
    <w:link w:val="TtuloCar"/>
    <w:uiPriority w:val="10"/>
    <w:qFormat/>
    <w:rsid w:val="00A869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86967"/>
    <w:rPr>
      <w:rFonts w:asciiTheme="majorHAnsi" w:eastAsiaTheme="majorEastAsia" w:hAnsiTheme="majorHAnsi" w:cstheme="majorBidi"/>
      <w:spacing w:val="-10"/>
      <w:kern w:val="28"/>
      <w:sz w:val="56"/>
      <w:szCs w:val="56"/>
    </w:rPr>
  </w:style>
  <w:style w:type="paragraph" w:styleId="Revisin">
    <w:name w:val="Revision"/>
    <w:hidden/>
    <w:uiPriority w:val="99"/>
    <w:semiHidden/>
    <w:rsid w:val="00BD5A6A"/>
    <w:pPr>
      <w:spacing w:after="0" w:line="240" w:lineRule="auto"/>
    </w:pPr>
  </w:style>
  <w:style w:type="character" w:styleId="Hipervnculo">
    <w:name w:val="Hyperlink"/>
    <w:basedOn w:val="Fuentedeprrafopredeter"/>
    <w:uiPriority w:val="99"/>
    <w:unhideWhenUsed/>
    <w:rPr>
      <w:color w:val="0563C1" w:themeColor="hyperlink"/>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customStyle="1" w:styleId="Default">
    <w:name w:val="Default"/>
    <w:rsid w:val="001947F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Mencinsinresolver">
    <w:name w:val="Unresolved Mention"/>
    <w:basedOn w:val="Fuentedeprrafopredeter"/>
    <w:uiPriority w:val="99"/>
    <w:semiHidden/>
    <w:unhideWhenUsed/>
    <w:rsid w:val="001947FF"/>
    <w:rPr>
      <w:color w:val="605E5C"/>
      <w:shd w:val="clear" w:color="auto" w:fill="E1DFDD"/>
    </w:rPr>
  </w:style>
  <w:style w:type="paragraph" w:customStyle="1" w:styleId="pf0">
    <w:name w:val="pf0"/>
    <w:basedOn w:val="Normal"/>
    <w:rsid w:val="00BB46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Fuentedeprrafopredeter"/>
    <w:rsid w:val="00BB4692"/>
    <w:rPr>
      <w:rFonts w:ascii="Segoe UI" w:hAnsi="Segoe UI" w:cs="Segoe UI" w:hint="default"/>
      <w:sz w:val="18"/>
      <w:szCs w:val="18"/>
    </w:rPr>
  </w:style>
  <w:style w:type="character" w:customStyle="1" w:styleId="cf11">
    <w:name w:val="cf11"/>
    <w:basedOn w:val="Fuentedeprrafopredeter"/>
    <w:rsid w:val="00BB469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28989">
      <w:bodyDiv w:val="1"/>
      <w:marLeft w:val="0"/>
      <w:marRight w:val="0"/>
      <w:marTop w:val="0"/>
      <w:marBottom w:val="0"/>
      <w:divBdr>
        <w:top w:val="none" w:sz="0" w:space="0" w:color="auto"/>
        <w:left w:val="none" w:sz="0" w:space="0" w:color="auto"/>
        <w:bottom w:val="none" w:sz="0" w:space="0" w:color="auto"/>
        <w:right w:val="none" w:sz="0" w:space="0" w:color="auto"/>
      </w:divBdr>
    </w:div>
    <w:div w:id="1389456162">
      <w:bodyDiv w:val="1"/>
      <w:marLeft w:val="0"/>
      <w:marRight w:val="0"/>
      <w:marTop w:val="0"/>
      <w:marBottom w:val="0"/>
      <w:divBdr>
        <w:top w:val="none" w:sz="0" w:space="0" w:color="auto"/>
        <w:left w:val="none" w:sz="0" w:space="0" w:color="auto"/>
        <w:bottom w:val="none" w:sz="0" w:space="0" w:color="auto"/>
        <w:right w:val="none" w:sz="0" w:space="0" w:color="auto"/>
      </w:divBdr>
    </w:div>
    <w:div w:id="186439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cglobal.imn.ac.cr/documentos/publicaciones/InventariosGEI/InventarioGEI-2017/offline/InventarioGEI2017.pdf" TargetMode="External"/><Relationship Id="rId3" Type="http://schemas.openxmlformats.org/officeDocument/2006/relationships/customXml" Target="../customXml/item3.xml"/><Relationship Id="rId21" Type="http://schemas.openxmlformats.org/officeDocument/2006/relationships/hyperlink" Target="http://www.unep.org/greeneconomy" TargetMode="Externa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dx.doi.org/10.18235/0002870" TargetMode="External"/><Relationship Id="rId2" Type="http://schemas.openxmlformats.org/officeDocument/2006/relationships/customXml" Target="../customXml/item2.xml"/><Relationship Id="rId16" Type="http://schemas.openxmlformats.org/officeDocument/2006/relationships/hyperlink" Target="https://cambioclimatico.go.cr/wp-content/uploads/2022/04/NAP_Documento-2022-2026_VC.pdf" TargetMode="External"/><Relationship Id="rId20" Type="http://schemas.openxmlformats.org/officeDocument/2006/relationships/hyperlink" Target="https://doi.org/10.15359/rca.51-2.1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an.acuna@tropicalstudies.org"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mailto:fernando.rodriguez@tropicalstudies.org" TargetMode="External"/><Relationship Id="rId19" Type="http://schemas.openxmlformats.org/officeDocument/2006/relationships/hyperlink" Target="https://repositorio.conare.ac.cr/handle/20.500.12337/2983"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CF6C85FFDFCC40AA7BE388E446CF66" ma:contentTypeVersion="14" ma:contentTypeDescription="Create a new document." ma:contentTypeScope="" ma:versionID="ff01edb13e994abbca1f40d8dd828720">
  <xsd:schema xmlns:xsd="http://www.w3.org/2001/XMLSchema" xmlns:xs="http://www.w3.org/2001/XMLSchema" xmlns:p="http://schemas.microsoft.com/office/2006/metadata/properties" xmlns:ns2="d91440db-c1d7-4003-b505-07b820888a02" xmlns:ns3="2035a33a-4757-4c91-b0cc-240b3659b590" targetNamespace="http://schemas.microsoft.com/office/2006/metadata/properties" ma:root="true" ma:fieldsID="63e4fe09b02e1a37c4848aed4d0c63d8" ns2:_="" ns3:_="">
    <xsd:import namespace="d91440db-c1d7-4003-b505-07b820888a02"/>
    <xsd:import namespace="2035a33a-4757-4c91-b0cc-240b3659b5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440db-c1d7-4003-b505-07b820888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6f29e5-583e-4ec3-9caa-eb674acb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35a33a-4757-4c91-b0cc-240b3659b59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3f62b21-1735-42d7-814c-0bf2dd2d4600}" ma:internalName="TaxCatchAll" ma:showField="CatchAllData" ma:web="2035a33a-4757-4c91-b0cc-240b3659b5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1440db-c1d7-4003-b505-07b820888a02">
      <Terms xmlns="http://schemas.microsoft.com/office/infopath/2007/PartnerControls"/>
    </lcf76f155ced4ddcb4097134ff3c332f>
    <TaxCatchAll xmlns="2035a33a-4757-4c91-b0cc-240b3659b590" xsi:nil="true"/>
  </documentManagement>
</p:properties>
</file>

<file path=customXml/itemProps1.xml><?xml version="1.0" encoding="utf-8"?>
<ds:datastoreItem xmlns:ds="http://schemas.openxmlformats.org/officeDocument/2006/customXml" ds:itemID="{B519AF78-592D-4DDA-B95C-C55AA7C0E321}">
  <ds:schemaRefs>
    <ds:schemaRef ds:uri="http://schemas.microsoft.com/sharepoint/v3/contenttype/forms"/>
  </ds:schemaRefs>
</ds:datastoreItem>
</file>

<file path=customXml/itemProps2.xml><?xml version="1.0" encoding="utf-8"?>
<ds:datastoreItem xmlns:ds="http://schemas.openxmlformats.org/officeDocument/2006/customXml" ds:itemID="{0D1B5AA7-14A2-4799-A078-BCEFF3DB2074}"/>
</file>

<file path=customXml/itemProps3.xml><?xml version="1.0" encoding="utf-8"?>
<ds:datastoreItem xmlns:ds="http://schemas.openxmlformats.org/officeDocument/2006/customXml" ds:itemID="{F1C523A3-C84E-4B81-9B86-C3A93E5B8734}">
  <ds:schemaRefs>
    <ds:schemaRef ds:uri="http://schemas.openxmlformats.org/officeDocument/2006/bibliography"/>
  </ds:schemaRefs>
</ds:datastoreItem>
</file>

<file path=customXml/itemProps4.xml><?xml version="1.0" encoding="utf-8"?>
<ds:datastoreItem xmlns:ds="http://schemas.openxmlformats.org/officeDocument/2006/customXml" ds:itemID="{016B47AD-B4C9-4E1A-A184-E01A4312A88D}">
  <ds:schemaRefs>
    <ds:schemaRef ds:uri="http://schemas.microsoft.com/office/2006/metadata/properties"/>
    <ds:schemaRef ds:uri="http://schemas.microsoft.com/office/infopath/2007/PartnerControls"/>
    <ds:schemaRef ds:uri="d91440db-c1d7-4003-b505-07b820888a02"/>
    <ds:schemaRef ds:uri="2035a33a-4757-4c91-b0cc-240b3659b590"/>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2241</Words>
  <Characters>12777</Characters>
  <Application>Microsoft Office Word</Application>
  <DocSecurity>0</DocSecurity>
  <Lines>106</Lines>
  <Paragraphs>29</Paragraphs>
  <ScaleCrop>false</ScaleCrop>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Acuna</dc:creator>
  <cp:keywords/>
  <dc:description/>
  <cp:lastModifiedBy>Sergio Molina</cp:lastModifiedBy>
  <cp:revision>26</cp:revision>
  <dcterms:created xsi:type="dcterms:W3CDTF">2022-10-13T21:17:00Z</dcterms:created>
  <dcterms:modified xsi:type="dcterms:W3CDTF">2023-01-11T20:25:00Z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0x01010015CF6C85FFDFCC40AA7BE388E446CF66</vt:lpwstr>
  </property>
  <property fmtid="{D5CDD505-2E9C-101B-9397-08002B2CF9AE}" pid="3" name="MediaServiceImageTags">
    <vt:lpwstr/>
  </property>
</Properties>
</file>