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49E" w:rsidRDefault="005545C7" w:rsidP="004A749E">
      <w:pPr>
        <w:jc w:val="center"/>
        <w:rPr>
          <w:b/>
          <w:sz w:val="28"/>
          <w:szCs w:val="28"/>
        </w:rPr>
      </w:pPr>
      <w:r w:rsidRPr="00DB53BF">
        <w:rPr>
          <w:b/>
          <w:sz w:val="28"/>
          <w:szCs w:val="28"/>
        </w:rPr>
        <w:t>Editorial</w:t>
      </w:r>
    </w:p>
    <w:p w:rsidR="005545C7" w:rsidRPr="004A749E" w:rsidRDefault="0056147D" w:rsidP="004A749E">
      <w:pPr>
        <w:jc w:val="center"/>
        <w:rPr>
          <w:b/>
          <w:sz w:val="28"/>
          <w:szCs w:val="28"/>
        </w:rPr>
      </w:pPr>
      <w:r w:rsidRPr="0056147D">
        <w:rPr>
          <w:b/>
          <w:i/>
          <w:sz w:val="24"/>
          <w:szCs w:val="24"/>
        </w:rPr>
        <w:t>Repertorio Americano</w:t>
      </w:r>
      <w:r w:rsidR="003B6270">
        <w:rPr>
          <w:b/>
          <w:sz w:val="24"/>
          <w:szCs w:val="24"/>
        </w:rPr>
        <w:t xml:space="preserve"> ayer y hoy</w:t>
      </w:r>
      <w:r w:rsidR="004A749E">
        <w:rPr>
          <w:b/>
          <w:sz w:val="28"/>
          <w:szCs w:val="28"/>
        </w:rPr>
        <w:t xml:space="preserve"> (</w:t>
      </w:r>
      <w:r>
        <w:rPr>
          <w:b/>
          <w:sz w:val="24"/>
          <w:szCs w:val="24"/>
        </w:rPr>
        <w:t>1919-2019</w:t>
      </w:r>
      <w:r w:rsidR="004A749E">
        <w:rPr>
          <w:b/>
          <w:sz w:val="24"/>
          <w:szCs w:val="24"/>
        </w:rPr>
        <w:t>)</w:t>
      </w:r>
    </w:p>
    <w:p w:rsidR="00CC6A66" w:rsidRDefault="005545C7" w:rsidP="00666C0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27390A">
        <w:rPr>
          <w:sz w:val="24"/>
          <w:szCs w:val="24"/>
        </w:rPr>
        <w:t>¿Qué estaba pasando</w:t>
      </w:r>
      <w:r w:rsidRPr="005545C7">
        <w:rPr>
          <w:sz w:val="24"/>
          <w:szCs w:val="24"/>
        </w:rPr>
        <w:t xml:space="preserve"> en el mundo y en América Latina en el año 1919?</w:t>
      </w:r>
      <w:r w:rsidR="00CC6A66">
        <w:rPr>
          <w:sz w:val="24"/>
          <w:szCs w:val="24"/>
        </w:rPr>
        <w:t xml:space="preserve"> </w:t>
      </w:r>
      <w:bookmarkStart w:id="0" w:name="_GoBack"/>
      <w:bookmarkEnd w:id="0"/>
    </w:p>
    <w:p w:rsidR="005545C7" w:rsidRDefault="00CC6A66" w:rsidP="00666C0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F35BED">
        <w:rPr>
          <w:sz w:val="24"/>
          <w:szCs w:val="24"/>
        </w:rPr>
        <w:t>Hagamos memoria…</w:t>
      </w:r>
    </w:p>
    <w:p w:rsidR="005545C7" w:rsidRDefault="005545C7" w:rsidP="00666C0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En el año de la ira </w:t>
      </w:r>
      <w:r w:rsidR="00103300">
        <w:rPr>
          <w:rStyle w:val="Refdenotaalpie"/>
          <w:sz w:val="24"/>
          <w:szCs w:val="24"/>
        </w:rPr>
        <w:footnoteReference w:id="1"/>
      </w:r>
      <w:r w:rsidR="00103300">
        <w:rPr>
          <w:sz w:val="24"/>
          <w:szCs w:val="24"/>
        </w:rPr>
        <w:t xml:space="preserve"> </w:t>
      </w:r>
      <w:r w:rsidR="00B51AA3">
        <w:rPr>
          <w:sz w:val="24"/>
          <w:szCs w:val="24"/>
        </w:rPr>
        <w:t xml:space="preserve">el mundo estaba saliendo de un cruento conflicto </w:t>
      </w:r>
      <w:r w:rsidR="00666C09">
        <w:rPr>
          <w:sz w:val="24"/>
          <w:szCs w:val="24"/>
        </w:rPr>
        <w:t xml:space="preserve">bélico. El 15 de enero, en Berlín, fue asesinada Rosa Luxemburgo, </w:t>
      </w:r>
      <w:r w:rsidR="00A5794B">
        <w:rPr>
          <w:sz w:val="24"/>
          <w:szCs w:val="24"/>
        </w:rPr>
        <w:t xml:space="preserve">una de las revolucionarias más importantes de la historia. Mujer brillante, gigante en ideas e incansable en la acción. </w:t>
      </w:r>
      <w:r w:rsidR="00D22835">
        <w:rPr>
          <w:sz w:val="24"/>
          <w:szCs w:val="24"/>
        </w:rPr>
        <w:t>Cuatro meses después, el</w:t>
      </w:r>
      <w:r w:rsidR="000757AB">
        <w:rPr>
          <w:sz w:val="24"/>
          <w:szCs w:val="24"/>
        </w:rPr>
        <w:t xml:space="preserve"> 10 de abril, </w:t>
      </w:r>
      <w:r w:rsidR="007E2452">
        <w:rPr>
          <w:sz w:val="24"/>
          <w:szCs w:val="24"/>
        </w:rPr>
        <w:t>“</w:t>
      </w:r>
      <w:r w:rsidR="000757AB">
        <w:rPr>
          <w:sz w:val="24"/>
          <w:szCs w:val="24"/>
        </w:rPr>
        <w:t xml:space="preserve">en Chinameca, fue muerto </w:t>
      </w:r>
      <w:r w:rsidR="00D22835">
        <w:rPr>
          <w:sz w:val="24"/>
          <w:szCs w:val="24"/>
        </w:rPr>
        <w:t>a mansalva Zapata el gran insurrecto, en la memoria qued</w:t>
      </w:r>
      <w:r w:rsidR="007E2452">
        <w:rPr>
          <w:sz w:val="24"/>
          <w:szCs w:val="24"/>
        </w:rPr>
        <w:t xml:space="preserve">arás del campesino con una mancha en la historia” como reza su corrido. </w:t>
      </w:r>
      <w:r w:rsidR="007267AB">
        <w:rPr>
          <w:sz w:val="24"/>
          <w:szCs w:val="24"/>
        </w:rPr>
        <w:t>Así,</w:t>
      </w:r>
      <w:r w:rsidR="00D22835">
        <w:rPr>
          <w:sz w:val="24"/>
          <w:szCs w:val="24"/>
        </w:rPr>
        <w:t xml:space="preserve"> </w:t>
      </w:r>
      <w:r w:rsidR="007267AB">
        <w:rPr>
          <w:sz w:val="24"/>
          <w:szCs w:val="24"/>
        </w:rPr>
        <w:t>a</w:t>
      </w:r>
      <w:r w:rsidR="000757AB">
        <w:rPr>
          <w:sz w:val="24"/>
          <w:szCs w:val="24"/>
        </w:rPr>
        <w:t xml:space="preserve"> traición</w:t>
      </w:r>
      <w:r w:rsidR="007267AB">
        <w:rPr>
          <w:sz w:val="24"/>
          <w:szCs w:val="24"/>
        </w:rPr>
        <w:t>,</w:t>
      </w:r>
      <w:r w:rsidR="000757AB">
        <w:rPr>
          <w:sz w:val="24"/>
          <w:szCs w:val="24"/>
        </w:rPr>
        <w:t xml:space="preserve"> </w:t>
      </w:r>
      <w:r w:rsidR="007E2452">
        <w:rPr>
          <w:sz w:val="24"/>
          <w:szCs w:val="24"/>
        </w:rPr>
        <w:t xml:space="preserve">se fue </w:t>
      </w:r>
      <w:r w:rsidR="000757AB">
        <w:rPr>
          <w:sz w:val="24"/>
          <w:szCs w:val="24"/>
        </w:rPr>
        <w:t xml:space="preserve">el paladín de la revolución de los de abajo, Emiliano Zapata. </w:t>
      </w:r>
    </w:p>
    <w:p w:rsidR="00D910E0" w:rsidRDefault="00074028" w:rsidP="00666C0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En</w:t>
      </w:r>
      <w:r w:rsidR="00C93E56">
        <w:rPr>
          <w:sz w:val="24"/>
          <w:szCs w:val="24"/>
        </w:rPr>
        <w:t xml:space="preserve"> Costa Rica,</w:t>
      </w:r>
      <w:r w:rsidR="00D910E0">
        <w:rPr>
          <w:sz w:val="24"/>
          <w:szCs w:val="24"/>
        </w:rPr>
        <w:t xml:space="preserve"> se puso en marcha el Movimiento Cívico Estudiantil de 1919, encabezado por estudiantes y d</w:t>
      </w:r>
      <w:r w:rsidR="009D236D">
        <w:rPr>
          <w:sz w:val="24"/>
          <w:szCs w:val="24"/>
        </w:rPr>
        <w:t>ocentes, da la talla de</w:t>
      </w:r>
      <w:r w:rsidR="00D910E0">
        <w:rPr>
          <w:sz w:val="24"/>
          <w:szCs w:val="24"/>
        </w:rPr>
        <w:t xml:space="preserve"> María Isabel Carvajal y </w:t>
      </w:r>
      <w:proofErr w:type="spellStart"/>
      <w:r w:rsidR="00D910E0">
        <w:rPr>
          <w:sz w:val="24"/>
          <w:szCs w:val="24"/>
        </w:rPr>
        <w:t>Lilliam</w:t>
      </w:r>
      <w:proofErr w:type="spellEnd"/>
      <w:r w:rsidR="00D910E0">
        <w:rPr>
          <w:sz w:val="24"/>
          <w:szCs w:val="24"/>
        </w:rPr>
        <w:t xml:space="preserve"> González, entre muchos otros. </w:t>
      </w:r>
      <w:r w:rsidR="00E71AAF">
        <w:rPr>
          <w:sz w:val="24"/>
          <w:szCs w:val="24"/>
        </w:rPr>
        <w:t>El</w:t>
      </w:r>
      <w:r w:rsidR="009D236D">
        <w:rPr>
          <w:sz w:val="24"/>
          <w:szCs w:val="24"/>
        </w:rPr>
        <w:t xml:space="preserve"> movimiento</w:t>
      </w:r>
      <w:r w:rsidR="00E71AAF">
        <w:rPr>
          <w:sz w:val="24"/>
          <w:szCs w:val="24"/>
        </w:rPr>
        <w:t xml:space="preserve"> se había extendido a todo el país, y se había</w:t>
      </w:r>
      <w:r w:rsidR="00A5794B">
        <w:rPr>
          <w:sz w:val="24"/>
          <w:szCs w:val="24"/>
        </w:rPr>
        <w:t>n</w:t>
      </w:r>
      <w:r w:rsidR="00E71AAF">
        <w:rPr>
          <w:sz w:val="24"/>
          <w:szCs w:val="24"/>
        </w:rPr>
        <w:t xml:space="preserve"> s</w:t>
      </w:r>
      <w:r w:rsidR="00F15D0D">
        <w:rPr>
          <w:sz w:val="24"/>
          <w:szCs w:val="24"/>
        </w:rPr>
        <w:t>umado todos los sectores</w:t>
      </w:r>
      <w:r w:rsidR="00E71AAF">
        <w:rPr>
          <w:sz w:val="24"/>
          <w:szCs w:val="24"/>
        </w:rPr>
        <w:t>:</w:t>
      </w:r>
      <w:r w:rsidR="009D236D">
        <w:rPr>
          <w:sz w:val="24"/>
          <w:szCs w:val="24"/>
        </w:rPr>
        <w:t xml:space="preserve"> obrer</w:t>
      </w:r>
      <w:r w:rsidR="00E71AAF">
        <w:rPr>
          <w:sz w:val="24"/>
          <w:szCs w:val="24"/>
        </w:rPr>
        <w:t xml:space="preserve">os, campesinos, profesionales y artistas. </w:t>
      </w:r>
    </w:p>
    <w:p w:rsidR="007E387E" w:rsidRDefault="00CC6529" w:rsidP="00666C0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F15D0D">
        <w:rPr>
          <w:sz w:val="24"/>
          <w:szCs w:val="24"/>
        </w:rPr>
        <w:t xml:space="preserve">El pueblo se levantaba contra el régimen más brutal de la historia de nuestro país, </w:t>
      </w:r>
      <w:r w:rsidR="000771B3">
        <w:rPr>
          <w:sz w:val="24"/>
          <w:szCs w:val="24"/>
        </w:rPr>
        <w:t xml:space="preserve">caracterizado por la represión, la violencia, el terrorismo de estado, tortura y </w:t>
      </w:r>
      <w:r w:rsidR="005F1287">
        <w:rPr>
          <w:sz w:val="24"/>
          <w:szCs w:val="24"/>
        </w:rPr>
        <w:t xml:space="preserve">el </w:t>
      </w:r>
      <w:r w:rsidR="000771B3">
        <w:rPr>
          <w:sz w:val="24"/>
          <w:szCs w:val="24"/>
        </w:rPr>
        <w:t>asesin</w:t>
      </w:r>
      <w:r w:rsidR="005F1287">
        <w:rPr>
          <w:sz w:val="24"/>
          <w:szCs w:val="24"/>
        </w:rPr>
        <w:t>ato</w:t>
      </w:r>
      <w:r w:rsidR="000771B3">
        <w:rPr>
          <w:sz w:val="24"/>
          <w:szCs w:val="24"/>
        </w:rPr>
        <w:t xml:space="preserve">. </w:t>
      </w:r>
      <w:r w:rsidR="005F1287">
        <w:rPr>
          <w:sz w:val="24"/>
          <w:szCs w:val="24"/>
        </w:rPr>
        <w:t>Es imprescindible recordar a dos grandes figuras que perdieron la vida durante estos acontecimientos. E</w:t>
      </w:r>
      <w:r w:rsidR="009249DA">
        <w:rPr>
          <w:sz w:val="24"/>
          <w:szCs w:val="24"/>
        </w:rPr>
        <w:t>l 19 de julio, dio su vida por las libertades de la nación, el maestro salvadoreño Marcelino</w:t>
      </w:r>
      <w:r w:rsidR="00A5794B">
        <w:rPr>
          <w:sz w:val="24"/>
          <w:szCs w:val="24"/>
        </w:rPr>
        <w:t xml:space="preserve"> García</w:t>
      </w:r>
      <w:r w:rsidR="009249DA">
        <w:rPr>
          <w:sz w:val="24"/>
          <w:szCs w:val="24"/>
        </w:rPr>
        <w:t xml:space="preserve"> Flamenco. </w:t>
      </w:r>
      <w:r w:rsidR="005374E1">
        <w:rPr>
          <w:sz w:val="24"/>
          <w:szCs w:val="24"/>
        </w:rPr>
        <w:t>El año anterior, un</w:t>
      </w:r>
      <w:r w:rsidR="0027390A">
        <w:rPr>
          <w:sz w:val="24"/>
          <w:szCs w:val="24"/>
        </w:rPr>
        <w:t xml:space="preserve"> 15 de marzo</w:t>
      </w:r>
      <w:r w:rsidR="005374E1">
        <w:rPr>
          <w:sz w:val="24"/>
          <w:szCs w:val="24"/>
        </w:rPr>
        <w:t>,</w:t>
      </w:r>
      <w:r w:rsidR="0027390A">
        <w:rPr>
          <w:sz w:val="24"/>
          <w:szCs w:val="24"/>
        </w:rPr>
        <w:t xml:space="preserve"> había caído </w:t>
      </w:r>
      <w:r w:rsidR="00936ED3">
        <w:rPr>
          <w:sz w:val="24"/>
          <w:szCs w:val="24"/>
        </w:rPr>
        <w:t xml:space="preserve">el poeta </w:t>
      </w:r>
      <w:r w:rsidR="005374E1">
        <w:rPr>
          <w:sz w:val="24"/>
          <w:szCs w:val="24"/>
        </w:rPr>
        <w:t xml:space="preserve">rebelde, Rogelio Fernández Güell. </w:t>
      </w:r>
    </w:p>
    <w:p w:rsidR="003760E6" w:rsidRDefault="003760E6" w:rsidP="00666C0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2F5D16">
        <w:rPr>
          <w:sz w:val="24"/>
          <w:szCs w:val="24"/>
        </w:rPr>
        <w:t>El 13 de agosto, se desvaneció la dictadura, establecida con base en traiciones, intereses</w:t>
      </w:r>
      <w:r w:rsidR="00A93606">
        <w:rPr>
          <w:sz w:val="24"/>
          <w:szCs w:val="24"/>
        </w:rPr>
        <w:t>,</w:t>
      </w:r>
      <w:r w:rsidR="00E40B62">
        <w:rPr>
          <w:sz w:val="24"/>
          <w:szCs w:val="24"/>
        </w:rPr>
        <w:t xml:space="preserve"> especulaciones</w:t>
      </w:r>
      <w:r w:rsidR="00A93606">
        <w:rPr>
          <w:sz w:val="24"/>
          <w:szCs w:val="24"/>
        </w:rPr>
        <w:t xml:space="preserve"> y oportunismos.</w:t>
      </w:r>
      <w:r w:rsidR="00E40B62">
        <w:rPr>
          <w:sz w:val="24"/>
          <w:szCs w:val="24"/>
        </w:rPr>
        <w:t xml:space="preserve"> Los</w:t>
      </w:r>
      <w:r w:rsidR="002F5D16">
        <w:rPr>
          <w:sz w:val="24"/>
          <w:szCs w:val="24"/>
        </w:rPr>
        <w:t xml:space="preserve"> treinta meses de</w:t>
      </w:r>
      <w:r w:rsidR="00E40B62">
        <w:rPr>
          <w:sz w:val="24"/>
          <w:szCs w:val="24"/>
        </w:rPr>
        <w:t xml:space="preserve"> reinado</w:t>
      </w:r>
      <w:r w:rsidR="00204811">
        <w:rPr>
          <w:sz w:val="24"/>
          <w:szCs w:val="24"/>
        </w:rPr>
        <w:t xml:space="preserve"> de</w:t>
      </w:r>
      <w:r w:rsidR="002F5D16">
        <w:rPr>
          <w:sz w:val="24"/>
          <w:szCs w:val="24"/>
        </w:rPr>
        <w:t xml:space="preserve"> los hermanos Tinoco</w:t>
      </w:r>
      <w:r w:rsidR="009936A5">
        <w:rPr>
          <w:sz w:val="24"/>
          <w:szCs w:val="24"/>
        </w:rPr>
        <w:t xml:space="preserve">, meses que cubrieron nuestro país </w:t>
      </w:r>
      <w:r w:rsidR="00A93606">
        <w:rPr>
          <w:sz w:val="24"/>
          <w:szCs w:val="24"/>
        </w:rPr>
        <w:t xml:space="preserve">de dolor, terror, </w:t>
      </w:r>
      <w:r w:rsidR="00E40B62">
        <w:rPr>
          <w:sz w:val="24"/>
          <w:szCs w:val="24"/>
        </w:rPr>
        <w:t>sangre y fuego.</w:t>
      </w:r>
    </w:p>
    <w:p w:rsidR="00CC6A66" w:rsidRDefault="00204811" w:rsidP="00666C0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A7C1E">
        <w:rPr>
          <w:sz w:val="24"/>
          <w:szCs w:val="24"/>
        </w:rPr>
        <w:t>Mientras tanto</w:t>
      </w:r>
      <w:r w:rsidR="009D0AA3">
        <w:rPr>
          <w:sz w:val="24"/>
          <w:szCs w:val="24"/>
        </w:rPr>
        <w:t xml:space="preserve">, </w:t>
      </w:r>
      <w:r w:rsidR="009A7C1E">
        <w:rPr>
          <w:sz w:val="24"/>
          <w:szCs w:val="24"/>
        </w:rPr>
        <w:t xml:space="preserve">a nivel internacional, </w:t>
      </w:r>
      <w:r w:rsidR="009D0AA3">
        <w:rPr>
          <w:sz w:val="24"/>
          <w:szCs w:val="24"/>
        </w:rPr>
        <w:t xml:space="preserve">Estados Unidos se consolidaba como potencia regional, su presencia cada vez cobraba más fuerza, asentando su dominio político, </w:t>
      </w:r>
      <w:r w:rsidR="009D0AA3">
        <w:rPr>
          <w:sz w:val="24"/>
          <w:szCs w:val="24"/>
        </w:rPr>
        <w:lastRenderedPageBreak/>
        <w:t xml:space="preserve">económico y militar. </w:t>
      </w:r>
      <w:r>
        <w:rPr>
          <w:sz w:val="24"/>
          <w:szCs w:val="24"/>
        </w:rPr>
        <w:t>En el caso de los países de la región, Nicaragua había sido ocupada por los estadounidenses desde 1912, Panamá desde 1903, y Cuba y Puerto R</w:t>
      </w:r>
      <w:r w:rsidR="00242E40">
        <w:rPr>
          <w:sz w:val="24"/>
          <w:szCs w:val="24"/>
        </w:rPr>
        <w:t>ico habían sido tomados</w:t>
      </w:r>
      <w:r w:rsidR="004841B9">
        <w:rPr>
          <w:sz w:val="24"/>
          <w:szCs w:val="24"/>
        </w:rPr>
        <w:t xml:space="preserve"> por los norteamericanos en la g</w:t>
      </w:r>
      <w:r>
        <w:rPr>
          <w:sz w:val="24"/>
          <w:szCs w:val="24"/>
        </w:rPr>
        <w:t>uerra</w:t>
      </w:r>
      <w:r w:rsidR="004841B9">
        <w:rPr>
          <w:sz w:val="24"/>
          <w:szCs w:val="24"/>
        </w:rPr>
        <w:t xml:space="preserve"> hispano-cubano-estadounidense </w:t>
      </w:r>
      <w:r w:rsidR="00242E40">
        <w:rPr>
          <w:sz w:val="24"/>
          <w:szCs w:val="24"/>
        </w:rPr>
        <w:t>de 1898. Por otra parte,</w:t>
      </w:r>
      <w:r w:rsidR="004841B9">
        <w:rPr>
          <w:sz w:val="24"/>
          <w:szCs w:val="24"/>
        </w:rPr>
        <w:t xml:space="preserve"> </w:t>
      </w:r>
      <w:r w:rsidR="00CC6A66">
        <w:rPr>
          <w:sz w:val="24"/>
          <w:szCs w:val="24"/>
        </w:rPr>
        <w:t xml:space="preserve">la </w:t>
      </w:r>
      <w:proofErr w:type="spellStart"/>
      <w:r w:rsidR="00CC6A66" w:rsidRPr="00CC6A66">
        <w:rPr>
          <w:i/>
          <w:sz w:val="24"/>
          <w:szCs w:val="24"/>
        </w:rPr>
        <w:t>United</w:t>
      </w:r>
      <w:proofErr w:type="spellEnd"/>
      <w:r w:rsidR="00CC6A66" w:rsidRPr="00CC6A66">
        <w:rPr>
          <w:i/>
          <w:sz w:val="24"/>
          <w:szCs w:val="24"/>
        </w:rPr>
        <w:t xml:space="preserve"> </w:t>
      </w:r>
      <w:proofErr w:type="spellStart"/>
      <w:r w:rsidR="00CC6A66" w:rsidRPr="00CC6A66">
        <w:rPr>
          <w:i/>
          <w:sz w:val="24"/>
          <w:szCs w:val="24"/>
        </w:rPr>
        <w:t>Fruit</w:t>
      </w:r>
      <w:proofErr w:type="spellEnd"/>
      <w:r w:rsidR="00CC6A66" w:rsidRPr="00CC6A66">
        <w:rPr>
          <w:i/>
          <w:sz w:val="24"/>
          <w:szCs w:val="24"/>
        </w:rPr>
        <w:t xml:space="preserve"> Company</w:t>
      </w:r>
      <w:r w:rsidR="00CC6A66">
        <w:rPr>
          <w:sz w:val="24"/>
          <w:szCs w:val="24"/>
        </w:rPr>
        <w:t xml:space="preserve"> representaba la presencia económica</w:t>
      </w:r>
      <w:r w:rsidR="00242E40">
        <w:rPr>
          <w:sz w:val="24"/>
          <w:szCs w:val="24"/>
        </w:rPr>
        <w:t xml:space="preserve"> en el istmo</w:t>
      </w:r>
      <w:r w:rsidR="00CC6A66">
        <w:rPr>
          <w:sz w:val="24"/>
          <w:szCs w:val="24"/>
        </w:rPr>
        <w:t xml:space="preserve"> y la imagen internacional de las </w:t>
      </w:r>
      <w:r w:rsidR="00CC6A66" w:rsidRPr="00CC6A66">
        <w:rPr>
          <w:i/>
          <w:sz w:val="24"/>
          <w:szCs w:val="24"/>
        </w:rPr>
        <w:t xml:space="preserve">Banana </w:t>
      </w:r>
      <w:proofErr w:type="spellStart"/>
      <w:r w:rsidR="00CC6A66" w:rsidRPr="00CC6A66">
        <w:rPr>
          <w:i/>
          <w:sz w:val="24"/>
          <w:szCs w:val="24"/>
        </w:rPr>
        <w:t>Republics</w:t>
      </w:r>
      <w:proofErr w:type="spellEnd"/>
      <w:r w:rsidR="00CC6A66">
        <w:rPr>
          <w:sz w:val="24"/>
          <w:szCs w:val="24"/>
        </w:rPr>
        <w:t>.</w:t>
      </w:r>
    </w:p>
    <w:p w:rsidR="00242E40" w:rsidRDefault="00CC6A66" w:rsidP="00666C0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DB53BF">
        <w:rPr>
          <w:sz w:val="24"/>
          <w:szCs w:val="24"/>
        </w:rPr>
        <w:t>En ese complejo</w:t>
      </w:r>
      <w:r w:rsidR="00A93606">
        <w:rPr>
          <w:sz w:val="24"/>
          <w:szCs w:val="24"/>
        </w:rPr>
        <w:t xml:space="preserve"> contexto histórico nació </w:t>
      </w:r>
      <w:r w:rsidR="00A93606" w:rsidRPr="00A93606">
        <w:rPr>
          <w:i/>
          <w:sz w:val="24"/>
          <w:szCs w:val="24"/>
        </w:rPr>
        <w:t>Repertorio Americano</w:t>
      </w:r>
      <w:r w:rsidR="00242E40">
        <w:rPr>
          <w:sz w:val="24"/>
          <w:szCs w:val="24"/>
        </w:rPr>
        <w:t xml:space="preserve"> el lunes 01 de septiembre.</w:t>
      </w:r>
      <w:r w:rsidR="00DB53BF">
        <w:rPr>
          <w:sz w:val="24"/>
          <w:szCs w:val="24"/>
        </w:rPr>
        <w:t xml:space="preserve"> </w:t>
      </w:r>
      <w:r>
        <w:rPr>
          <w:sz w:val="24"/>
          <w:szCs w:val="24"/>
        </w:rPr>
        <w:t>En este primer número aparecieron connotados latinoamericanos de la época</w:t>
      </w:r>
      <w:r w:rsidR="00E71D84">
        <w:rPr>
          <w:sz w:val="24"/>
          <w:szCs w:val="24"/>
        </w:rPr>
        <w:t xml:space="preserve"> y de diferentes formas de pensamiento</w:t>
      </w:r>
      <w:r>
        <w:rPr>
          <w:sz w:val="24"/>
          <w:szCs w:val="24"/>
        </w:rPr>
        <w:t xml:space="preserve">: Leopoldo Lugones, Juana de </w:t>
      </w:r>
      <w:proofErr w:type="spellStart"/>
      <w:r>
        <w:rPr>
          <w:sz w:val="24"/>
          <w:szCs w:val="24"/>
        </w:rPr>
        <w:t>Ibarourou</w:t>
      </w:r>
      <w:proofErr w:type="spellEnd"/>
      <w:r>
        <w:rPr>
          <w:sz w:val="24"/>
          <w:szCs w:val="24"/>
        </w:rPr>
        <w:t xml:space="preserve">, </w:t>
      </w:r>
      <w:r w:rsidR="007E379B">
        <w:rPr>
          <w:sz w:val="24"/>
          <w:szCs w:val="24"/>
        </w:rPr>
        <w:t>José Umaña Bernal, Manuel González Zeledón, Omar Dengo y Octavio Jiménez.</w:t>
      </w:r>
      <w:r w:rsidR="00242E40">
        <w:rPr>
          <w:sz w:val="24"/>
          <w:szCs w:val="24"/>
        </w:rPr>
        <w:t xml:space="preserve"> Al respecto apuntaba Luis Ferrero: “En Repertorio encontraron un auditorio, una fe, una esperanza”. </w:t>
      </w:r>
    </w:p>
    <w:p w:rsidR="00BA36AC" w:rsidRDefault="00BA36AC" w:rsidP="00666C0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242E40">
        <w:rPr>
          <w:sz w:val="24"/>
          <w:szCs w:val="24"/>
        </w:rPr>
        <w:t>Este primer número vino a ser una</w:t>
      </w:r>
      <w:r>
        <w:rPr>
          <w:sz w:val="24"/>
          <w:szCs w:val="24"/>
        </w:rPr>
        <w:t xml:space="preserve"> muestra de la visión y compromiso que asumiría Joaquín García Monge durante los años de edición de la revista, una ventana, </w:t>
      </w:r>
      <w:r w:rsidR="00A13E4F">
        <w:rPr>
          <w:sz w:val="24"/>
          <w:szCs w:val="24"/>
        </w:rPr>
        <w:t>un puente, un lazo, para mirar, transitar y</w:t>
      </w:r>
      <w:r>
        <w:rPr>
          <w:sz w:val="24"/>
          <w:szCs w:val="24"/>
        </w:rPr>
        <w:t xml:space="preserve"> unir a los diferentes países de Nuestra América </w:t>
      </w:r>
      <w:r w:rsidR="0075346B">
        <w:rPr>
          <w:sz w:val="24"/>
          <w:szCs w:val="24"/>
        </w:rPr>
        <w:t>y a la vez conectarlos con el mu</w:t>
      </w:r>
      <w:r w:rsidR="00A13E4F">
        <w:rPr>
          <w:sz w:val="24"/>
          <w:szCs w:val="24"/>
        </w:rPr>
        <w:t>ndo. Por sus páginas circularon</w:t>
      </w:r>
      <w:r w:rsidR="0075346B">
        <w:rPr>
          <w:sz w:val="24"/>
          <w:szCs w:val="24"/>
        </w:rPr>
        <w:t xml:space="preserve"> miradas y voces de hombres y mujeres de diferentes puntos geográficos y culturas.  </w:t>
      </w:r>
    </w:p>
    <w:p w:rsidR="007310B8" w:rsidRDefault="00E63DF5" w:rsidP="00666C0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41D72">
        <w:rPr>
          <w:sz w:val="24"/>
          <w:szCs w:val="24"/>
        </w:rPr>
        <w:t xml:space="preserve">Joaquín García Monge, </w:t>
      </w:r>
      <w:r w:rsidR="003236BE">
        <w:rPr>
          <w:sz w:val="24"/>
          <w:szCs w:val="24"/>
        </w:rPr>
        <w:t>educador comprometido, sensible</w:t>
      </w:r>
      <w:r w:rsidR="007D56F8">
        <w:rPr>
          <w:sz w:val="24"/>
          <w:szCs w:val="24"/>
        </w:rPr>
        <w:t>, antifascista</w:t>
      </w:r>
      <w:r w:rsidR="003236BE">
        <w:rPr>
          <w:sz w:val="24"/>
          <w:szCs w:val="24"/>
        </w:rPr>
        <w:t>, defensor de la libertad</w:t>
      </w:r>
      <w:r w:rsidR="007D56F8">
        <w:rPr>
          <w:sz w:val="24"/>
          <w:szCs w:val="24"/>
        </w:rPr>
        <w:t>; n</w:t>
      </w:r>
      <w:r w:rsidR="00A13E4F">
        <w:rPr>
          <w:sz w:val="24"/>
          <w:szCs w:val="24"/>
        </w:rPr>
        <w:t>utrió</w:t>
      </w:r>
      <w:r w:rsidR="007D56F8">
        <w:rPr>
          <w:sz w:val="24"/>
          <w:szCs w:val="24"/>
        </w:rPr>
        <w:t xml:space="preserve"> su pensamiento de grandes latinoamericanos como:</w:t>
      </w:r>
      <w:r w:rsidR="00A13E4F">
        <w:rPr>
          <w:sz w:val="24"/>
          <w:szCs w:val="24"/>
        </w:rPr>
        <w:t xml:space="preserve"> Simón Rodríguez, Bolívar, Sarmiento, Martí, </w:t>
      </w:r>
      <w:r w:rsidR="007D56F8">
        <w:rPr>
          <w:sz w:val="24"/>
          <w:szCs w:val="24"/>
        </w:rPr>
        <w:t>Bello, Hostos y</w:t>
      </w:r>
      <w:r w:rsidR="00A13E4F">
        <w:rPr>
          <w:sz w:val="24"/>
          <w:szCs w:val="24"/>
        </w:rPr>
        <w:t xml:space="preserve"> Mistral, </w:t>
      </w:r>
      <w:r w:rsidR="007D56F8">
        <w:rPr>
          <w:sz w:val="24"/>
          <w:szCs w:val="24"/>
        </w:rPr>
        <w:t>entre muchos otros; bebió también de las fuentes de grandes escritores universales</w:t>
      </w:r>
      <w:r w:rsidR="003236BE">
        <w:rPr>
          <w:sz w:val="24"/>
          <w:szCs w:val="24"/>
        </w:rPr>
        <w:t>. Por tanto, la línea de la revista mantuvo un carácter humanista, universal, latinoamericanista y antiimperialista.</w:t>
      </w:r>
      <w:r w:rsidR="007D56F8">
        <w:rPr>
          <w:sz w:val="24"/>
          <w:szCs w:val="24"/>
        </w:rPr>
        <w:t xml:space="preserve"> </w:t>
      </w:r>
      <w:r w:rsidR="003236BE">
        <w:rPr>
          <w:sz w:val="24"/>
          <w:szCs w:val="24"/>
        </w:rPr>
        <w:t>Aunque no vaciló en dar cabida a voces y visione</w:t>
      </w:r>
      <w:r w:rsidR="00B43D09">
        <w:rPr>
          <w:sz w:val="24"/>
          <w:szCs w:val="24"/>
        </w:rPr>
        <w:t>s que no compartía ideológicamente</w:t>
      </w:r>
      <w:r w:rsidR="003236BE">
        <w:rPr>
          <w:sz w:val="24"/>
          <w:szCs w:val="24"/>
        </w:rPr>
        <w:t xml:space="preserve">, </w:t>
      </w:r>
      <w:r w:rsidR="00C628BC">
        <w:rPr>
          <w:sz w:val="24"/>
          <w:szCs w:val="24"/>
        </w:rPr>
        <w:t>lo cual deja de manifiesto su apertura y amplitud de mente.</w:t>
      </w:r>
    </w:p>
    <w:p w:rsidR="006E3B0B" w:rsidRPr="00242E40" w:rsidRDefault="00B43D09" w:rsidP="00666C0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242E40">
        <w:rPr>
          <w:sz w:val="24"/>
          <w:szCs w:val="24"/>
        </w:rPr>
        <w:t>García Monge, fue, es y será respetado, admirado,</w:t>
      </w:r>
      <w:r w:rsidR="000229E2" w:rsidRPr="00242E40">
        <w:rPr>
          <w:sz w:val="24"/>
          <w:szCs w:val="24"/>
        </w:rPr>
        <w:t xml:space="preserve"> lo mismo que criticado</w:t>
      </w:r>
      <w:r w:rsidRPr="00242E40">
        <w:rPr>
          <w:sz w:val="24"/>
          <w:szCs w:val="24"/>
        </w:rPr>
        <w:t xml:space="preserve">, situación natural y esperable </w:t>
      </w:r>
      <w:r w:rsidR="000229E2" w:rsidRPr="00242E40">
        <w:rPr>
          <w:sz w:val="24"/>
          <w:szCs w:val="24"/>
        </w:rPr>
        <w:t xml:space="preserve">cuando se trata de seres humanos que han sacado adelante quijotescas empresas, no podría ser de otra manera. </w:t>
      </w:r>
      <w:r w:rsidR="00E80143" w:rsidRPr="00242E40">
        <w:rPr>
          <w:sz w:val="24"/>
          <w:szCs w:val="24"/>
        </w:rPr>
        <w:t>En palabras del intelectual Luis Ferrero</w:t>
      </w:r>
      <w:r w:rsidR="006E3B0B" w:rsidRPr="00242E40">
        <w:rPr>
          <w:sz w:val="24"/>
          <w:szCs w:val="24"/>
        </w:rPr>
        <w:t>,</w:t>
      </w:r>
      <w:r w:rsidR="00E80143" w:rsidRPr="00242E40">
        <w:rPr>
          <w:sz w:val="24"/>
          <w:szCs w:val="24"/>
        </w:rPr>
        <w:t xml:space="preserve"> </w:t>
      </w:r>
      <w:r w:rsidR="006E3B0B" w:rsidRPr="00242E40">
        <w:rPr>
          <w:sz w:val="24"/>
          <w:szCs w:val="24"/>
        </w:rPr>
        <w:t xml:space="preserve">don Joaquín, “hizo su gran labor literaria y periodística, principalmente por medio del </w:t>
      </w:r>
      <w:r w:rsidR="006E3B0B" w:rsidRPr="00242E40">
        <w:rPr>
          <w:i/>
          <w:sz w:val="24"/>
          <w:szCs w:val="24"/>
        </w:rPr>
        <w:t xml:space="preserve">Repertorio </w:t>
      </w:r>
      <w:r w:rsidR="006E3B0B" w:rsidRPr="00242E40">
        <w:rPr>
          <w:i/>
          <w:sz w:val="24"/>
          <w:szCs w:val="24"/>
        </w:rPr>
        <w:lastRenderedPageBreak/>
        <w:t>Americano</w:t>
      </w:r>
      <w:r w:rsidR="006E3B0B" w:rsidRPr="00242E40">
        <w:rPr>
          <w:sz w:val="24"/>
          <w:szCs w:val="24"/>
        </w:rPr>
        <w:t>, porque "tenía brújula" y sabía adónde iba y</w:t>
      </w:r>
      <w:r w:rsidR="00D0776A" w:rsidRPr="00242E40">
        <w:rPr>
          <w:rStyle w:val="Refdenotaalpie"/>
          <w:sz w:val="24"/>
          <w:szCs w:val="24"/>
        </w:rPr>
        <w:footnoteReference w:id="2"/>
      </w:r>
      <w:r w:rsidR="006E3B0B" w:rsidRPr="00242E40">
        <w:rPr>
          <w:sz w:val="24"/>
          <w:szCs w:val="24"/>
        </w:rPr>
        <w:t xml:space="preserve"> porque tenía pasión, convencimiento y entereza sobre lo que estaba haciendo”.</w:t>
      </w:r>
    </w:p>
    <w:p w:rsidR="00652F0E" w:rsidRPr="00E6594D" w:rsidRDefault="00652F0E" w:rsidP="00666C09">
      <w:pPr>
        <w:spacing w:line="360" w:lineRule="auto"/>
        <w:jc w:val="both"/>
      </w:pPr>
      <w:r>
        <w:tab/>
      </w:r>
      <w:r w:rsidR="00D0776A">
        <w:t>Sobre la labor del</w:t>
      </w:r>
      <w:r w:rsidR="009F6E59">
        <w:t xml:space="preserve"> editor continental, los escritores y </w:t>
      </w:r>
      <w:r w:rsidR="000C3F59">
        <w:t>las redes, apunta el doctor</w:t>
      </w:r>
      <w:r w:rsidR="009F6E59">
        <w:t xml:space="preserve"> Mario Oliva Medina: </w:t>
      </w:r>
      <w:r>
        <w:t xml:space="preserve">“Desde muy temprano encontramos todo tipo de afectos de </w:t>
      </w:r>
      <w:r w:rsidR="004A749E">
        <w:t xml:space="preserve">escritores tales como: Miguel de </w:t>
      </w:r>
      <w:r>
        <w:t>Unamuno, Gabriela Mistral</w:t>
      </w:r>
      <w:r w:rsidR="00E6594D">
        <w:t>, Alfonso Reyes, Baldomero Sanín Cano, José Vasconcelos, Enri</w:t>
      </w:r>
      <w:r w:rsidR="00E91B72">
        <w:t>que V</w:t>
      </w:r>
      <w:r w:rsidR="009F6E59">
        <w:t xml:space="preserve">arona </w:t>
      </w:r>
      <w:r w:rsidR="00E6594D">
        <w:t>y tantos otros a la labor emprendida</w:t>
      </w:r>
      <w:r w:rsidR="009F6E59">
        <w:t xml:space="preserve"> por el editor</w:t>
      </w:r>
      <w:r w:rsidR="00E6594D">
        <w:t xml:space="preserve"> de</w:t>
      </w:r>
      <w:r w:rsidR="009F6E59">
        <w:t>l</w:t>
      </w:r>
      <w:r w:rsidR="00E6594D">
        <w:t xml:space="preserve"> </w:t>
      </w:r>
      <w:r w:rsidR="009F6E59">
        <w:rPr>
          <w:i/>
        </w:rPr>
        <w:t>Repertorio</w:t>
      </w:r>
      <w:r w:rsidR="00E6594D" w:rsidRPr="00E6594D">
        <w:t xml:space="preserve">, </w:t>
      </w:r>
      <w:r w:rsidR="00E6594D">
        <w:t>estas deferencias sumaban un papel muy importante dado de que se trataba de voces autorizadas</w:t>
      </w:r>
      <w:r w:rsidR="009F6E59">
        <w:t xml:space="preserve"> </w:t>
      </w:r>
      <w:r w:rsidR="00E6594D">
        <w:t>y funcionaba como atractivo de la revista a alcanzar cada vez m</w:t>
      </w:r>
      <w:r w:rsidR="009F6E59">
        <w:t xml:space="preserve">ás lectores”. </w:t>
      </w:r>
    </w:p>
    <w:p w:rsidR="00EC6F88" w:rsidRDefault="006E3B0B" w:rsidP="00666C0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A20D1">
        <w:rPr>
          <w:sz w:val="24"/>
          <w:szCs w:val="24"/>
        </w:rPr>
        <w:t>Innegable su contribución a la cultura, humanidades y letras de América Latina</w:t>
      </w:r>
      <w:r w:rsidR="005E6799">
        <w:rPr>
          <w:sz w:val="24"/>
          <w:szCs w:val="24"/>
        </w:rPr>
        <w:t>, patrimonio vertido en 18.000 páginas, 1185 números, 50</w:t>
      </w:r>
      <w:r w:rsidR="002F27C4">
        <w:rPr>
          <w:sz w:val="24"/>
          <w:szCs w:val="24"/>
        </w:rPr>
        <w:t xml:space="preserve"> tomos y 39 años de publicación de una revista continental.</w:t>
      </w:r>
      <w:r w:rsidR="005E6799">
        <w:rPr>
          <w:sz w:val="24"/>
          <w:szCs w:val="24"/>
        </w:rPr>
        <w:t xml:space="preserve"> </w:t>
      </w:r>
      <w:r w:rsidR="00A87BDA">
        <w:rPr>
          <w:sz w:val="24"/>
          <w:szCs w:val="24"/>
        </w:rPr>
        <w:t>La</w:t>
      </w:r>
      <w:r w:rsidR="00A87BDA" w:rsidRPr="00A87BDA">
        <w:rPr>
          <w:sz w:val="24"/>
          <w:szCs w:val="24"/>
        </w:rPr>
        <w:t xml:space="preserve"> Universidad Naci</w:t>
      </w:r>
      <w:r w:rsidR="00A87BDA">
        <w:rPr>
          <w:sz w:val="24"/>
          <w:szCs w:val="24"/>
        </w:rPr>
        <w:t>onal y el IDELA, son los</w:t>
      </w:r>
      <w:r w:rsidR="00A87BDA" w:rsidRPr="00A87BDA">
        <w:rPr>
          <w:sz w:val="24"/>
          <w:szCs w:val="24"/>
        </w:rPr>
        <w:t xml:space="preserve"> depositarios de los derechos de propi</w:t>
      </w:r>
      <w:r w:rsidR="00A87BDA">
        <w:rPr>
          <w:sz w:val="24"/>
          <w:szCs w:val="24"/>
        </w:rPr>
        <w:t xml:space="preserve">edad intelectual, por un lado, </w:t>
      </w:r>
      <w:r w:rsidR="00A87BDA" w:rsidRPr="00A87BDA">
        <w:rPr>
          <w:sz w:val="24"/>
          <w:szCs w:val="24"/>
        </w:rPr>
        <w:t>y en custodios de dicho acervo, por otro.</w:t>
      </w:r>
    </w:p>
    <w:p w:rsidR="00D0776A" w:rsidRDefault="00A87BDA" w:rsidP="00666C0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E0E96">
        <w:rPr>
          <w:sz w:val="24"/>
          <w:szCs w:val="24"/>
        </w:rPr>
        <w:t>Hoy,</w:t>
      </w:r>
      <w:r>
        <w:rPr>
          <w:sz w:val="24"/>
          <w:szCs w:val="24"/>
        </w:rPr>
        <w:t xml:space="preserve"> 2019,</w:t>
      </w:r>
      <w:r w:rsidR="003A3C72">
        <w:rPr>
          <w:sz w:val="24"/>
          <w:szCs w:val="24"/>
        </w:rPr>
        <w:t xml:space="preserve"> h</w:t>
      </w:r>
      <w:r w:rsidR="006A2BC6">
        <w:rPr>
          <w:sz w:val="24"/>
          <w:szCs w:val="24"/>
        </w:rPr>
        <w:t>abi</w:t>
      </w:r>
      <w:r w:rsidR="00173F08">
        <w:rPr>
          <w:sz w:val="24"/>
          <w:szCs w:val="24"/>
        </w:rPr>
        <w:t>tamos un mundo globalizado, sobre informado e in</w:t>
      </w:r>
      <w:r w:rsidR="003A3C72">
        <w:rPr>
          <w:sz w:val="24"/>
          <w:szCs w:val="24"/>
        </w:rPr>
        <w:t xml:space="preserve">terconectado, </w:t>
      </w:r>
      <w:r w:rsidR="00CE0E96">
        <w:rPr>
          <w:sz w:val="24"/>
          <w:szCs w:val="24"/>
        </w:rPr>
        <w:t xml:space="preserve">en el que </w:t>
      </w:r>
      <w:r w:rsidR="003A3C72">
        <w:rPr>
          <w:sz w:val="24"/>
          <w:szCs w:val="24"/>
        </w:rPr>
        <w:t xml:space="preserve">preocupa el cambio climático y la disrupción tecnológica. </w:t>
      </w:r>
      <w:r w:rsidR="00D72C9A">
        <w:rPr>
          <w:sz w:val="24"/>
          <w:szCs w:val="24"/>
        </w:rPr>
        <w:t xml:space="preserve">A las puertas de la quinta revolución industrial o tecnológica. </w:t>
      </w:r>
      <w:r w:rsidR="00E81BA3">
        <w:rPr>
          <w:sz w:val="24"/>
          <w:szCs w:val="24"/>
        </w:rPr>
        <w:t xml:space="preserve">En las redes sociales hay una vorágine de información </w:t>
      </w:r>
      <w:r w:rsidR="007267AB">
        <w:rPr>
          <w:sz w:val="24"/>
          <w:szCs w:val="24"/>
        </w:rPr>
        <w:t>que puede ser verdadera o falsa,</w:t>
      </w:r>
      <w:r w:rsidR="00E81BA3">
        <w:rPr>
          <w:sz w:val="24"/>
          <w:szCs w:val="24"/>
        </w:rPr>
        <w:t xml:space="preserve"> multiplicidad de discursos, </w:t>
      </w:r>
      <w:r w:rsidR="008A4381">
        <w:rPr>
          <w:sz w:val="24"/>
          <w:szCs w:val="24"/>
        </w:rPr>
        <w:t>muchas voces.</w:t>
      </w:r>
    </w:p>
    <w:p w:rsidR="00A87BDA" w:rsidRDefault="004848FB" w:rsidP="00666C0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215CF">
        <w:rPr>
          <w:sz w:val="24"/>
          <w:szCs w:val="24"/>
        </w:rPr>
        <w:t>Continúan las luchas y movilizac</w:t>
      </w:r>
      <w:r w:rsidR="00490953">
        <w:rPr>
          <w:sz w:val="24"/>
          <w:szCs w:val="24"/>
        </w:rPr>
        <w:t>iones sociales.</w:t>
      </w:r>
      <w:r w:rsidR="00A215CF">
        <w:rPr>
          <w:sz w:val="24"/>
          <w:szCs w:val="24"/>
        </w:rPr>
        <w:t xml:space="preserve"> </w:t>
      </w:r>
      <w:r w:rsidR="00F35BED">
        <w:rPr>
          <w:sz w:val="24"/>
          <w:szCs w:val="24"/>
        </w:rPr>
        <w:t xml:space="preserve">Otros sujetos políticos </w:t>
      </w:r>
      <w:r w:rsidR="007267AB">
        <w:rPr>
          <w:sz w:val="24"/>
          <w:szCs w:val="24"/>
        </w:rPr>
        <w:t>se han sumado, con nuevas</w:t>
      </w:r>
      <w:r>
        <w:rPr>
          <w:sz w:val="24"/>
          <w:szCs w:val="24"/>
        </w:rPr>
        <w:t xml:space="preserve"> demandas y sensibilidades.</w:t>
      </w:r>
      <w:r w:rsidR="00DD54FE">
        <w:rPr>
          <w:sz w:val="24"/>
          <w:szCs w:val="24"/>
        </w:rPr>
        <w:t xml:space="preserve"> Al igual que en 19</w:t>
      </w:r>
      <w:r w:rsidR="008167F8">
        <w:rPr>
          <w:sz w:val="24"/>
          <w:szCs w:val="24"/>
        </w:rPr>
        <w:t>19, voces han sido silenciadas,</w:t>
      </w:r>
      <w:r w:rsidR="00DD54FE">
        <w:rPr>
          <w:sz w:val="24"/>
          <w:szCs w:val="24"/>
        </w:rPr>
        <w:t xml:space="preserve"> ha corrido sangre</w:t>
      </w:r>
      <w:r w:rsidR="007267AB">
        <w:rPr>
          <w:sz w:val="24"/>
          <w:szCs w:val="24"/>
        </w:rPr>
        <w:t xml:space="preserve">, vidas que se han ido; pero muchas otras siguen en pie de lucha, </w:t>
      </w:r>
      <w:r w:rsidR="008A4381">
        <w:rPr>
          <w:sz w:val="24"/>
          <w:szCs w:val="24"/>
        </w:rPr>
        <w:t>fortalecidas por la esperanza.</w:t>
      </w:r>
      <w:r w:rsidR="00F35BED">
        <w:rPr>
          <w:sz w:val="24"/>
          <w:szCs w:val="24"/>
        </w:rPr>
        <w:t xml:space="preserve"> </w:t>
      </w:r>
      <w:r w:rsidR="00A215CF">
        <w:rPr>
          <w:sz w:val="24"/>
          <w:szCs w:val="24"/>
        </w:rPr>
        <w:t xml:space="preserve">Las tácticas y estrategias del imperialismo se </w:t>
      </w:r>
      <w:r w:rsidR="00490953">
        <w:rPr>
          <w:sz w:val="24"/>
          <w:szCs w:val="24"/>
        </w:rPr>
        <w:t>han transformado</w:t>
      </w:r>
      <w:r w:rsidR="00F35BED">
        <w:rPr>
          <w:sz w:val="24"/>
          <w:szCs w:val="24"/>
        </w:rPr>
        <w:t xml:space="preserve"> y ajustado a las circunstancias del momento. </w:t>
      </w:r>
      <w:r w:rsidR="0041418D">
        <w:rPr>
          <w:sz w:val="24"/>
          <w:szCs w:val="24"/>
        </w:rPr>
        <w:t>A futuro, algunas posiciones y discursos alertan sobre</w:t>
      </w:r>
      <w:r w:rsidR="00026E99">
        <w:rPr>
          <w:sz w:val="24"/>
          <w:szCs w:val="24"/>
        </w:rPr>
        <w:t xml:space="preserve"> los </w:t>
      </w:r>
      <w:r w:rsidR="0041418D">
        <w:rPr>
          <w:sz w:val="24"/>
          <w:szCs w:val="24"/>
        </w:rPr>
        <w:t>peligro</w:t>
      </w:r>
      <w:r w:rsidR="00194362">
        <w:rPr>
          <w:sz w:val="24"/>
          <w:szCs w:val="24"/>
        </w:rPr>
        <w:t>s de una guerra nuclear, otros apuntan hacia</w:t>
      </w:r>
      <w:r w:rsidR="0041418D">
        <w:rPr>
          <w:sz w:val="24"/>
          <w:szCs w:val="24"/>
        </w:rPr>
        <w:t xml:space="preserve"> una guerra ecológica y otros </w:t>
      </w:r>
      <w:r w:rsidR="00194362">
        <w:rPr>
          <w:sz w:val="24"/>
          <w:szCs w:val="24"/>
        </w:rPr>
        <w:t xml:space="preserve">se decantan por la guerra cultural </w:t>
      </w:r>
      <w:r w:rsidR="00886681">
        <w:rPr>
          <w:sz w:val="24"/>
          <w:szCs w:val="24"/>
        </w:rPr>
        <w:t xml:space="preserve">mundial, batallas por los contenidos y sus formatos. </w:t>
      </w:r>
    </w:p>
    <w:p w:rsidR="00B947E2" w:rsidRDefault="00C01064" w:rsidP="00666C0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En este contexto histórico,</w:t>
      </w:r>
      <w:r w:rsidR="005D053E">
        <w:rPr>
          <w:sz w:val="24"/>
          <w:szCs w:val="24"/>
        </w:rPr>
        <w:t xml:space="preserve"> ágil, diverso, global e </w:t>
      </w:r>
      <w:r w:rsidR="00D72C9A">
        <w:rPr>
          <w:sz w:val="24"/>
          <w:szCs w:val="24"/>
        </w:rPr>
        <w:t xml:space="preserve">interconectado </w:t>
      </w:r>
      <w:r w:rsidR="003A3C72">
        <w:rPr>
          <w:sz w:val="24"/>
          <w:szCs w:val="24"/>
        </w:rPr>
        <w:t xml:space="preserve">se conmemora el 100 aniversario del </w:t>
      </w:r>
      <w:r w:rsidR="003A3C72" w:rsidRPr="00A87BDA">
        <w:rPr>
          <w:i/>
          <w:sz w:val="24"/>
          <w:szCs w:val="24"/>
        </w:rPr>
        <w:t>Repertorio Americano</w:t>
      </w:r>
      <w:r w:rsidR="003A3C72">
        <w:rPr>
          <w:sz w:val="24"/>
          <w:szCs w:val="24"/>
        </w:rPr>
        <w:t>, para el IDELA es un gran honor y una responsabilidad inconmensurable</w:t>
      </w:r>
      <w:r>
        <w:rPr>
          <w:sz w:val="24"/>
          <w:szCs w:val="24"/>
        </w:rPr>
        <w:t>.</w:t>
      </w:r>
      <w:r w:rsidR="00F35BED">
        <w:rPr>
          <w:sz w:val="24"/>
          <w:szCs w:val="24"/>
        </w:rPr>
        <w:t xml:space="preserve"> </w:t>
      </w:r>
      <w:r w:rsidR="00CD09BD">
        <w:rPr>
          <w:sz w:val="24"/>
          <w:szCs w:val="24"/>
        </w:rPr>
        <w:t>Fieles a la vis</w:t>
      </w:r>
      <w:r w:rsidR="00B06291">
        <w:rPr>
          <w:sz w:val="24"/>
          <w:szCs w:val="24"/>
        </w:rPr>
        <w:t xml:space="preserve">ión y pensamiento de García Monge, </w:t>
      </w:r>
      <w:r w:rsidR="00640C8E">
        <w:rPr>
          <w:sz w:val="24"/>
          <w:szCs w:val="24"/>
        </w:rPr>
        <w:t>hemos preparado el</w:t>
      </w:r>
      <w:r w:rsidR="002F27C4">
        <w:rPr>
          <w:sz w:val="24"/>
          <w:szCs w:val="24"/>
        </w:rPr>
        <w:t xml:space="preserve"> n</w:t>
      </w:r>
      <w:r w:rsidR="00CD3E89">
        <w:rPr>
          <w:sz w:val="24"/>
          <w:szCs w:val="24"/>
        </w:rPr>
        <w:t>úmero</w:t>
      </w:r>
      <w:r w:rsidR="00640C8E">
        <w:rPr>
          <w:sz w:val="24"/>
          <w:szCs w:val="24"/>
        </w:rPr>
        <w:t xml:space="preserve"> 29 (2019)</w:t>
      </w:r>
      <w:r w:rsidR="00CD3E89">
        <w:rPr>
          <w:sz w:val="24"/>
          <w:szCs w:val="24"/>
        </w:rPr>
        <w:t xml:space="preserve"> que recoge</w:t>
      </w:r>
      <w:r w:rsidR="002F27C4">
        <w:rPr>
          <w:sz w:val="24"/>
          <w:szCs w:val="24"/>
        </w:rPr>
        <w:t xml:space="preserve"> voces </w:t>
      </w:r>
      <w:r w:rsidR="00CD3E89">
        <w:rPr>
          <w:sz w:val="24"/>
          <w:szCs w:val="24"/>
        </w:rPr>
        <w:t xml:space="preserve">del pasado y del presente. </w:t>
      </w:r>
      <w:r w:rsidR="00407771">
        <w:rPr>
          <w:sz w:val="24"/>
          <w:szCs w:val="24"/>
        </w:rPr>
        <w:t xml:space="preserve">Las temáticas incluidas </w:t>
      </w:r>
      <w:r w:rsidR="0013557B">
        <w:rPr>
          <w:sz w:val="24"/>
          <w:szCs w:val="24"/>
        </w:rPr>
        <w:t xml:space="preserve">tocan la cultura universal y latinoamericana. </w:t>
      </w:r>
    </w:p>
    <w:p w:rsidR="00C01064" w:rsidRDefault="00C01064" w:rsidP="00666C0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0C3F59">
        <w:rPr>
          <w:sz w:val="24"/>
          <w:szCs w:val="24"/>
        </w:rPr>
        <w:t>En sección de artículos, h</w:t>
      </w:r>
      <w:r w:rsidR="00224391">
        <w:rPr>
          <w:sz w:val="24"/>
          <w:szCs w:val="24"/>
        </w:rPr>
        <w:t>ay reflexiones enmarcadas en</w:t>
      </w:r>
      <w:r w:rsidR="00A50FA2">
        <w:rPr>
          <w:sz w:val="24"/>
          <w:szCs w:val="24"/>
        </w:rPr>
        <w:t>:</w:t>
      </w:r>
      <w:r w:rsidR="00224391">
        <w:rPr>
          <w:sz w:val="24"/>
          <w:szCs w:val="24"/>
        </w:rPr>
        <w:t xml:space="preserve"> el pasado precolombino, </w:t>
      </w:r>
      <w:r w:rsidR="000C3F59">
        <w:rPr>
          <w:sz w:val="24"/>
          <w:szCs w:val="24"/>
        </w:rPr>
        <w:t>el exilio, la memoria política, la pedagogía crítica,</w:t>
      </w:r>
      <w:r w:rsidR="00A50FA2">
        <w:rPr>
          <w:sz w:val="24"/>
          <w:szCs w:val="24"/>
        </w:rPr>
        <w:t xml:space="preserve"> los personalismos,</w:t>
      </w:r>
      <w:r w:rsidR="000C3F59">
        <w:rPr>
          <w:sz w:val="24"/>
          <w:szCs w:val="24"/>
        </w:rPr>
        <w:t xml:space="preserve"> </w:t>
      </w:r>
      <w:r w:rsidR="000E1ED0">
        <w:rPr>
          <w:sz w:val="24"/>
          <w:szCs w:val="24"/>
        </w:rPr>
        <w:t xml:space="preserve">las relaciones entre política y religión, el amor en las redes sociales, </w:t>
      </w:r>
      <w:r w:rsidR="00A50FA2">
        <w:rPr>
          <w:sz w:val="24"/>
          <w:szCs w:val="24"/>
        </w:rPr>
        <w:t xml:space="preserve">el mundo del trabajo, el </w:t>
      </w:r>
      <w:proofErr w:type="spellStart"/>
      <w:r w:rsidR="00A50FA2" w:rsidRPr="00A50FA2">
        <w:rPr>
          <w:i/>
          <w:sz w:val="24"/>
          <w:szCs w:val="24"/>
        </w:rPr>
        <w:t>mobbing</w:t>
      </w:r>
      <w:proofErr w:type="spellEnd"/>
      <w:r w:rsidR="00A50FA2">
        <w:rPr>
          <w:sz w:val="24"/>
          <w:szCs w:val="24"/>
        </w:rPr>
        <w:t xml:space="preserve"> académico, el</w:t>
      </w:r>
      <w:r w:rsidR="000E1ED0">
        <w:rPr>
          <w:sz w:val="24"/>
          <w:szCs w:val="24"/>
        </w:rPr>
        <w:t xml:space="preserve"> </w:t>
      </w:r>
      <w:proofErr w:type="spellStart"/>
      <w:r w:rsidR="000E1ED0">
        <w:rPr>
          <w:sz w:val="24"/>
          <w:szCs w:val="24"/>
        </w:rPr>
        <w:t>interinazgo</w:t>
      </w:r>
      <w:proofErr w:type="spellEnd"/>
      <w:r w:rsidR="000E1ED0">
        <w:rPr>
          <w:sz w:val="24"/>
          <w:szCs w:val="24"/>
        </w:rPr>
        <w:t xml:space="preserve"> en la universidad. </w:t>
      </w:r>
      <w:r w:rsidR="00631207">
        <w:rPr>
          <w:sz w:val="24"/>
          <w:szCs w:val="24"/>
        </w:rPr>
        <w:t xml:space="preserve">Además, </w:t>
      </w:r>
      <w:r w:rsidR="009C5349">
        <w:rPr>
          <w:sz w:val="24"/>
          <w:szCs w:val="24"/>
        </w:rPr>
        <w:t xml:space="preserve">presentamos textos que plantean interesantes </w:t>
      </w:r>
      <w:r w:rsidR="009936A5">
        <w:rPr>
          <w:sz w:val="24"/>
          <w:szCs w:val="24"/>
        </w:rPr>
        <w:t xml:space="preserve">y críticos </w:t>
      </w:r>
      <w:r w:rsidR="009C5349">
        <w:rPr>
          <w:sz w:val="24"/>
          <w:szCs w:val="24"/>
        </w:rPr>
        <w:t xml:space="preserve">análisis desde el cine, el cómic, los videojuegos y la música. </w:t>
      </w:r>
    </w:p>
    <w:p w:rsidR="00F27554" w:rsidRDefault="00F27554" w:rsidP="00666C0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En publicaciones póstumas se recuerda y rinde homenaje a dos </w:t>
      </w:r>
      <w:r w:rsidR="0056147D">
        <w:rPr>
          <w:sz w:val="24"/>
          <w:szCs w:val="24"/>
        </w:rPr>
        <w:t xml:space="preserve">eminentes académicos de la intelectualidad </w:t>
      </w:r>
      <w:r w:rsidR="003B7021">
        <w:rPr>
          <w:sz w:val="24"/>
          <w:szCs w:val="24"/>
        </w:rPr>
        <w:t xml:space="preserve">costarricense: Franco </w:t>
      </w:r>
      <w:proofErr w:type="spellStart"/>
      <w:r w:rsidR="003B7021">
        <w:rPr>
          <w:sz w:val="24"/>
          <w:szCs w:val="24"/>
        </w:rPr>
        <w:t>Cerutti</w:t>
      </w:r>
      <w:proofErr w:type="spellEnd"/>
      <w:r w:rsidR="003B7021">
        <w:rPr>
          <w:sz w:val="24"/>
          <w:szCs w:val="24"/>
        </w:rPr>
        <w:t xml:space="preserve"> </w:t>
      </w:r>
      <w:proofErr w:type="spellStart"/>
      <w:r w:rsidR="003B7021">
        <w:rPr>
          <w:sz w:val="24"/>
          <w:szCs w:val="24"/>
        </w:rPr>
        <w:t>Frigenio</w:t>
      </w:r>
      <w:proofErr w:type="spellEnd"/>
      <w:r w:rsidR="003B7021">
        <w:rPr>
          <w:sz w:val="24"/>
          <w:szCs w:val="24"/>
        </w:rPr>
        <w:t xml:space="preserve"> y Helena Ospina Garcés, escritores pr</w:t>
      </w:r>
      <w:r w:rsidR="004A749E">
        <w:rPr>
          <w:sz w:val="24"/>
          <w:szCs w:val="24"/>
        </w:rPr>
        <w:t xml:space="preserve">olijos y estudiosos infatigables. </w:t>
      </w:r>
    </w:p>
    <w:p w:rsidR="00DE7350" w:rsidRDefault="009936A5" w:rsidP="00666C0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En la sección de creación, voces </w:t>
      </w:r>
      <w:r w:rsidR="00F27554">
        <w:rPr>
          <w:sz w:val="24"/>
          <w:szCs w:val="24"/>
        </w:rPr>
        <w:t>nuevas, frescas</w:t>
      </w:r>
      <w:r w:rsidR="004A749E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E1211D">
        <w:rPr>
          <w:sz w:val="24"/>
          <w:szCs w:val="24"/>
        </w:rPr>
        <w:t>construyen imágenes y sentimientos de temas intimistas o sociales, presentados en forma de poema, narración, d</w:t>
      </w:r>
      <w:r w:rsidR="0056147D">
        <w:rPr>
          <w:sz w:val="24"/>
          <w:szCs w:val="24"/>
        </w:rPr>
        <w:t xml:space="preserve">écima y </w:t>
      </w:r>
      <w:r w:rsidR="00E1211D">
        <w:rPr>
          <w:sz w:val="24"/>
          <w:szCs w:val="24"/>
        </w:rPr>
        <w:t xml:space="preserve">testimonio. </w:t>
      </w:r>
      <w:r w:rsidR="004A749E">
        <w:rPr>
          <w:sz w:val="24"/>
          <w:szCs w:val="24"/>
        </w:rPr>
        <w:t xml:space="preserve"> F</w:t>
      </w:r>
      <w:r w:rsidR="0075074F">
        <w:rPr>
          <w:sz w:val="24"/>
          <w:szCs w:val="24"/>
        </w:rPr>
        <w:t>inalmente, en la sección de notas y publicaciones, presentamos cinco reseñas de trabajos poéticos desde la palab</w:t>
      </w:r>
      <w:r w:rsidR="007D3226">
        <w:rPr>
          <w:sz w:val="24"/>
          <w:szCs w:val="24"/>
        </w:rPr>
        <w:t xml:space="preserve">ra y la imagen visual: </w:t>
      </w:r>
      <w:r w:rsidR="001D7917">
        <w:rPr>
          <w:sz w:val="24"/>
          <w:szCs w:val="24"/>
        </w:rPr>
        <w:t xml:space="preserve">oriente, misticismo, versos dibujados y afectos hechos abrazos, </w:t>
      </w:r>
      <w:r w:rsidR="00DE7350">
        <w:rPr>
          <w:sz w:val="24"/>
          <w:szCs w:val="24"/>
        </w:rPr>
        <w:t>de papel, de beso o secretos.</w:t>
      </w:r>
    </w:p>
    <w:p w:rsidR="00165BBA" w:rsidRPr="007267AB" w:rsidRDefault="00342449" w:rsidP="00666C09">
      <w:pPr>
        <w:spacing w:line="360" w:lineRule="auto"/>
        <w:jc w:val="both"/>
        <w:rPr>
          <w:rFonts w:eastAsia="Times New Roman" w:cs="Segoe UI"/>
          <w:sz w:val="24"/>
          <w:szCs w:val="24"/>
          <w:lang w:eastAsia="es-CR"/>
        </w:rPr>
      </w:pPr>
      <w:r>
        <w:rPr>
          <w:sz w:val="24"/>
          <w:szCs w:val="24"/>
        </w:rPr>
        <w:tab/>
        <w:t xml:space="preserve">Así, </w:t>
      </w:r>
      <w:r w:rsidR="00B06291" w:rsidRPr="00342449">
        <w:rPr>
          <w:rFonts w:eastAsia="Times New Roman" w:cs="Segoe UI"/>
          <w:i/>
          <w:sz w:val="24"/>
          <w:szCs w:val="24"/>
          <w:lang w:eastAsia="es-CR"/>
        </w:rPr>
        <w:t>Repertorio Americano</w:t>
      </w:r>
      <w:r w:rsidR="00B06291" w:rsidRPr="00342449">
        <w:rPr>
          <w:rFonts w:eastAsia="Times New Roman" w:cs="Segoe UI"/>
          <w:sz w:val="24"/>
          <w:szCs w:val="24"/>
          <w:lang w:eastAsia="es-CR"/>
        </w:rPr>
        <w:t>, Segunda Nueva É</w:t>
      </w:r>
      <w:r>
        <w:rPr>
          <w:rFonts w:eastAsia="Times New Roman" w:cs="Segoe UI"/>
          <w:sz w:val="24"/>
          <w:szCs w:val="24"/>
          <w:lang w:eastAsia="es-CR"/>
        </w:rPr>
        <w:t xml:space="preserve">poca, mantiene la impronta </w:t>
      </w:r>
      <w:proofErr w:type="spellStart"/>
      <w:r>
        <w:rPr>
          <w:rFonts w:eastAsia="Times New Roman" w:cs="Segoe UI"/>
          <w:sz w:val="24"/>
          <w:szCs w:val="24"/>
          <w:lang w:eastAsia="es-CR"/>
        </w:rPr>
        <w:t>garcí</w:t>
      </w:r>
      <w:r w:rsidR="00B06291" w:rsidRPr="00342449">
        <w:rPr>
          <w:rFonts w:eastAsia="Times New Roman" w:cs="Segoe UI"/>
          <w:sz w:val="24"/>
          <w:szCs w:val="24"/>
          <w:lang w:eastAsia="es-CR"/>
        </w:rPr>
        <w:t>amongeana</w:t>
      </w:r>
      <w:proofErr w:type="spellEnd"/>
      <w:r w:rsidR="00B06291" w:rsidRPr="00342449">
        <w:rPr>
          <w:rFonts w:eastAsia="Times New Roman" w:cs="Segoe UI"/>
          <w:sz w:val="24"/>
          <w:szCs w:val="24"/>
          <w:lang w:eastAsia="es-CR"/>
        </w:rPr>
        <w:t xml:space="preserve"> de acercamiento y conocimiento de los pueblos por la cultura</w:t>
      </w:r>
      <w:r>
        <w:rPr>
          <w:rFonts w:eastAsia="Times New Roman" w:cs="Segoe UI"/>
          <w:sz w:val="24"/>
          <w:szCs w:val="24"/>
          <w:lang w:eastAsia="es-CR"/>
        </w:rPr>
        <w:t xml:space="preserve">. </w:t>
      </w:r>
      <w:r w:rsidR="00640C8E">
        <w:rPr>
          <w:rFonts w:eastAsia="Times New Roman" w:cs="Segoe UI"/>
          <w:sz w:val="24"/>
          <w:szCs w:val="24"/>
          <w:lang w:eastAsia="es-CR"/>
        </w:rPr>
        <w:t>Les damos nuestra cordial bienvenida a ustedes personas colaboradoras y lectoras</w:t>
      </w:r>
      <w:r w:rsidR="00165BBA">
        <w:rPr>
          <w:rFonts w:eastAsia="Times New Roman" w:cs="Segoe UI"/>
          <w:sz w:val="24"/>
          <w:szCs w:val="24"/>
          <w:lang w:eastAsia="es-CR"/>
        </w:rPr>
        <w:t xml:space="preserve">. Gracias por ayudarnos a mantener vivo el legado de diálogo, fraternidad y unión. </w:t>
      </w:r>
      <w:r w:rsidR="007267AB" w:rsidRPr="007267AB">
        <w:rPr>
          <w:rFonts w:ascii="Calibri" w:hAnsi="Calibri" w:cs="Calibri"/>
          <w:sz w:val="24"/>
          <w:szCs w:val="24"/>
        </w:rPr>
        <w:t xml:space="preserve">En palabras de don Joaquín: “Estaremos unidos por la cultura”. </w:t>
      </w:r>
    </w:p>
    <w:p w:rsidR="00165BBA" w:rsidRPr="00923401" w:rsidRDefault="00165BBA" w:rsidP="00165BBA">
      <w:pPr>
        <w:jc w:val="right"/>
        <w:rPr>
          <w:rFonts w:ascii="Calibri" w:hAnsi="Calibri" w:cs="Calibri"/>
          <w:sz w:val="24"/>
          <w:szCs w:val="24"/>
        </w:rPr>
      </w:pPr>
      <w:r w:rsidRPr="00923401">
        <w:rPr>
          <w:rFonts w:ascii="Calibri" w:hAnsi="Calibri" w:cs="Calibri"/>
          <w:sz w:val="24"/>
          <w:szCs w:val="24"/>
        </w:rPr>
        <w:t>Nuria Rodríguez Vargas</w:t>
      </w:r>
    </w:p>
    <w:p w:rsidR="00165BBA" w:rsidRPr="00923401" w:rsidRDefault="00165BBA" w:rsidP="00165BBA">
      <w:pPr>
        <w:jc w:val="right"/>
        <w:rPr>
          <w:rFonts w:ascii="Calibri" w:hAnsi="Calibri" w:cs="Calibri"/>
          <w:sz w:val="24"/>
          <w:szCs w:val="24"/>
        </w:rPr>
      </w:pPr>
      <w:r w:rsidRPr="00923401">
        <w:rPr>
          <w:rFonts w:ascii="Calibri" w:hAnsi="Calibri" w:cs="Calibri"/>
          <w:sz w:val="24"/>
          <w:szCs w:val="24"/>
        </w:rPr>
        <w:t>Editora</w:t>
      </w:r>
      <w:r w:rsidRPr="00923401">
        <w:rPr>
          <w:rFonts w:ascii="Calibri" w:hAnsi="Calibri" w:cs="Calibri"/>
          <w:sz w:val="24"/>
          <w:szCs w:val="24"/>
        </w:rPr>
        <w:br/>
      </w:r>
      <w:r w:rsidRPr="00923401">
        <w:rPr>
          <w:rFonts w:ascii="Calibri" w:hAnsi="Calibri" w:cs="Calibri"/>
          <w:i/>
          <w:sz w:val="24"/>
          <w:szCs w:val="24"/>
        </w:rPr>
        <w:t>Repertorio Americano, Segunda Nueva Época</w:t>
      </w:r>
    </w:p>
    <w:p w:rsidR="005545C7" w:rsidRPr="005545C7" w:rsidRDefault="009C5349" w:rsidP="00165BBA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5545C7" w:rsidRPr="005545C7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065" w:rsidRDefault="00280065" w:rsidP="00103300">
      <w:pPr>
        <w:spacing w:after="0" w:line="240" w:lineRule="auto"/>
      </w:pPr>
      <w:r>
        <w:separator/>
      </w:r>
    </w:p>
  </w:endnote>
  <w:endnote w:type="continuationSeparator" w:id="0">
    <w:p w:rsidR="00280065" w:rsidRDefault="00280065" w:rsidP="00103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9535291"/>
      <w:docPartObj>
        <w:docPartGallery w:val="Page Numbers (Bottom of Page)"/>
        <w:docPartUnique/>
      </w:docPartObj>
    </w:sdtPr>
    <w:sdtEndPr/>
    <w:sdtContent>
      <w:p w:rsidR="00A430C8" w:rsidRDefault="00A430C8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6270" w:rsidRPr="003B6270">
          <w:rPr>
            <w:noProof/>
            <w:lang w:val="es-ES"/>
          </w:rPr>
          <w:t>1</w:t>
        </w:r>
        <w:r>
          <w:fldChar w:fldCharType="end"/>
        </w:r>
      </w:p>
    </w:sdtContent>
  </w:sdt>
  <w:p w:rsidR="00A430C8" w:rsidRDefault="00A430C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065" w:rsidRDefault="00280065" w:rsidP="00103300">
      <w:pPr>
        <w:spacing w:after="0" w:line="240" w:lineRule="auto"/>
      </w:pPr>
      <w:r>
        <w:separator/>
      </w:r>
    </w:p>
  </w:footnote>
  <w:footnote w:type="continuationSeparator" w:id="0">
    <w:p w:rsidR="00280065" w:rsidRDefault="00280065" w:rsidP="00103300">
      <w:pPr>
        <w:spacing w:after="0" w:line="240" w:lineRule="auto"/>
      </w:pPr>
      <w:r>
        <w:continuationSeparator/>
      </w:r>
    </w:p>
  </w:footnote>
  <w:footnote w:id="1">
    <w:p w:rsidR="00103300" w:rsidRDefault="00103300">
      <w:pPr>
        <w:pStyle w:val="Textonotapie"/>
      </w:pPr>
      <w:r>
        <w:rPr>
          <w:rStyle w:val="Refdenotaalpie"/>
        </w:rPr>
        <w:footnoteRef/>
      </w:r>
      <w:r>
        <w:t xml:space="preserve">Cortés, Carlos (2019). </w:t>
      </w:r>
      <w:r w:rsidRPr="00103300">
        <w:rPr>
          <w:i/>
        </w:rPr>
        <w:t>El año de la ira</w:t>
      </w:r>
      <w:r>
        <w:t>. Editorial Alfaguara: México D.F.</w:t>
      </w:r>
    </w:p>
  </w:footnote>
  <w:footnote w:id="2">
    <w:p w:rsidR="00D0776A" w:rsidRPr="00D0776A" w:rsidRDefault="00D0776A" w:rsidP="00D0776A">
      <w:pPr>
        <w:spacing w:line="240" w:lineRule="auto"/>
        <w:jc w:val="both"/>
        <w:rPr>
          <w:sz w:val="24"/>
          <w:szCs w:val="24"/>
        </w:rPr>
      </w:pPr>
      <w:r>
        <w:rPr>
          <w:rStyle w:val="Refdenotaalpie"/>
        </w:rPr>
        <w:footnoteRef/>
      </w:r>
      <w:r>
        <w:t xml:space="preserve"> </w:t>
      </w:r>
      <w:r w:rsidRPr="00D0776A">
        <w:rPr>
          <w:color w:val="1C1E21"/>
          <w:sz w:val="18"/>
          <w:szCs w:val="18"/>
          <w:shd w:val="clear" w:color="auto" w:fill="FFFFFF"/>
        </w:rPr>
        <w:t>Apertura del Coloquio</w:t>
      </w:r>
      <w:r>
        <w:rPr>
          <w:color w:val="1C1E21"/>
          <w:sz w:val="18"/>
          <w:szCs w:val="18"/>
          <w:shd w:val="clear" w:color="auto" w:fill="FFFFFF"/>
        </w:rPr>
        <w:t>:</w:t>
      </w:r>
      <w:r w:rsidRPr="00D0776A">
        <w:rPr>
          <w:color w:val="1C1E21"/>
          <w:sz w:val="18"/>
          <w:szCs w:val="18"/>
          <w:shd w:val="clear" w:color="auto" w:fill="FFFFFF"/>
        </w:rPr>
        <w:t xml:space="preserve"> "Un siglo de Repertorio Americano" (1919-2019). IDELA UNA &amp; Biblioteca Nacional. San. José, Costa Rica. Conferencia de apertura: </w:t>
      </w:r>
      <w:r w:rsidRPr="00D0776A">
        <w:rPr>
          <w:i/>
          <w:color w:val="1C1E21"/>
          <w:sz w:val="18"/>
          <w:szCs w:val="18"/>
          <w:shd w:val="clear" w:color="auto" w:fill="FFFFFF"/>
        </w:rPr>
        <w:t>Historia de Repertorio Americano y rutas de interpretación del impreso</w:t>
      </w:r>
      <w:r w:rsidRPr="00D0776A">
        <w:rPr>
          <w:color w:val="1C1E21"/>
          <w:sz w:val="18"/>
          <w:szCs w:val="18"/>
          <w:shd w:val="clear" w:color="auto" w:fill="FFFFFF"/>
        </w:rPr>
        <w:t>. Dr</w:t>
      </w:r>
      <w:r w:rsidR="0056147D">
        <w:rPr>
          <w:color w:val="1C1E21"/>
          <w:sz w:val="18"/>
          <w:szCs w:val="18"/>
          <w:shd w:val="clear" w:color="auto" w:fill="FFFFFF"/>
        </w:rPr>
        <w:t xml:space="preserve">. Mario Oliva Medina. </w:t>
      </w:r>
    </w:p>
    <w:p w:rsidR="00D0776A" w:rsidRDefault="00D0776A">
      <w:pPr>
        <w:pStyle w:val="Textonotapie"/>
      </w:pPr>
    </w:p>
    <w:p w:rsidR="00D0776A" w:rsidRDefault="00D0776A">
      <w:pPr>
        <w:pStyle w:val="Textonotapie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E16"/>
    <w:rsid w:val="000229E2"/>
    <w:rsid w:val="00026E99"/>
    <w:rsid w:val="00074028"/>
    <w:rsid w:val="000757AB"/>
    <w:rsid w:val="000771B3"/>
    <w:rsid w:val="000C3F59"/>
    <w:rsid w:val="000D2209"/>
    <w:rsid w:val="000E1ED0"/>
    <w:rsid w:val="00103300"/>
    <w:rsid w:val="00107D70"/>
    <w:rsid w:val="001344B8"/>
    <w:rsid w:val="0013557B"/>
    <w:rsid w:val="00165BBA"/>
    <w:rsid w:val="00173F08"/>
    <w:rsid w:val="00193D5C"/>
    <w:rsid w:val="00194362"/>
    <w:rsid w:val="001D7917"/>
    <w:rsid w:val="00204811"/>
    <w:rsid w:val="00224391"/>
    <w:rsid w:val="00242E40"/>
    <w:rsid w:val="0027390A"/>
    <w:rsid w:val="00280065"/>
    <w:rsid w:val="002F27C4"/>
    <w:rsid w:val="002F5D16"/>
    <w:rsid w:val="00322631"/>
    <w:rsid w:val="003236BE"/>
    <w:rsid w:val="00342449"/>
    <w:rsid w:val="003760E6"/>
    <w:rsid w:val="003A3C72"/>
    <w:rsid w:val="003B6270"/>
    <w:rsid w:val="003B7021"/>
    <w:rsid w:val="00407771"/>
    <w:rsid w:val="0041418D"/>
    <w:rsid w:val="004841B9"/>
    <w:rsid w:val="004848FB"/>
    <w:rsid w:val="00490953"/>
    <w:rsid w:val="004A749E"/>
    <w:rsid w:val="005374E1"/>
    <w:rsid w:val="005545C7"/>
    <w:rsid w:val="0056147D"/>
    <w:rsid w:val="005D053E"/>
    <w:rsid w:val="005E6799"/>
    <w:rsid w:val="005F1287"/>
    <w:rsid w:val="00631207"/>
    <w:rsid w:val="00636304"/>
    <w:rsid w:val="00640C8E"/>
    <w:rsid w:val="00652F0E"/>
    <w:rsid w:val="00666C09"/>
    <w:rsid w:val="006A2BC6"/>
    <w:rsid w:val="006E3B0B"/>
    <w:rsid w:val="007267AB"/>
    <w:rsid w:val="007310B8"/>
    <w:rsid w:val="007410BE"/>
    <w:rsid w:val="0075074F"/>
    <w:rsid w:val="0075346B"/>
    <w:rsid w:val="007A6E43"/>
    <w:rsid w:val="007C6E91"/>
    <w:rsid w:val="007D3226"/>
    <w:rsid w:val="007D56F8"/>
    <w:rsid w:val="007E2452"/>
    <w:rsid w:val="007E379B"/>
    <w:rsid w:val="007E387E"/>
    <w:rsid w:val="008167F8"/>
    <w:rsid w:val="00886681"/>
    <w:rsid w:val="008A4381"/>
    <w:rsid w:val="008D79C0"/>
    <w:rsid w:val="008E6FB0"/>
    <w:rsid w:val="009249DA"/>
    <w:rsid w:val="00936ED3"/>
    <w:rsid w:val="009936A5"/>
    <w:rsid w:val="009A20D1"/>
    <w:rsid w:val="009A7C1E"/>
    <w:rsid w:val="009C2F33"/>
    <w:rsid w:val="009C5349"/>
    <w:rsid w:val="009D0AA3"/>
    <w:rsid w:val="009D236D"/>
    <w:rsid w:val="009F1087"/>
    <w:rsid w:val="009F6E59"/>
    <w:rsid w:val="00A13E4F"/>
    <w:rsid w:val="00A215CF"/>
    <w:rsid w:val="00A430C8"/>
    <w:rsid w:val="00A50FA2"/>
    <w:rsid w:val="00A5794B"/>
    <w:rsid w:val="00A87BDA"/>
    <w:rsid w:val="00A93606"/>
    <w:rsid w:val="00B06291"/>
    <w:rsid w:val="00B43D09"/>
    <w:rsid w:val="00B51AA3"/>
    <w:rsid w:val="00B947E2"/>
    <w:rsid w:val="00BA36AC"/>
    <w:rsid w:val="00C01064"/>
    <w:rsid w:val="00C41D72"/>
    <w:rsid w:val="00C628BC"/>
    <w:rsid w:val="00C72A4D"/>
    <w:rsid w:val="00C93E56"/>
    <w:rsid w:val="00CC6529"/>
    <w:rsid w:val="00CC6A66"/>
    <w:rsid w:val="00CD09BD"/>
    <w:rsid w:val="00CD3E89"/>
    <w:rsid w:val="00CE0E96"/>
    <w:rsid w:val="00D0776A"/>
    <w:rsid w:val="00D22835"/>
    <w:rsid w:val="00D331CF"/>
    <w:rsid w:val="00D72C9A"/>
    <w:rsid w:val="00D910E0"/>
    <w:rsid w:val="00DB53BF"/>
    <w:rsid w:val="00DD54FE"/>
    <w:rsid w:val="00DE4735"/>
    <w:rsid w:val="00DE7350"/>
    <w:rsid w:val="00E1211D"/>
    <w:rsid w:val="00E40B62"/>
    <w:rsid w:val="00E63DF5"/>
    <w:rsid w:val="00E6594D"/>
    <w:rsid w:val="00E71AAF"/>
    <w:rsid w:val="00E71D84"/>
    <w:rsid w:val="00E80143"/>
    <w:rsid w:val="00E81BA3"/>
    <w:rsid w:val="00E91B72"/>
    <w:rsid w:val="00EB78C0"/>
    <w:rsid w:val="00EC6F88"/>
    <w:rsid w:val="00F15D0D"/>
    <w:rsid w:val="00F27554"/>
    <w:rsid w:val="00F35BED"/>
    <w:rsid w:val="00F53E16"/>
    <w:rsid w:val="00FE2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7293C-72FF-44A7-8E79-D908E0B15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10330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03300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103300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A430C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430C8"/>
  </w:style>
  <w:style w:type="paragraph" w:styleId="Piedepgina">
    <w:name w:val="footer"/>
    <w:basedOn w:val="Normal"/>
    <w:link w:val="PiedepginaCar"/>
    <w:uiPriority w:val="99"/>
    <w:unhideWhenUsed/>
    <w:rsid w:val="00A430C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30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71DBA-1CAE-47B8-B1EB-88562FC07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1289</TotalTime>
  <Pages>4</Pages>
  <Words>1218</Words>
  <Characters>6702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Nuria Rodriguez</dc:creator>
  <cp:keywords/>
  <dc:description/>
  <cp:lastModifiedBy>Nuria Rodriguez</cp:lastModifiedBy>
  <cp:revision>43</cp:revision>
  <dcterms:created xsi:type="dcterms:W3CDTF">2020-01-23T04:21:00Z</dcterms:created>
  <dcterms:modified xsi:type="dcterms:W3CDTF">2020-01-27T06:57:00Z</dcterms:modified>
</cp:coreProperties>
</file>