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235AB" w14:textId="77777777" w:rsidR="00B83A1F" w:rsidRDefault="00B83A1F" w:rsidP="00B83A1F">
      <w:pPr>
        <w:pStyle w:val="Standard"/>
        <w:jc w:val="right"/>
        <w:rPr>
          <w:rFonts w:ascii="F" w:hAnsi="F" w:cs="F"/>
          <w:b/>
        </w:rPr>
      </w:pPr>
    </w:p>
    <w:p w14:paraId="6DF1D316" w14:textId="77777777" w:rsidR="00B83A1F" w:rsidRDefault="00B83A1F" w:rsidP="00B83A1F">
      <w:pPr>
        <w:pStyle w:val="Standard"/>
        <w:jc w:val="right"/>
        <w:rPr>
          <w:rFonts w:ascii="F" w:hAnsi="F" w:cs="F"/>
          <w:b/>
        </w:rPr>
      </w:pPr>
      <w:r>
        <w:rPr>
          <w:noProof/>
          <w:lang w:val="en-US" w:eastAsia="en-US" w:bidi="ar-SA"/>
        </w:rPr>
        <w:drawing>
          <wp:anchor distT="0" distB="0" distL="114935" distR="114935" simplePos="0" relativeHeight="251659264" behindDoc="0" locked="0" layoutInCell="1" allowOverlap="1" wp14:anchorId="5F938E2A" wp14:editId="3AC1C703">
            <wp:simplePos x="0" y="0"/>
            <wp:positionH relativeFrom="column">
              <wp:posOffset>0</wp:posOffset>
            </wp:positionH>
            <wp:positionV relativeFrom="page">
              <wp:posOffset>0</wp:posOffset>
            </wp:positionV>
            <wp:extent cx="1028700" cy="91186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911860"/>
                    </a:xfrm>
                    <a:prstGeom prst="rect">
                      <a:avLst/>
                    </a:prstGeom>
                    <a:solidFill>
                      <a:srgbClr val="FFFFFF"/>
                    </a:solidFill>
                    <a:ln>
                      <a:noFill/>
                    </a:ln>
                  </pic:spPr>
                </pic:pic>
              </a:graphicData>
            </a:graphic>
          </wp:anchor>
        </w:drawing>
      </w:r>
      <w:r>
        <w:rPr>
          <w:noProof/>
          <w:lang w:val="en-US" w:eastAsia="en-US" w:bidi="ar-SA"/>
        </w:rPr>
        <w:drawing>
          <wp:anchor distT="0" distB="0" distL="114935" distR="114935" simplePos="0" relativeHeight="251660288" behindDoc="0" locked="0" layoutInCell="1" allowOverlap="1" wp14:anchorId="36FC8B31" wp14:editId="1174AD1F">
            <wp:simplePos x="0" y="0"/>
            <wp:positionH relativeFrom="column">
              <wp:posOffset>0</wp:posOffset>
            </wp:positionH>
            <wp:positionV relativeFrom="page">
              <wp:posOffset>0</wp:posOffset>
            </wp:positionV>
            <wp:extent cx="1113155" cy="1077595"/>
            <wp:effectExtent l="0" t="0" r="0"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3155" cy="1077595"/>
                    </a:xfrm>
                    <a:prstGeom prst="rect">
                      <a:avLst/>
                    </a:prstGeom>
                    <a:solidFill>
                      <a:srgbClr val="FFFFFF"/>
                    </a:solidFill>
                    <a:ln>
                      <a:noFill/>
                    </a:ln>
                  </pic:spPr>
                </pic:pic>
              </a:graphicData>
            </a:graphic>
          </wp:anchor>
        </w:drawing>
      </w:r>
      <w:r>
        <w:rPr>
          <w:noProof/>
          <w:lang w:val="en-US" w:eastAsia="en-US" w:bidi="ar-SA"/>
        </w:rPr>
        <w:drawing>
          <wp:anchor distT="0" distB="0" distL="114935" distR="114935" simplePos="0" relativeHeight="251661312" behindDoc="0" locked="0" layoutInCell="1" allowOverlap="1" wp14:anchorId="44223B54" wp14:editId="704AE0C7">
            <wp:simplePos x="0" y="0"/>
            <wp:positionH relativeFrom="column">
              <wp:posOffset>0</wp:posOffset>
            </wp:positionH>
            <wp:positionV relativeFrom="page">
              <wp:posOffset>0</wp:posOffset>
            </wp:positionV>
            <wp:extent cx="1446530" cy="1311275"/>
            <wp:effectExtent l="0" t="0" r="1270"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530" cy="1311275"/>
                    </a:xfrm>
                    <a:prstGeom prst="rect">
                      <a:avLst/>
                    </a:prstGeom>
                    <a:solidFill>
                      <a:srgbClr val="FFFFFF"/>
                    </a:solidFill>
                    <a:ln>
                      <a:noFill/>
                    </a:ln>
                  </pic:spPr>
                </pic:pic>
              </a:graphicData>
            </a:graphic>
          </wp:anchor>
        </w:drawing>
      </w:r>
      <w:r>
        <w:rPr>
          <w:rFonts w:ascii="F" w:hAnsi="F" w:cs="F"/>
          <w:b/>
        </w:rPr>
        <w:t>EISSN 2215-227X</w:t>
      </w:r>
    </w:p>
    <w:p w14:paraId="713BD765" w14:textId="77777777" w:rsidR="00B83A1F" w:rsidRDefault="00B83A1F" w:rsidP="00B83A1F">
      <w:pPr>
        <w:pStyle w:val="Standard"/>
        <w:jc w:val="both"/>
        <w:rPr>
          <w:rFonts w:ascii="F" w:hAnsi="F" w:cs="F"/>
          <w:b/>
        </w:rPr>
      </w:pPr>
    </w:p>
    <w:p w14:paraId="1FC326D1" w14:textId="77777777" w:rsidR="00B83A1F" w:rsidRDefault="00B83A1F" w:rsidP="00B83A1F">
      <w:pPr>
        <w:pStyle w:val="Standard"/>
        <w:jc w:val="both"/>
        <w:rPr>
          <w:rFonts w:ascii="F" w:hAnsi="F" w:cs="F"/>
          <w:b/>
        </w:rPr>
      </w:pPr>
    </w:p>
    <w:p w14:paraId="1CB4F3C6" w14:textId="77777777" w:rsidR="00B83A1F" w:rsidRDefault="00B83A1F" w:rsidP="00B83A1F">
      <w:pPr>
        <w:pStyle w:val="Standard"/>
        <w:jc w:val="both"/>
        <w:rPr>
          <w:rFonts w:ascii="F" w:hAnsi="F" w:cs="F"/>
          <w:b/>
        </w:rPr>
      </w:pPr>
    </w:p>
    <w:p w14:paraId="64F8B038" w14:textId="77777777" w:rsidR="00B83A1F" w:rsidRDefault="00B83A1F" w:rsidP="00B83A1F">
      <w:pPr>
        <w:pStyle w:val="Standard"/>
        <w:jc w:val="both"/>
        <w:rPr>
          <w:rFonts w:ascii="F" w:hAnsi="F" w:cs="F"/>
          <w:b/>
        </w:rPr>
      </w:pPr>
    </w:p>
    <w:p w14:paraId="338D4483" w14:textId="77777777" w:rsidR="00B83A1F" w:rsidRDefault="00B83A1F" w:rsidP="00B83A1F">
      <w:pPr>
        <w:pStyle w:val="Standard"/>
        <w:jc w:val="both"/>
        <w:rPr>
          <w:rFonts w:ascii="F" w:hAnsi="F" w:cs="F"/>
          <w:b/>
        </w:rPr>
      </w:pPr>
    </w:p>
    <w:p w14:paraId="4D8A2C35" w14:textId="77777777" w:rsidR="00B83A1F" w:rsidRDefault="00B83A1F" w:rsidP="00B83A1F">
      <w:pPr>
        <w:pStyle w:val="Standard"/>
        <w:jc w:val="both"/>
        <w:rPr>
          <w:rFonts w:ascii="F" w:hAnsi="F" w:cs="F"/>
          <w:b/>
        </w:rPr>
      </w:pPr>
    </w:p>
    <w:p w14:paraId="48CEC632" w14:textId="77777777" w:rsidR="00B83A1F" w:rsidRDefault="00B83A1F" w:rsidP="00B83A1F">
      <w:pPr>
        <w:pStyle w:val="Standard"/>
        <w:jc w:val="both"/>
        <w:rPr>
          <w:rFonts w:ascii="F" w:hAnsi="F" w:cs="F"/>
          <w:b/>
        </w:rPr>
      </w:pPr>
      <w:r>
        <w:rPr>
          <w:rFonts w:ascii="F" w:hAnsi="F" w:cs="F"/>
          <w:b/>
        </w:rPr>
        <w:t>SIWÔ´ 10</w:t>
      </w:r>
    </w:p>
    <w:p w14:paraId="3F9636F1" w14:textId="77777777" w:rsidR="00B83A1F" w:rsidRDefault="00B83A1F" w:rsidP="00B83A1F">
      <w:pPr>
        <w:pStyle w:val="Standard"/>
        <w:jc w:val="both"/>
        <w:rPr>
          <w:rFonts w:ascii="F" w:hAnsi="F" w:cs="F"/>
          <w:b/>
        </w:rPr>
      </w:pPr>
      <w:r>
        <w:rPr>
          <w:rFonts w:ascii="F" w:hAnsi="F" w:cs="F"/>
          <w:b/>
        </w:rPr>
        <w:t>Revista de Teología</w:t>
      </w:r>
    </w:p>
    <w:p w14:paraId="00C6A009" w14:textId="77777777" w:rsidR="00B83A1F" w:rsidRDefault="00B83A1F" w:rsidP="00B83A1F">
      <w:pPr>
        <w:pStyle w:val="Standard"/>
        <w:jc w:val="both"/>
        <w:rPr>
          <w:rFonts w:ascii="F" w:hAnsi="F" w:cs="F"/>
          <w:b/>
        </w:rPr>
      </w:pPr>
    </w:p>
    <w:p w14:paraId="5EF61CA2" w14:textId="77777777" w:rsidR="00B83A1F" w:rsidRDefault="00B83A1F" w:rsidP="00B83A1F">
      <w:pPr>
        <w:pStyle w:val="Standard"/>
        <w:jc w:val="both"/>
        <w:rPr>
          <w:rFonts w:ascii="F" w:hAnsi="F" w:cs="F"/>
          <w:b/>
        </w:rPr>
      </w:pPr>
      <w:r>
        <w:rPr>
          <w:rFonts w:ascii="F" w:hAnsi="F" w:cs="F"/>
          <w:b/>
        </w:rPr>
        <w:t>Volumen 10</w:t>
      </w:r>
    </w:p>
    <w:p w14:paraId="22B568DE" w14:textId="77777777" w:rsidR="00B83A1F" w:rsidRPr="00E12F70" w:rsidRDefault="00B83A1F" w:rsidP="00B83A1F">
      <w:pPr>
        <w:pStyle w:val="Standard"/>
        <w:jc w:val="both"/>
        <w:rPr>
          <w:rFonts w:ascii="F" w:hAnsi="F" w:cs="F"/>
          <w:b/>
        </w:rPr>
      </w:pPr>
      <w:r>
        <w:rPr>
          <w:rFonts w:ascii="F" w:hAnsi="F" w:cs="F"/>
          <w:b/>
        </w:rPr>
        <w:t xml:space="preserve">Número 2 </w:t>
      </w:r>
      <w:r w:rsidRPr="00E12F70">
        <w:rPr>
          <w:rFonts w:ascii="F" w:hAnsi="F" w:cs="F"/>
          <w:b/>
          <w:shd w:val="clear" w:color="auto" w:fill="00FFFF"/>
        </w:rPr>
        <w:t xml:space="preserve"> </w:t>
      </w:r>
    </w:p>
    <w:p w14:paraId="2484CED0" w14:textId="77777777" w:rsidR="00B83A1F" w:rsidRPr="00E12F70" w:rsidRDefault="00B83A1F" w:rsidP="00B83A1F">
      <w:pPr>
        <w:pStyle w:val="Standard"/>
        <w:jc w:val="both"/>
        <w:rPr>
          <w:rFonts w:ascii="F" w:hAnsi="F" w:cs="F"/>
          <w:b/>
        </w:rPr>
      </w:pPr>
    </w:p>
    <w:p w14:paraId="15FEC3F4" w14:textId="77777777" w:rsidR="00B83A1F" w:rsidRDefault="00B83A1F" w:rsidP="00B83A1F">
      <w:pPr>
        <w:pStyle w:val="Standard"/>
        <w:jc w:val="both"/>
        <w:rPr>
          <w:rFonts w:ascii="F" w:hAnsi="F" w:cs="F"/>
          <w:b/>
        </w:rPr>
      </w:pPr>
      <w:r>
        <w:rPr>
          <w:rFonts w:ascii="F" w:hAnsi="F" w:cs="F"/>
          <w:b/>
        </w:rPr>
        <w:t>2016</w:t>
      </w:r>
    </w:p>
    <w:p w14:paraId="69B01891" w14:textId="77777777" w:rsidR="00B83A1F" w:rsidRDefault="00B83A1F" w:rsidP="00B83A1F">
      <w:pPr>
        <w:pStyle w:val="NormalWeb"/>
        <w:spacing w:line="480" w:lineRule="auto"/>
        <w:ind w:right="1418"/>
        <w:jc w:val="both"/>
        <w:rPr>
          <w:sz w:val="32"/>
          <w:szCs w:val="32"/>
          <w:lang w:val="es-CR"/>
        </w:rPr>
      </w:pPr>
    </w:p>
    <w:p w14:paraId="23AB63F8" w14:textId="77777777" w:rsidR="00B83A1F" w:rsidRDefault="00B83A1F" w:rsidP="00B83A1F">
      <w:pPr>
        <w:pStyle w:val="NormalWeb"/>
        <w:spacing w:line="480" w:lineRule="auto"/>
        <w:ind w:right="1418"/>
        <w:jc w:val="both"/>
        <w:rPr>
          <w:sz w:val="32"/>
          <w:szCs w:val="32"/>
          <w:lang w:val="es-CR"/>
        </w:rPr>
      </w:pPr>
    </w:p>
    <w:p w14:paraId="0126ED26" w14:textId="77777777" w:rsidR="00B83A1F" w:rsidRDefault="00B83A1F" w:rsidP="00B83A1F">
      <w:pPr>
        <w:pStyle w:val="NormalWeb"/>
        <w:spacing w:line="480" w:lineRule="auto"/>
        <w:ind w:right="1418"/>
        <w:jc w:val="both"/>
        <w:rPr>
          <w:sz w:val="32"/>
          <w:szCs w:val="32"/>
          <w:lang w:val="es-CR"/>
        </w:rPr>
      </w:pPr>
    </w:p>
    <w:p w14:paraId="4D648C4B" w14:textId="77777777" w:rsidR="00B83A1F" w:rsidRDefault="00B83A1F" w:rsidP="00B83A1F">
      <w:pPr>
        <w:pStyle w:val="NormalWeb"/>
        <w:spacing w:line="480" w:lineRule="auto"/>
        <w:ind w:right="1418"/>
        <w:jc w:val="both"/>
        <w:rPr>
          <w:sz w:val="32"/>
          <w:szCs w:val="32"/>
          <w:lang w:val="es-CR"/>
        </w:rPr>
      </w:pPr>
    </w:p>
    <w:p w14:paraId="2566E9A6" w14:textId="77777777" w:rsidR="00B83A1F" w:rsidRDefault="00B83A1F" w:rsidP="00B83A1F">
      <w:pPr>
        <w:pStyle w:val="NormalWeb"/>
        <w:spacing w:line="480" w:lineRule="auto"/>
        <w:ind w:right="1418"/>
        <w:jc w:val="both"/>
        <w:rPr>
          <w:sz w:val="32"/>
          <w:szCs w:val="32"/>
          <w:lang w:val="es-CR"/>
        </w:rPr>
      </w:pPr>
    </w:p>
    <w:p w14:paraId="781E406C" w14:textId="77777777" w:rsidR="00B83A1F" w:rsidRDefault="00B83A1F" w:rsidP="00B83A1F">
      <w:pPr>
        <w:pStyle w:val="NormalWeb"/>
        <w:spacing w:line="480" w:lineRule="auto"/>
        <w:ind w:right="1418"/>
        <w:jc w:val="both"/>
        <w:rPr>
          <w:sz w:val="32"/>
          <w:szCs w:val="32"/>
          <w:lang w:val="es-CR"/>
        </w:rPr>
      </w:pPr>
    </w:p>
    <w:p w14:paraId="3B9A5523" w14:textId="77777777" w:rsidR="00B83A1F" w:rsidRDefault="00B83A1F" w:rsidP="00B83A1F">
      <w:pPr>
        <w:pStyle w:val="NormalWeb"/>
        <w:spacing w:line="480" w:lineRule="auto"/>
        <w:ind w:right="1418"/>
        <w:jc w:val="both"/>
        <w:rPr>
          <w:sz w:val="32"/>
          <w:szCs w:val="32"/>
          <w:lang w:val="es-CR"/>
        </w:rPr>
      </w:pPr>
    </w:p>
    <w:p w14:paraId="2AC0FAC1" w14:textId="77777777" w:rsidR="00B83A1F" w:rsidRDefault="00B83A1F" w:rsidP="00B83A1F">
      <w:pPr>
        <w:pStyle w:val="NormalWeb"/>
        <w:spacing w:line="480" w:lineRule="auto"/>
        <w:ind w:right="1418"/>
        <w:jc w:val="both"/>
        <w:rPr>
          <w:sz w:val="32"/>
          <w:szCs w:val="32"/>
          <w:lang w:val="es-CR"/>
        </w:rPr>
      </w:pPr>
    </w:p>
    <w:p w14:paraId="48608C30" w14:textId="77777777" w:rsidR="00B83A1F" w:rsidRDefault="00B83A1F" w:rsidP="00B83A1F">
      <w:pPr>
        <w:pStyle w:val="NormalWeb"/>
        <w:spacing w:line="480" w:lineRule="auto"/>
        <w:ind w:right="1418"/>
        <w:jc w:val="both"/>
        <w:rPr>
          <w:sz w:val="32"/>
          <w:szCs w:val="32"/>
          <w:lang w:val="es-CR"/>
        </w:rPr>
      </w:pPr>
    </w:p>
    <w:p w14:paraId="3AEEF19E" w14:textId="77777777" w:rsidR="00B83A1F" w:rsidRDefault="00B83A1F" w:rsidP="00B83A1F">
      <w:pPr>
        <w:pStyle w:val="NormalWeb"/>
        <w:spacing w:line="480" w:lineRule="auto"/>
        <w:ind w:right="1418"/>
        <w:jc w:val="both"/>
        <w:rPr>
          <w:sz w:val="32"/>
          <w:szCs w:val="32"/>
          <w:lang w:val="es-CR"/>
        </w:rPr>
      </w:pPr>
    </w:p>
    <w:p w14:paraId="7BB80E9D" w14:textId="77777777" w:rsidR="00B83A1F" w:rsidRDefault="00B83A1F" w:rsidP="00B83A1F">
      <w:pPr>
        <w:pStyle w:val="NormalWeb"/>
        <w:spacing w:line="480" w:lineRule="auto"/>
        <w:ind w:right="1418"/>
        <w:jc w:val="both"/>
        <w:rPr>
          <w:sz w:val="32"/>
          <w:szCs w:val="32"/>
          <w:lang w:val="es-CR"/>
        </w:rPr>
      </w:pPr>
    </w:p>
    <w:p w14:paraId="5F15A388" w14:textId="77777777" w:rsidR="00B83A1F" w:rsidRDefault="00B83A1F" w:rsidP="00B83A1F">
      <w:pPr>
        <w:pStyle w:val="NormalWeb"/>
        <w:spacing w:line="480" w:lineRule="auto"/>
        <w:ind w:right="1418"/>
        <w:jc w:val="both"/>
        <w:rPr>
          <w:sz w:val="32"/>
          <w:szCs w:val="32"/>
          <w:lang w:val="es-CR"/>
        </w:rPr>
      </w:pPr>
    </w:p>
    <w:p w14:paraId="5C2F740B" w14:textId="77777777" w:rsidR="00B83A1F" w:rsidRDefault="00B83A1F" w:rsidP="00B83A1F">
      <w:pPr>
        <w:pStyle w:val="Standard"/>
        <w:rPr>
          <w:rFonts w:ascii="F" w:hAnsi="F" w:cs="F"/>
          <w:b/>
          <w:smallCaps/>
        </w:rPr>
      </w:pPr>
      <w:r>
        <w:rPr>
          <w:rFonts w:ascii="F" w:hAnsi="F" w:cs="F"/>
          <w:b/>
          <w:smallCaps/>
        </w:rPr>
        <w:lastRenderedPageBreak/>
        <w:t>Comités editoriales</w:t>
      </w:r>
    </w:p>
    <w:p w14:paraId="2383A975" w14:textId="77777777" w:rsidR="00B83A1F" w:rsidRDefault="00B83A1F" w:rsidP="00B83A1F">
      <w:pPr>
        <w:pStyle w:val="Standard"/>
        <w:rPr>
          <w:rFonts w:ascii="F" w:hAnsi="F" w:cs="F"/>
          <w:b/>
          <w:smallCaps/>
        </w:rPr>
      </w:pPr>
    </w:p>
    <w:p w14:paraId="0D08B0B8" w14:textId="77777777" w:rsidR="00B83A1F" w:rsidRDefault="00B83A1F" w:rsidP="00B83A1F">
      <w:pPr>
        <w:pStyle w:val="Standard"/>
        <w:rPr>
          <w:rFonts w:ascii="F" w:hAnsi="F" w:cs="F"/>
          <w:smallCaps/>
        </w:rPr>
      </w:pPr>
      <w:r>
        <w:rPr>
          <w:rFonts w:ascii="F" w:hAnsi="F" w:cs="F"/>
          <w:b/>
          <w:smallCaps/>
        </w:rPr>
        <w:t>escuela ecuménica</w:t>
      </w:r>
      <w:r>
        <w:rPr>
          <w:rFonts w:ascii="F" w:hAnsi="F" w:cs="F"/>
          <w:b/>
          <w:smallCaps/>
        </w:rPr>
        <w:tab/>
      </w:r>
      <w:r>
        <w:rPr>
          <w:rFonts w:ascii="F" w:hAnsi="F" w:cs="F"/>
          <w:b/>
          <w:smallCaps/>
        </w:rPr>
        <w:tab/>
      </w:r>
      <w:r>
        <w:rPr>
          <w:rFonts w:ascii="F" w:hAnsi="F" w:cs="F"/>
          <w:b/>
          <w:smallCaps/>
        </w:rPr>
        <w:tab/>
      </w:r>
      <w:r>
        <w:rPr>
          <w:rFonts w:ascii="F" w:hAnsi="F" w:cs="F"/>
          <w:b/>
          <w:smallCaps/>
        </w:rPr>
        <w:tab/>
      </w:r>
      <w:r>
        <w:rPr>
          <w:rFonts w:ascii="F" w:hAnsi="F" w:cs="F"/>
          <w:b/>
          <w:smallCaps/>
        </w:rPr>
        <w:tab/>
        <w:t>editorial sebila</w:t>
      </w:r>
    </w:p>
    <w:p w14:paraId="217033B3" w14:textId="77777777" w:rsidR="00B83A1F" w:rsidRDefault="00B83A1F" w:rsidP="00B83A1F">
      <w:pPr>
        <w:pStyle w:val="Standard"/>
        <w:rPr>
          <w:rFonts w:ascii="F" w:hAnsi="F" w:cs="F"/>
          <w:smallCaps/>
        </w:rPr>
      </w:pPr>
    </w:p>
    <w:p w14:paraId="687C1DFC" w14:textId="77777777" w:rsidR="00B83A1F" w:rsidRDefault="00B83A1F" w:rsidP="00B83A1F">
      <w:pPr>
        <w:pStyle w:val="Standard"/>
        <w:rPr>
          <w:rFonts w:ascii="F" w:hAnsi="F" w:cs="F"/>
        </w:rPr>
      </w:pPr>
      <w:r>
        <w:rPr>
          <w:rFonts w:ascii="F" w:hAnsi="F" w:cs="F"/>
        </w:rPr>
        <w:t>MET. Diego Soto (Director)</w:t>
      </w:r>
      <w:r>
        <w:rPr>
          <w:rFonts w:ascii="F" w:hAnsi="F" w:cs="F"/>
        </w:rPr>
        <w:tab/>
      </w:r>
      <w:r>
        <w:rPr>
          <w:rFonts w:ascii="F" w:hAnsi="F" w:cs="F"/>
        </w:rPr>
        <w:tab/>
      </w:r>
      <w:r>
        <w:rPr>
          <w:rFonts w:ascii="F" w:hAnsi="F" w:cs="F"/>
        </w:rPr>
        <w:tab/>
      </w:r>
      <w:r>
        <w:rPr>
          <w:rFonts w:ascii="F" w:hAnsi="F" w:cs="F"/>
        </w:rPr>
        <w:tab/>
        <w:t>M.Sc. Ruth Mooney (Directora)</w:t>
      </w:r>
    </w:p>
    <w:p w14:paraId="7C974314" w14:textId="77777777" w:rsidR="00B83A1F" w:rsidRDefault="00B83A1F" w:rsidP="00B83A1F">
      <w:pPr>
        <w:pStyle w:val="Standard"/>
        <w:rPr>
          <w:rFonts w:ascii="F" w:hAnsi="F" w:cs="F"/>
        </w:rPr>
      </w:pPr>
      <w:r>
        <w:rPr>
          <w:rFonts w:ascii="F" w:hAnsi="F" w:cs="F"/>
        </w:rPr>
        <w:t>MET. Auxiliadora Montoya (Directora Esc. Ecum.) M.Sc. Mireya Baltodano Arroliga</w:t>
      </w:r>
    </w:p>
    <w:p w14:paraId="51F5641B" w14:textId="77777777" w:rsidR="00B83A1F" w:rsidRPr="00AE6A9C" w:rsidRDefault="00B83A1F" w:rsidP="00B83A1F">
      <w:pPr>
        <w:pStyle w:val="Standard"/>
        <w:rPr>
          <w:rFonts w:ascii="F" w:hAnsi="F" w:cs="F"/>
        </w:rPr>
      </w:pPr>
      <w:r>
        <w:rPr>
          <w:rFonts w:ascii="F" w:hAnsi="F" w:cs="F"/>
        </w:rPr>
        <w:t>Dr. Juan Manuel Fajardo Andrade</w:t>
      </w:r>
      <w:r>
        <w:rPr>
          <w:rFonts w:ascii="F" w:hAnsi="F" w:cs="F"/>
        </w:rPr>
        <w:tab/>
      </w:r>
      <w:r>
        <w:rPr>
          <w:rFonts w:ascii="F" w:hAnsi="F" w:cs="F"/>
        </w:rPr>
        <w:tab/>
      </w:r>
      <w:r>
        <w:rPr>
          <w:rFonts w:ascii="F" w:hAnsi="F" w:cs="F"/>
        </w:rPr>
        <w:tab/>
        <w:t>Dr. José Enrique Ramírez</w:t>
      </w:r>
    </w:p>
    <w:p w14:paraId="4E0E33CD" w14:textId="77777777" w:rsidR="00B83A1F" w:rsidRPr="004F609D" w:rsidRDefault="00B83A1F" w:rsidP="00B83A1F">
      <w:pPr>
        <w:pStyle w:val="Standard"/>
        <w:rPr>
          <w:rFonts w:ascii="F" w:hAnsi="F" w:cs="F"/>
          <w:lang w:val="es-CR"/>
        </w:rPr>
      </w:pPr>
      <w:r w:rsidRPr="004F609D">
        <w:rPr>
          <w:rFonts w:ascii="F" w:hAnsi="F" w:cs="F"/>
          <w:lang w:val="es-CR"/>
        </w:rPr>
        <w:t xml:space="preserve">Dr. Jonathan Pimentel </w:t>
      </w:r>
      <w:r w:rsidR="004F2A78">
        <w:rPr>
          <w:rFonts w:ascii="F" w:hAnsi="F" w:cs="F"/>
          <w:lang w:val="es-CR"/>
        </w:rPr>
        <w:t>(Editor)</w:t>
      </w:r>
      <w:r w:rsidR="004F2A78">
        <w:rPr>
          <w:rFonts w:ascii="F" w:hAnsi="F" w:cs="F"/>
          <w:lang w:val="es-CR"/>
        </w:rPr>
        <w:tab/>
      </w:r>
      <w:r w:rsidR="004F2A78">
        <w:rPr>
          <w:rFonts w:ascii="F" w:hAnsi="F" w:cs="F"/>
          <w:lang w:val="es-CR"/>
        </w:rPr>
        <w:tab/>
      </w:r>
      <w:r w:rsidR="004F2A78">
        <w:rPr>
          <w:rFonts w:ascii="F" w:hAnsi="F" w:cs="F"/>
          <w:lang w:val="es-CR"/>
        </w:rPr>
        <w:tab/>
      </w:r>
    </w:p>
    <w:p w14:paraId="11E63111" w14:textId="77777777" w:rsidR="00B83A1F" w:rsidRPr="00AE6A9C" w:rsidRDefault="00904842" w:rsidP="00B83A1F">
      <w:pPr>
        <w:pStyle w:val="Standard"/>
        <w:rPr>
          <w:rFonts w:ascii="F" w:hAnsi="F" w:cs="F"/>
        </w:rPr>
      </w:pPr>
      <w:r>
        <w:rPr>
          <w:rFonts w:ascii="F" w:hAnsi="F" w:cs="F"/>
        </w:rPr>
        <w:t>Dr. José Mario Méndez Méndez</w:t>
      </w:r>
    </w:p>
    <w:p w14:paraId="46F51ABD" w14:textId="77777777" w:rsidR="00B83A1F" w:rsidRPr="00AE6A9C" w:rsidRDefault="00B83A1F" w:rsidP="00B83A1F">
      <w:pPr>
        <w:pStyle w:val="Standard"/>
        <w:rPr>
          <w:rFonts w:ascii="F" w:hAnsi="F" w:cs="F"/>
          <w:b/>
          <w:smallCaps/>
        </w:rPr>
      </w:pPr>
      <w:r w:rsidRPr="00AE6A9C">
        <w:rPr>
          <w:rFonts w:ascii="F" w:hAnsi="F" w:cs="F"/>
        </w:rPr>
        <w:tab/>
      </w:r>
      <w:r w:rsidRPr="00AE6A9C">
        <w:rPr>
          <w:rFonts w:ascii="F" w:hAnsi="F" w:cs="F"/>
        </w:rPr>
        <w:tab/>
      </w:r>
      <w:r w:rsidRPr="00AE6A9C">
        <w:rPr>
          <w:rFonts w:ascii="F" w:hAnsi="F" w:cs="F"/>
        </w:rPr>
        <w:tab/>
      </w:r>
      <w:r w:rsidRPr="00AE6A9C">
        <w:rPr>
          <w:rFonts w:ascii="F" w:hAnsi="F" w:cs="F"/>
        </w:rPr>
        <w:tab/>
      </w:r>
      <w:r w:rsidRPr="00AE6A9C">
        <w:rPr>
          <w:rFonts w:ascii="F" w:hAnsi="F" w:cs="F"/>
        </w:rPr>
        <w:tab/>
      </w:r>
    </w:p>
    <w:p w14:paraId="440F9C07" w14:textId="77777777" w:rsidR="00B83A1F" w:rsidRPr="004F609D" w:rsidRDefault="00B83A1F" w:rsidP="00B83A1F">
      <w:pPr>
        <w:pStyle w:val="Standard"/>
        <w:rPr>
          <w:rFonts w:ascii="F" w:hAnsi="F" w:cs="F"/>
          <w:smallCaps/>
        </w:rPr>
      </w:pPr>
      <w:r w:rsidRPr="004F609D">
        <w:rPr>
          <w:rFonts w:ascii="F" w:hAnsi="F" w:cs="F"/>
          <w:b/>
          <w:smallCaps/>
        </w:rPr>
        <w:t>consejo asesor internacional</w:t>
      </w:r>
    </w:p>
    <w:p w14:paraId="25E18A71" w14:textId="77777777" w:rsidR="00B83A1F" w:rsidRPr="004F609D" w:rsidRDefault="00B83A1F" w:rsidP="00B83A1F">
      <w:pPr>
        <w:pStyle w:val="Standard"/>
        <w:rPr>
          <w:rFonts w:ascii="F" w:hAnsi="F" w:cs="F"/>
          <w:smallCaps/>
        </w:rPr>
      </w:pPr>
    </w:p>
    <w:p w14:paraId="5888D8FB" w14:textId="77777777" w:rsidR="00B83A1F" w:rsidRPr="004F609D" w:rsidRDefault="00B83A1F" w:rsidP="00B83A1F">
      <w:pPr>
        <w:pStyle w:val="Standard"/>
        <w:rPr>
          <w:rFonts w:ascii="F" w:hAnsi="F" w:cs="F"/>
        </w:rPr>
      </w:pPr>
      <w:r w:rsidRPr="004F609D">
        <w:rPr>
          <w:rFonts w:ascii="F" w:hAnsi="F" w:cs="F"/>
        </w:rPr>
        <w:t>Dr. Raúl Fornet-Betancourt, Missionswissenschaftliches Institut Missio, Aachen, Alemania.</w:t>
      </w:r>
    </w:p>
    <w:p w14:paraId="14F8FD69" w14:textId="77777777" w:rsidR="00B83A1F" w:rsidRDefault="00B83A1F" w:rsidP="00B83A1F">
      <w:pPr>
        <w:pStyle w:val="Standard"/>
        <w:rPr>
          <w:rFonts w:ascii="F" w:hAnsi="F" w:cs="F"/>
          <w:lang w:val="pt-BR"/>
        </w:rPr>
      </w:pPr>
      <w:r>
        <w:rPr>
          <w:rFonts w:ascii="F" w:hAnsi="F" w:cs="F"/>
        </w:rPr>
        <w:t>Dr. Luis Rivera-Pagán, Princeton Theological Seminary, Princeton, New Jersey, Estados Unidos.</w:t>
      </w:r>
    </w:p>
    <w:p w14:paraId="2F1E7206" w14:textId="77777777" w:rsidR="00B83A1F" w:rsidRDefault="00B83A1F" w:rsidP="00B83A1F">
      <w:pPr>
        <w:pStyle w:val="Standard"/>
        <w:rPr>
          <w:rFonts w:ascii="F" w:hAnsi="F" w:cs="F"/>
          <w:lang w:val="pt-BR"/>
        </w:rPr>
      </w:pPr>
      <w:r>
        <w:rPr>
          <w:rFonts w:ascii="F" w:hAnsi="F" w:cs="F"/>
          <w:lang w:val="pt-BR"/>
        </w:rPr>
        <w:t>Dr. Jung Mo Sung, Universidade Metodista, Sao Paulo, Brasil.</w:t>
      </w:r>
    </w:p>
    <w:p w14:paraId="3E091198" w14:textId="77777777" w:rsidR="00B83A1F" w:rsidRDefault="00B83A1F" w:rsidP="00B83A1F">
      <w:pPr>
        <w:pStyle w:val="Standard"/>
        <w:rPr>
          <w:rFonts w:ascii="F" w:hAnsi="F" w:cs="F"/>
          <w:lang w:val="pt-BR"/>
        </w:rPr>
      </w:pPr>
      <w:r>
        <w:rPr>
          <w:rFonts w:ascii="F" w:hAnsi="F" w:cs="F"/>
          <w:lang w:val="pt-BR"/>
        </w:rPr>
        <w:t>Dr. Amando Robles Robles, Centro Dominico de Investigaciones, Costa Rica.</w:t>
      </w:r>
    </w:p>
    <w:p w14:paraId="7CF4BDA5" w14:textId="77777777" w:rsidR="00B83A1F" w:rsidRDefault="00B83A1F" w:rsidP="00B83A1F">
      <w:pPr>
        <w:pStyle w:val="Standard"/>
        <w:rPr>
          <w:rFonts w:ascii="F" w:hAnsi="F" w:cs="F"/>
          <w:lang w:val="pt-BR"/>
        </w:rPr>
      </w:pPr>
      <w:r>
        <w:rPr>
          <w:rFonts w:ascii="F" w:hAnsi="F" w:cs="F"/>
          <w:lang w:val="pt-BR"/>
        </w:rPr>
        <w:t>Lic. Helio Gallardo, Universidad de Costa Rica, Costa Rica.</w:t>
      </w:r>
    </w:p>
    <w:p w14:paraId="541C6371" w14:textId="77777777" w:rsidR="00B83A1F" w:rsidRDefault="00B83A1F" w:rsidP="00B83A1F">
      <w:pPr>
        <w:pStyle w:val="Standard"/>
        <w:rPr>
          <w:rFonts w:ascii="F" w:hAnsi="F" w:cs="F"/>
        </w:rPr>
      </w:pPr>
      <w:r>
        <w:rPr>
          <w:rFonts w:ascii="F" w:hAnsi="F" w:cs="F"/>
          <w:lang w:val="pt-BR"/>
        </w:rPr>
        <w:t>Dra. Maricel Mena, Universidad Santo Tomás, Bogotá, Colombia.</w:t>
      </w:r>
    </w:p>
    <w:p w14:paraId="601FD3AB" w14:textId="77777777" w:rsidR="00B83A1F" w:rsidRPr="004F609D" w:rsidRDefault="00B83A1F" w:rsidP="00B83A1F">
      <w:pPr>
        <w:pStyle w:val="Standard"/>
        <w:rPr>
          <w:rFonts w:ascii="F" w:hAnsi="F" w:cs="F"/>
          <w:lang w:val="es-CR"/>
        </w:rPr>
      </w:pPr>
      <w:r>
        <w:rPr>
          <w:rFonts w:ascii="F" w:hAnsi="F" w:cs="F"/>
        </w:rPr>
        <w:t>Dr. Juan José Tamayo, Universidad Carlos III, Madrid, España.</w:t>
      </w:r>
    </w:p>
    <w:p w14:paraId="40083D5C" w14:textId="77777777" w:rsidR="00B83A1F" w:rsidRDefault="00B83A1F" w:rsidP="00B83A1F">
      <w:pPr>
        <w:pStyle w:val="Standard"/>
        <w:rPr>
          <w:rFonts w:ascii="F" w:hAnsi="F" w:cs="F"/>
          <w:lang w:val="fr-FR"/>
        </w:rPr>
      </w:pPr>
      <w:r>
        <w:rPr>
          <w:rFonts w:ascii="F" w:hAnsi="F" w:cs="F"/>
          <w:lang w:val="fr-FR"/>
        </w:rPr>
        <w:t>M. Sc. Mónica Zúñiga Rivera, Université François Rabelais, Tours, Francia.</w:t>
      </w:r>
    </w:p>
    <w:p w14:paraId="1726BE07" w14:textId="77777777" w:rsidR="00B83A1F" w:rsidRPr="004F609D" w:rsidRDefault="00B83A1F" w:rsidP="00B83A1F">
      <w:pPr>
        <w:pStyle w:val="Standard"/>
        <w:jc w:val="both"/>
        <w:rPr>
          <w:rFonts w:ascii="F" w:hAnsi="F" w:cs="F"/>
          <w:lang w:val="es-CR"/>
        </w:rPr>
      </w:pPr>
      <w:r w:rsidRPr="004F609D">
        <w:rPr>
          <w:rFonts w:ascii="F" w:hAnsi="F" w:cs="F"/>
          <w:lang w:val="es-CR"/>
        </w:rPr>
        <w:t>M.Sc. Silvia Regina Da Lima, Departamento Ecuménico de Investigaciones, Costa Rica.</w:t>
      </w:r>
    </w:p>
    <w:p w14:paraId="4454D095" w14:textId="77777777" w:rsidR="00B83A1F" w:rsidRPr="004F609D" w:rsidRDefault="00B83A1F" w:rsidP="00B83A1F">
      <w:pPr>
        <w:pStyle w:val="Standard"/>
        <w:jc w:val="both"/>
        <w:rPr>
          <w:rFonts w:ascii="F" w:hAnsi="F" w:cs="F"/>
          <w:lang w:val="es-CR"/>
        </w:rPr>
      </w:pPr>
      <w:r w:rsidRPr="004F609D">
        <w:rPr>
          <w:rFonts w:ascii="F" w:hAnsi="F" w:cs="F"/>
          <w:lang w:val="es-CR"/>
        </w:rPr>
        <w:t>Dr. Héctor Samour, UCA, El Salvador.</w:t>
      </w:r>
    </w:p>
    <w:p w14:paraId="04D2CD42" w14:textId="77777777" w:rsidR="00B83A1F" w:rsidRDefault="00B83A1F" w:rsidP="00B83A1F">
      <w:pPr>
        <w:pStyle w:val="Standard"/>
        <w:rPr>
          <w:rFonts w:ascii="F" w:hAnsi="F" w:cs="F"/>
        </w:rPr>
      </w:pPr>
      <w:r w:rsidRPr="004F609D">
        <w:rPr>
          <w:rFonts w:ascii="F" w:hAnsi="F" w:cs="F"/>
          <w:lang w:val="es-CR"/>
        </w:rPr>
        <w:t>Dra. Cristina Conti, Ejército de Salvación, Buenos Aires, Argentina.</w:t>
      </w:r>
    </w:p>
    <w:p w14:paraId="26190A63" w14:textId="77777777" w:rsidR="00B83A1F" w:rsidRDefault="00B83A1F" w:rsidP="00B83A1F">
      <w:pPr>
        <w:pStyle w:val="Standard"/>
        <w:jc w:val="both"/>
        <w:rPr>
          <w:rFonts w:ascii="F" w:hAnsi="F" w:cs="F"/>
          <w:lang w:val="pt-BR"/>
        </w:rPr>
      </w:pPr>
      <w:r>
        <w:rPr>
          <w:rFonts w:ascii="F" w:hAnsi="F" w:cs="F"/>
        </w:rPr>
        <w:t>Dr. Xabier Pikaza, consultor-investigador en Ciencias de la Religión, Salamanca, España.</w:t>
      </w:r>
    </w:p>
    <w:p w14:paraId="29B02E4A" w14:textId="77777777" w:rsidR="00B83A1F" w:rsidRDefault="00B83A1F" w:rsidP="00B83A1F">
      <w:pPr>
        <w:pStyle w:val="Standard"/>
        <w:jc w:val="both"/>
        <w:rPr>
          <w:rFonts w:ascii="F" w:hAnsi="F" w:cs="F"/>
          <w:lang w:val="pt-BR"/>
        </w:rPr>
      </w:pPr>
      <w:r>
        <w:rPr>
          <w:rFonts w:ascii="F" w:hAnsi="F" w:cs="F"/>
          <w:lang w:val="pt-BR"/>
        </w:rPr>
        <w:t>Dr. Neusa Vaz e Silva, Associação Sul Americana de Filosofia e Teologia Interculturais, Brasil</w:t>
      </w:r>
    </w:p>
    <w:p w14:paraId="66EC9ACE" w14:textId="77777777" w:rsidR="00B83A1F" w:rsidRDefault="00B83A1F" w:rsidP="00B83A1F">
      <w:pPr>
        <w:pStyle w:val="Standard"/>
        <w:rPr>
          <w:rFonts w:ascii="F" w:hAnsi="F" w:cs="F"/>
          <w:lang w:val="pt-BR"/>
        </w:rPr>
      </w:pPr>
      <w:r>
        <w:rPr>
          <w:rFonts w:ascii="F" w:hAnsi="F" w:cs="F"/>
          <w:lang w:val="pt-BR"/>
        </w:rPr>
        <w:t>M.Sc. Lilian Conceição da Silva Pessoa de Lira, Escuela Superior de Teología, São Leopoldo, Rio Grande do Sul, Brasil</w:t>
      </w:r>
      <w:r w:rsidR="00904842">
        <w:rPr>
          <w:rFonts w:ascii="F" w:hAnsi="F" w:cs="F"/>
          <w:lang w:val="pt-BR"/>
        </w:rPr>
        <w:t>.</w:t>
      </w:r>
    </w:p>
    <w:p w14:paraId="1DFBCD72" w14:textId="77777777" w:rsidR="00904842" w:rsidRDefault="00904842" w:rsidP="00B83A1F">
      <w:pPr>
        <w:pStyle w:val="Standard"/>
        <w:rPr>
          <w:rFonts w:ascii="F" w:hAnsi="F" w:cs="F"/>
          <w:lang w:val="pt-BR"/>
        </w:rPr>
      </w:pPr>
    </w:p>
    <w:p w14:paraId="60054483" w14:textId="77777777" w:rsidR="00904842" w:rsidRDefault="00904842" w:rsidP="00B83A1F">
      <w:pPr>
        <w:pStyle w:val="Standard"/>
      </w:pPr>
      <w:r w:rsidRPr="00904842">
        <w:rPr>
          <w:rFonts w:ascii="F" w:hAnsi="F" w:cs="F"/>
          <w:b/>
          <w:smallCaps/>
        </w:rPr>
        <w:t>Corrección</w:t>
      </w:r>
      <w:r>
        <w:rPr>
          <w:rFonts w:ascii="F" w:hAnsi="F" w:cs="F"/>
          <w:b/>
          <w:lang w:val="pt-BR"/>
        </w:rPr>
        <w:t xml:space="preserve"> </w:t>
      </w:r>
      <w:r w:rsidRPr="00904842">
        <w:rPr>
          <w:rFonts w:ascii="F" w:hAnsi="F" w:cs="F"/>
          <w:b/>
          <w:smallCaps/>
        </w:rPr>
        <w:t>filológica</w:t>
      </w:r>
      <w:r w:rsidRPr="00904842">
        <w:rPr>
          <w:rFonts w:ascii="F" w:hAnsi="F" w:cs="F"/>
          <w:b/>
          <w:lang w:val="pt-BR"/>
        </w:rPr>
        <w:t>:</w:t>
      </w:r>
      <w:r>
        <w:rPr>
          <w:rFonts w:ascii="F" w:hAnsi="F" w:cs="F"/>
          <w:lang w:val="pt-BR"/>
        </w:rPr>
        <w:t xml:space="preserve"> M.L. José Marco Segura Jaubert</w:t>
      </w:r>
    </w:p>
    <w:p w14:paraId="452234F9" w14:textId="77777777" w:rsidR="00904842" w:rsidRDefault="00904842" w:rsidP="00B83A1F">
      <w:pPr>
        <w:pStyle w:val="Standard"/>
        <w:rPr>
          <w:rFonts w:ascii="F" w:hAnsi="F" w:cs="F"/>
          <w:lang w:val="pt-BR"/>
        </w:rPr>
      </w:pPr>
    </w:p>
    <w:p w14:paraId="4C571710" w14:textId="77777777" w:rsidR="00B83A1F" w:rsidRDefault="00B83A1F" w:rsidP="00B83A1F">
      <w:pPr>
        <w:pStyle w:val="Standard"/>
        <w:rPr>
          <w:rFonts w:ascii="F" w:hAnsi="F" w:cs="F"/>
          <w:lang w:val="pt-BR"/>
        </w:rPr>
      </w:pPr>
      <w:r>
        <w:rPr>
          <w:noProof/>
          <w:lang w:val="en-US" w:eastAsia="en-US" w:bidi="ar-SA"/>
        </w:rPr>
        <w:drawing>
          <wp:anchor distT="0" distB="0" distL="114935" distR="114935" simplePos="0" relativeHeight="251664384" behindDoc="0" locked="0" layoutInCell="1" allowOverlap="1" wp14:anchorId="039E1547" wp14:editId="62A2F652">
            <wp:simplePos x="0" y="0"/>
            <wp:positionH relativeFrom="column">
              <wp:posOffset>2395220</wp:posOffset>
            </wp:positionH>
            <wp:positionV relativeFrom="paragraph">
              <wp:posOffset>98425</wp:posOffset>
            </wp:positionV>
            <wp:extent cx="1446530" cy="1311275"/>
            <wp:effectExtent l="0" t="0" r="1270" b="3175"/>
            <wp:wrapTight wrapText="bothSides">
              <wp:wrapPolygon edited="0">
                <wp:start x="0" y="0"/>
                <wp:lineTo x="0" y="21338"/>
                <wp:lineTo x="21335" y="21338"/>
                <wp:lineTo x="2133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530" cy="1311275"/>
                    </a:xfrm>
                    <a:prstGeom prst="rect">
                      <a:avLst/>
                    </a:prstGeom>
                    <a:solidFill>
                      <a:srgbClr val="FFFFFF"/>
                    </a:solidFill>
                    <a:ln>
                      <a:noFill/>
                    </a:ln>
                  </pic:spPr>
                </pic:pic>
              </a:graphicData>
            </a:graphic>
          </wp:anchor>
        </w:drawing>
      </w:r>
    </w:p>
    <w:p w14:paraId="441C9C26" w14:textId="77777777" w:rsidR="00B83A1F" w:rsidRDefault="00B83A1F" w:rsidP="00B83A1F">
      <w:pPr>
        <w:pStyle w:val="Standard"/>
        <w:rPr>
          <w:rFonts w:ascii="F" w:hAnsi="F" w:cs="F"/>
          <w:lang w:val="pt-BR"/>
        </w:rPr>
      </w:pPr>
      <w:r>
        <w:rPr>
          <w:noProof/>
          <w:lang w:val="en-US" w:eastAsia="en-US" w:bidi="ar-SA"/>
        </w:rPr>
        <w:drawing>
          <wp:anchor distT="0" distB="0" distL="114935" distR="114935" simplePos="0" relativeHeight="251662336" behindDoc="0" locked="0" layoutInCell="1" allowOverlap="1" wp14:anchorId="20D0841A" wp14:editId="7A68AAE4">
            <wp:simplePos x="0" y="0"/>
            <wp:positionH relativeFrom="column">
              <wp:posOffset>634365</wp:posOffset>
            </wp:positionH>
            <wp:positionV relativeFrom="paragraph">
              <wp:posOffset>128270</wp:posOffset>
            </wp:positionV>
            <wp:extent cx="1028065" cy="911860"/>
            <wp:effectExtent l="0" t="0" r="635" b="2540"/>
            <wp:wrapTight wrapText="bothSides">
              <wp:wrapPolygon edited="0">
                <wp:start x="0" y="0"/>
                <wp:lineTo x="0" y="21209"/>
                <wp:lineTo x="21213" y="21209"/>
                <wp:lineTo x="2121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065" cy="911860"/>
                    </a:xfrm>
                    <a:prstGeom prst="rect">
                      <a:avLst/>
                    </a:prstGeom>
                    <a:solidFill>
                      <a:srgbClr val="FFFFFF"/>
                    </a:solidFill>
                    <a:ln>
                      <a:noFill/>
                    </a:ln>
                  </pic:spPr>
                </pic:pic>
              </a:graphicData>
            </a:graphic>
          </wp:anchor>
        </w:drawing>
      </w:r>
      <w:r>
        <w:rPr>
          <w:noProof/>
          <w:lang w:val="en-US" w:eastAsia="en-US" w:bidi="ar-SA"/>
        </w:rPr>
        <w:drawing>
          <wp:anchor distT="0" distB="0" distL="114935" distR="114935" simplePos="0" relativeHeight="251663360" behindDoc="0" locked="0" layoutInCell="1" allowOverlap="1" wp14:anchorId="1C70D7AE" wp14:editId="300EE296">
            <wp:simplePos x="0" y="0"/>
            <wp:positionH relativeFrom="column">
              <wp:posOffset>4411980</wp:posOffset>
            </wp:positionH>
            <wp:positionV relativeFrom="paragraph">
              <wp:posOffset>31750</wp:posOffset>
            </wp:positionV>
            <wp:extent cx="1113155" cy="1077595"/>
            <wp:effectExtent l="0" t="0" r="0" b="8255"/>
            <wp:wrapTight wrapText="bothSides">
              <wp:wrapPolygon edited="0">
                <wp:start x="0" y="0"/>
                <wp:lineTo x="0" y="21384"/>
                <wp:lineTo x="21070" y="21384"/>
                <wp:lineTo x="2107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3155" cy="1077595"/>
                    </a:xfrm>
                    <a:prstGeom prst="rect">
                      <a:avLst/>
                    </a:prstGeom>
                    <a:solidFill>
                      <a:srgbClr val="FFFFFF"/>
                    </a:solidFill>
                    <a:ln>
                      <a:noFill/>
                    </a:ln>
                  </pic:spPr>
                </pic:pic>
              </a:graphicData>
            </a:graphic>
          </wp:anchor>
        </w:drawing>
      </w:r>
    </w:p>
    <w:p w14:paraId="189F47C2" w14:textId="77777777" w:rsidR="00B83A1F" w:rsidRDefault="00B83A1F" w:rsidP="00B83A1F">
      <w:pPr>
        <w:pStyle w:val="Standard"/>
        <w:rPr>
          <w:rFonts w:ascii="F" w:hAnsi="F" w:cs="F"/>
          <w:smallCaps/>
          <w:lang w:val="pt-BR"/>
        </w:rPr>
      </w:pPr>
      <w:r>
        <w:rPr>
          <w:rFonts w:ascii="F" w:hAnsi="F" w:cs="F"/>
          <w:smallCaps/>
          <w:lang w:val="pt-BR"/>
        </w:rPr>
        <w:t xml:space="preserve">                        </w:t>
      </w:r>
    </w:p>
    <w:p w14:paraId="31908ACF" w14:textId="77777777" w:rsidR="00B83A1F" w:rsidRDefault="00B83A1F" w:rsidP="00B83A1F">
      <w:pPr>
        <w:pStyle w:val="Standard"/>
        <w:rPr>
          <w:rFonts w:ascii="F" w:hAnsi="F" w:cs="F"/>
          <w:smallCaps/>
          <w:lang w:val="pt-BR"/>
        </w:rPr>
      </w:pPr>
    </w:p>
    <w:p w14:paraId="1129FCEC" w14:textId="77777777" w:rsidR="00B83A1F" w:rsidRDefault="00B83A1F" w:rsidP="00B83A1F">
      <w:pPr>
        <w:pStyle w:val="Standard"/>
        <w:rPr>
          <w:rFonts w:ascii="F" w:hAnsi="F" w:cs="F"/>
          <w:smallCaps/>
          <w:lang w:val="pt-BR"/>
        </w:rPr>
      </w:pPr>
    </w:p>
    <w:p w14:paraId="12D8956C" w14:textId="77777777" w:rsidR="00B83A1F" w:rsidRDefault="00B83A1F" w:rsidP="00B83A1F">
      <w:pPr>
        <w:pStyle w:val="Standard"/>
        <w:rPr>
          <w:rFonts w:ascii="F" w:hAnsi="F" w:cs="F"/>
          <w:smallCaps/>
          <w:lang w:val="pt-BR"/>
        </w:rPr>
      </w:pPr>
    </w:p>
    <w:p w14:paraId="19E8FFBE" w14:textId="77777777" w:rsidR="00B83A1F" w:rsidRDefault="00B83A1F" w:rsidP="00B83A1F">
      <w:pPr>
        <w:pStyle w:val="Standard"/>
        <w:rPr>
          <w:rFonts w:ascii="F" w:hAnsi="F" w:cs="F"/>
          <w:smallCaps/>
          <w:lang w:val="pt-BR"/>
        </w:rPr>
      </w:pPr>
    </w:p>
    <w:p w14:paraId="1AA7D5A5" w14:textId="77777777" w:rsidR="00B83A1F" w:rsidRDefault="00B83A1F" w:rsidP="00B83A1F">
      <w:pPr>
        <w:pStyle w:val="Standard"/>
        <w:rPr>
          <w:rFonts w:ascii="F" w:hAnsi="F" w:cs="F"/>
          <w:smallCaps/>
          <w:lang w:val="pt-BR"/>
        </w:rPr>
      </w:pPr>
    </w:p>
    <w:p w14:paraId="33BBE891" w14:textId="77777777" w:rsidR="00B83A1F" w:rsidRDefault="00B83A1F" w:rsidP="00B83A1F">
      <w:pPr>
        <w:pStyle w:val="Standard"/>
        <w:rPr>
          <w:rFonts w:ascii="F" w:hAnsi="F" w:cs="F"/>
          <w:smallCaps/>
          <w:lang w:val="pt-BR"/>
        </w:rPr>
      </w:pPr>
      <w:r>
        <w:rPr>
          <w:rFonts w:ascii="F" w:hAnsi="F" w:cs="F"/>
          <w:smallCaps/>
          <w:lang w:val="pt-BR"/>
        </w:rPr>
        <w:t xml:space="preserve">                                                        </w:t>
      </w:r>
    </w:p>
    <w:p w14:paraId="4AD5E368" w14:textId="77777777" w:rsidR="00B83A1F" w:rsidRDefault="00B83A1F" w:rsidP="00904842">
      <w:pPr>
        <w:pStyle w:val="Standard"/>
        <w:rPr>
          <w:rFonts w:ascii="F" w:hAnsi="F" w:cs="F"/>
          <w:b/>
        </w:rPr>
      </w:pPr>
      <w:r>
        <w:rPr>
          <w:rFonts w:ascii="F" w:hAnsi="F" w:cs="F"/>
          <w:smallCaps/>
          <w:lang w:val="pt-BR"/>
        </w:rPr>
        <w:tab/>
      </w:r>
      <w:r>
        <w:rPr>
          <w:rFonts w:ascii="F" w:hAnsi="F" w:cs="F"/>
          <w:smallCaps/>
          <w:lang w:val="pt-BR"/>
        </w:rPr>
        <w:tab/>
      </w:r>
    </w:p>
    <w:p w14:paraId="0A81F9BB" w14:textId="77777777" w:rsidR="00B83A1F" w:rsidRDefault="00B83A1F" w:rsidP="00B83A1F">
      <w:pPr>
        <w:pStyle w:val="Standard"/>
        <w:jc w:val="center"/>
        <w:rPr>
          <w:rFonts w:ascii="F" w:hAnsi="F" w:cs="F"/>
        </w:rPr>
      </w:pPr>
      <w:r>
        <w:rPr>
          <w:rFonts w:ascii="F" w:hAnsi="F" w:cs="F"/>
          <w:b/>
        </w:rPr>
        <w:t>Auspiciada por</w:t>
      </w:r>
    </w:p>
    <w:p w14:paraId="37563275" w14:textId="77777777" w:rsidR="00B83A1F" w:rsidRDefault="00B83A1F" w:rsidP="00B83A1F">
      <w:pPr>
        <w:pStyle w:val="Standard"/>
        <w:jc w:val="center"/>
        <w:rPr>
          <w:rFonts w:ascii="F" w:hAnsi="F" w:cs="F"/>
        </w:rPr>
      </w:pPr>
      <w:r>
        <w:rPr>
          <w:rFonts w:ascii="F" w:hAnsi="F" w:cs="F"/>
        </w:rPr>
        <w:t>Editorial Sebila</w:t>
      </w:r>
    </w:p>
    <w:p w14:paraId="00DA7CD6" w14:textId="77777777" w:rsidR="00B83A1F" w:rsidRDefault="00B83A1F" w:rsidP="00B83A1F">
      <w:pPr>
        <w:pStyle w:val="Standard"/>
        <w:ind w:left="2124" w:firstLine="708"/>
        <w:rPr>
          <w:rFonts w:ascii="F" w:hAnsi="F" w:cs="F"/>
        </w:rPr>
      </w:pPr>
      <w:r>
        <w:rPr>
          <w:rFonts w:ascii="F" w:hAnsi="F" w:cs="F"/>
        </w:rPr>
        <w:t>Universidad Bíblica Latinoamericana</w:t>
      </w:r>
    </w:p>
    <w:p w14:paraId="58F3D869" w14:textId="77777777" w:rsidR="00B83A1F" w:rsidRDefault="00B83A1F" w:rsidP="00904842">
      <w:pPr>
        <w:pStyle w:val="Standard"/>
        <w:jc w:val="center"/>
        <w:rPr>
          <w:rFonts w:ascii="F" w:hAnsi="F" w:cs="F"/>
        </w:rPr>
      </w:pPr>
      <w:r>
        <w:rPr>
          <w:rFonts w:ascii="F" w:hAnsi="F" w:cs="F"/>
        </w:rPr>
        <w:t>Convenio UNA-UBL</w:t>
      </w:r>
    </w:p>
    <w:p w14:paraId="1DC2169B" w14:textId="77777777" w:rsidR="00B83A1F" w:rsidRDefault="00B83A1F" w:rsidP="00B83A1F">
      <w:pPr>
        <w:pStyle w:val="Standard"/>
        <w:ind w:left="2124" w:firstLine="708"/>
        <w:rPr>
          <w:rFonts w:ascii="F" w:hAnsi="F" w:cs="F"/>
        </w:rPr>
      </w:pPr>
      <w:r>
        <w:rPr>
          <w:rFonts w:ascii="F" w:hAnsi="F" w:cs="F"/>
        </w:rPr>
        <w:lastRenderedPageBreak/>
        <w:t xml:space="preserve">    Maestría en Estudios Teológicos</w:t>
      </w:r>
    </w:p>
    <w:p w14:paraId="39E9EAD0" w14:textId="77777777" w:rsidR="00B83A1F" w:rsidRDefault="00B83A1F" w:rsidP="00B83A1F">
      <w:pPr>
        <w:pStyle w:val="Standard"/>
        <w:rPr>
          <w:rFonts w:ascii="F" w:hAnsi="F" w:cs="F"/>
        </w:rPr>
      </w:pPr>
      <w:r>
        <w:rPr>
          <w:rFonts w:ascii="F" w:hAnsi="F" w:cs="F"/>
        </w:rPr>
        <w:t>Dirección: Escuela Ecuménica de Ciencias de la Religión</w:t>
      </w:r>
    </w:p>
    <w:p w14:paraId="5DE1F15F" w14:textId="77777777" w:rsidR="00B83A1F" w:rsidRDefault="00B83A1F" w:rsidP="00B83A1F">
      <w:pPr>
        <w:pStyle w:val="Standard"/>
        <w:rPr>
          <w:rFonts w:ascii="F" w:hAnsi="F" w:cs="F"/>
        </w:rPr>
      </w:pPr>
      <w:r>
        <w:rPr>
          <w:rFonts w:ascii="F" w:hAnsi="F" w:cs="F"/>
        </w:rPr>
        <w:t>Universidad Nacional</w:t>
      </w:r>
    </w:p>
    <w:p w14:paraId="3FF5B21D" w14:textId="77777777" w:rsidR="00B83A1F" w:rsidRDefault="00B83A1F" w:rsidP="00B83A1F">
      <w:pPr>
        <w:pStyle w:val="Standard"/>
        <w:rPr>
          <w:rFonts w:ascii="F" w:hAnsi="F" w:cs="F"/>
        </w:rPr>
      </w:pPr>
      <w:r>
        <w:rPr>
          <w:rFonts w:ascii="F" w:hAnsi="F" w:cs="F"/>
        </w:rPr>
        <w:t>Aparatado 86-3000. Heredia, Costa Rica.</w:t>
      </w:r>
    </w:p>
    <w:p w14:paraId="4FBECBE4" w14:textId="77777777" w:rsidR="00B83A1F" w:rsidRDefault="00B83A1F" w:rsidP="00B83A1F">
      <w:pPr>
        <w:pStyle w:val="Standard"/>
        <w:rPr>
          <w:rFonts w:ascii="F" w:hAnsi="F" w:cs="F"/>
        </w:rPr>
      </w:pPr>
      <w:r>
        <w:rPr>
          <w:rFonts w:ascii="F" w:hAnsi="F" w:cs="F"/>
        </w:rPr>
        <w:t>Teléfonos: 2562-4061 / 25624063 (fax)</w:t>
      </w:r>
    </w:p>
    <w:p w14:paraId="65A0BCFF" w14:textId="77777777" w:rsidR="00B83A1F" w:rsidRDefault="00B83A1F" w:rsidP="00B83A1F">
      <w:pPr>
        <w:pStyle w:val="Standard"/>
        <w:rPr>
          <w:rFonts w:ascii="F" w:hAnsi="F" w:cs="F"/>
        </w:rPr>
      </w:pPr>
      <w:r>
        <w:rPr>
          <w:rFonts w:ascii="F" w:hAnsi="F" w:cs="F"/>
        </w:rPr>
        <w:t xml:space="preserve">Correo electrónico: </w:t>
      </w:r>
      <w:hyperlink r:id="rId13" w:history="1">
        <w:r>
          <w:rPr>
            <w:rStyle w:val="Hyperlink"/>
            <w:rFonts w:ascii="F" w:hAnsi="F" w:cs="F"/>
          </w:rPr>
          <w:t>revistasiwo@una.cr</w:t>
        </w:r>
      </w:hyperlink>
    </w:p>
    <w:p w14:paraId="627F744D" w14:textId="77777777" w:rsidR="00B83A1F" w:rsidRDefault="00B83A1F" w:rsidP="00B83A1F">
      <w:pPr>
        <w:pStyle w:val="Standard"/>
        <w:rPr>
          <w:rFonts w:ascii="F" w:hAnsi="F" w:cs="F"/>
        </w:rPr>
      </w:pPr>
      <w:r>
        <w:rPr>
          <w:rFonts w:ascii="F" w:hAnsi="F" w:cs="F"/>
        </w:rPr>
        <w:t>Diagramación y diseño de portada: Érick Quirós G.</w:t>
      </w:r>
    </w:p>
    <w:p w14:paraId="4E9D9CDE" w14:textId="77777777" w:rsidR="00B83A1F" w:rsidRDefault="00B83A1F" w:rsidP="00B83A1F">
      <w:pPr>
        <w:pStyle w:val="Standard"/>
        <w:rPr>
          <w:rFonts w:ascii="F" w:hAnsi="F" w:cs="F"/>
        </w:rPr>
      </w:pPr>
      <w:r>
        <w:rPr>
          <w:rFonts w:ascii="F" w:hAnsi="F" w:cs="F"/>
        </w:rPr>
        <w:t>Impresión: Programa de Publicaciones e Impresiones de la Universidad Nacional</w:t>
      </w:r>
    </w:p>
    <w:p w14:paraId="0F97C3E6" w14:textId="77777777" w:rsidR="00B83A1F" w:rsidRDefault="00B83A1F" w:rsidP="00B83A1F">
      <w:pPr>
        <w:pStyle w:val="Standard"/>
        <w:rPr>
          <w:rFonts w:ascii="F" w:hAnsi="F" w:cs="F"/>
        </w:rPr>
      </w:pPr>
    </w:p>
    <w:p w14:paraId="4C42FA76" w14:textId="77777777" w:rsidR="00B83A1F" w:rsidRDefault="00B83A1F" w:rsidP="00B83A1F">
      <w:pPr>
        <w:pStyle w:val="Standard"/>
        <w:jc w:val="both"/>
        <w:rPr>
          <w:rFonts w:ascii="F" w:hAnsi="F" w:cs="F"/>
        </w:rPr>
      </w:pPr>
    </w:p>
    <w:p w14:paraId="408F6BA4" w14:textId="77777777" w:rsidR="00B83A1F" w:rsidRDefault="00B83A1F" w:rsidP="00B83A1F">
      <w:pPr>
        <w:pStyle w:val="Standard"/>
        <w:rPr>
          <w:rFonts w:ascii="F" w:hAnsi="F" w:cs="F"/>
        </w:rPr>
      </w:pPr>
    </w:p>
    <w:p w14:paraId="59214632" w14:textId="77777777" w:rsidR="00B83A1F" w:rsidRDefault="00B83A1F" w:rsidP="00B83A1F">
      <w:pPr>
        <w:pStyle w:val="Standard"/>
        <w:rPr>
          <w:rFonts w:ascii="F" w:hAnsi="F" w:cs="F"/>
        </w:rPr>
      </w:pPr>
    </w:p>
    <w:p w14:paraId="6C8EE146" w14:textId="77777777" w:rsidR="00B83A1F" w:rsidRDefault="00B83A1F" w:rsidP="00B83A1F">
      <w:pPr>
        <w:pStyle w:val="Standard"/>
        <w:rPr>
          <w:rFonts w:ascii="F" w:hAnsi="F" w:cs="F"/>
        </w:rPr>
      </w:pPr>
    </w:p>
    <w:p w14:paraId="406536F6" w14:textId="77777777" w:rsidR="00B83A1F" w:rsidRDefault="00B83A1F" w:rsidP="00B83A1F">
      <w:pPr>
        <w:pStyle w:val="Standard"/>
        <w:rPr>
          <w:rFonts w:ascii="F" w:hAnsi="F" w:cs="F"/>
        </w:rPr>
      </w:pPr>
    </w:p>
    <w:p w14:paraId="05FA5104" w14:textId="77777777" w:rsidR="00B83A1F" w:rsidRDefault="00B83A1F" w:rsidP="00B83A1F">
      <w:pPr>
        <w:pStyle w:val="Standard"/>
        <w:rPr>
          <w:rFonts w:ascii="F" w:hAnsi="F" w:cs="F"/>
        </w:rPr>
      </w:pPr>
    </w:p>
    <w:p w14:paraId="6F02AB2A" w14:textId="77777777" w:rsidR="00B83A1F" w:rsidRDefault="00B83A1F" w:rsidP="00B83A1F">
      <w:pPr>
        <w:pStyle w:val="Standard"/>
        <w:rPr>
          <w:rFonts w:ascii="F" w:hAnsi="F" w:cs="F"/>
        </w:rPr>
      </w:pPr>
    </w:p>
    <w:p w14:paraId="546D6A9C" w14:textId="77777777" w:rsidR="00B83A1F" w:rsidRDefault="00B83A1F" w:rsidP="00B83A1F">
      <w:pPr>
        <w:pStyle w:val="Standard"/>
        <w:rPr>
          <w:rFonts w:ascii="F" w:hAnsi="F" w:cs="F"/>
        </w:rPr>
      </w:pPr>
    </w:p>
    <w:p w14:paraId="049FC25C" w14:textId="77777777" w:rsidR="00B83A1F" w:rsidRDefault="00B83A1F" w:rsidP="00B83A1F">
      <w:pPr>
        <w:pStyle w:val="Standard"/>
        <w:jc w:val="both"/>
        <w:rPr>
          <w:rFonts w:ascii="F" w:hAnsi="F" w:cs="F"/>
          <w:b/>
        </w:rPr>
      </w:pPr>
    </w:p>
    <w:p w14:paraId="7FEFF52C" w14:textId="77777777" w:rsidR="00B83A1F" w:rsidRDefault="00B83A1F" w:rsidP="00B83A1F">
      <w:pPr>
        <w:pStyle w:val="Standard"/>
        <w:jc w:val="both"/>
        <w:rPr>
          <w:rFonts w:ascii="F" w:hAnsi="F" w:cs="F"/>
          <w:b/>
        </w:rPr>
      </w:pPr>
    </w:p>
    <w:p w14:paraId="339D8A34" w14:textId="77777777" w:rsidR="00B83A1F" w:rsidRDefault="00B83A1F" w:rsidP="00B83A1F">
      <w:pPr>
        <w:pStyle w:val="Standard"/>
        <w:jc w:val="both"/>
        <w:rPr>
          <w:rFonts w:ascii="F" w:hAnsi="F" w:cs="F"/>
          <w:b/>
        </w:rPr>
      </w:pPr>
    </w:p>
    <w:p w14:paraId="3DCBB20D" w14:textId="77777777" w:rsidR="00B83A1F" w:rsidRDefault="00B83A1F" w:rsidP="00B83A1F">
      <w:pPr>
        <w:pStyle w:val="Standard"/>
        <w:jc w:val="both"/>
        <w:rPr>
          <w:rFonts w:ascii="F" w:hAnsi="F" w:cs="F"/>
          <w:b/>
          <w:i/>
        </w:rPr>
      </w:pPr>
    </w:p>
    <w:p w14:paraId="4A7A694D" w14:textId="77777777" w:rsidR="00B83A1F" w:rsidRDefault="00B83A1F" w:rsidP="00B83A1F">
      <w:pPr>
        <w:pStyle w:val="Standard"/>
        <w:jc w:val="both"/>
        <w:rPr>
          <w:rFonts w:ascii="F" w:hAnsi="F" w:cs="F"/>
          <w:b/>
          <w:i/>
        </w:rPr>
      </w:pPr>
    </w:p>
    <w:p w14:paraId="55267AE0" w14:textId="77777777" w:rsidR="00B83A1F" w:rsidRDefault="00B83A1F" w:rsidP="00B83A1F">
      <w:pPr>
        <w:pStyle w:val="Standard"/>
        <w:jc w:val="both"/>
        <w:rPr>
          <w:rFonts w:ascii="F" w:hAnsi="F" w:cs="F"/>
          <w:b/>
          <w:i/>
        </w:rPr>
      </w:pPr>
    </w:p>
    <w:p w14:paraId="4044BD4A" w14:textId="77777777" w:rsidR="00B83A1F" w:rsidRDefault="00B83A1F" w:rsidP="00B83A1F">
      <w:pPr>
        <w:pStyle w:val="Standard"/>
        <w:jc w:val="both"/>
        <w:rPr>
          <w:rFonts w:ascii="F" w:hAnsi="F" w:cs="F"/>
          <w:b/>
          <w:i/>
        </w:rPr>
      </w:pPr>
    </w:p>
    <w:p w14:paraId="281E9886" w14:textId="77777777" w:rsidR="00B83A1F" w:rsidRDefault="00B83A1F" w:rsidP="00B83A1F">
      <w:pPr>
        <w:pStyle w:val="Standard"/>
        <w:jc w:val="both"/>
        <w:rPr>
          <w:rFonts w:ascii="F" w:hAnsi="F" w:cs="F"/>
          <w:b/>
          <w:i/>
        </w:rPr>
      </w:pPr>
    </w:p>
    <w:p w14:paraId="38CE21F3" w14:textId="77777777" w:rsidR="00B83A1F" w:rsidRDefault="00B83A1F" w:rsidP="00B83A1F">
      <w:pPr>
        <w:pStyle w:val="Standard"/>
        <w:jc w:val="both"/>
        <w:rPr>
          <w:rFonts w:ascii="F" w:hAnsi="F" w:cs="F"/>
          <w:b/>
          <w:i/>
        </w:rPr>
      </w:pPr>
    </w:p>
    <w:p w14:paraId="56F935E0" w14:textId="77777777" w:rsidR="00B83A1F" w:rsidRDefault="00B83A1F" w:rsidP="00B83A1F">
      <w:pPr>
        <w:pStyle w:val="Standard"/>
        <w:jc w:val="both"/>
        <w:rPr>
          <w:rFonts w:ascii="F" w:hAnsi="F" w:cs="F"/>
          <w:b/>
          <w:i/>
        </w:rPr>
      </w:pPr>
    </w:p>
    <w:p w14:paraId="3194C0F8" w14:textId="77777777" w:rsidR="00B83A1F" w:rsidRDefault="00B83A1F" w:rsidP="00B83A1F">
      <w:pPr>
        <w:pStyle w:val="Standard"/>
        <w:jc w:val="both"/>
        <w:rPr>
          <w:rFonts w:ascii="F" w:hAnsi="F" w:cs="F"/>
          <w:b/>
          <w:i/>
        </w:rPr>
      </w:pPr>
    </w:p>
    <w:p w14:paraId="32BBC7D5" w14:textId="77777777" w:rsidR="00B83A1F" w:rsidRDefault="00B83A1F" w:rsidP="00B83A1F">
      <w:pPr>
        <w:pStyle w:val="Standard"/>
        <w:jc w:val="both"/>
        <w:rPr>
          <w:rFonts w:ascii="F" w:hAnsi="F" w:cs="F"/>
          <w:b/>
          <w:i/>
        </w:rPr>
      </w:pPr>
    </w:p>
    <w:p w14:paraId="68EDF2C5" w14:textId="77777777" w:rsidR="00B83A1F" w:rsidRDefault="00B83A1F" w:rsidP="00B83A1F">
      <w:pPr>
        <w:pStyle w:val="Standard"/>
        <w:spacing w:line="360" w:lineRule="auto"/>
        <w:rPr>
          <w:rFonts w:ascii="F" w:hAnsi="F" w:cs="F"/>
          <w:color w:val="244061"/>
        </w:rPr>
      </w:pPr>
    </w:p>
    <w:p w14:paraId="0B8758D8" w14:textId="77777777" w:rsidR="00B83A1F" w:rsidRDefault="00B83A1F" w:rsidP="00B83A1F">
      <w:pPr>
        <w:pStyle w:val="Standard"/>
        <w:spacing w:line="360" w:lineRule="auto"/>
        <w:rPr>
          <w:rFonts w:ascii="F" w:hAnsi="F" w:cs="F"/>
          <w:color w:val="244061"/>
        </w:rPr>
      </w:pPr>
    </w:p>
    <w:p w14:paraId="626811CF" w14:textId="77777777" w:rsidR="00B83A1F" w:rsidRDefault="00B83A1F" w:rsidP="00B83A1F">
      <w:pPr>
        <w:pStyle w:val="Standard"/>
        <w:spacing w:line="360" w:lineRule="auto"/>
        <w:rPr>
          <w:rFonts w:ascii="F" w:hAnsi="F" w:cs="F"/>
          <w:color w:val="244061"/>
        </w:rPr>
      </w:pPr>
    </w:p>
    <w:p w14:paraId="4D802D02" w14:textId="77777777" w:rsidR="00B83A1F" w:rsidRDefault="00B83A1F" w:rsidP="00B83A1F">
      <w:pPr>
        <w:pStyle w:val="Standard"/>
        <w:spacing w:line="360" w:lineRule="auto"/>
        <w:rPr>
          <w:rFonts w:ascii="F" w:hAnsi="F" w:cs="F"/>
          <w:color w:val="244061"/>
        </w:rPr>
      </w:pPr>
    </w:p>
    <w:p w14:paraId="494B7467" w14:textId="77777777" w:rsidR="00B83A1F" w:rsidRDefault="00B83A1F" w:rsidP="00B83A1F">
      <w:pPr>
        <w:pStyle w:val="Standard"/>
        <w:spacing w:line="360" w:lineRule="auto"/>
        <w:rPr>
          <w:rFonts w:ascii="F" w:hAnsi="F" w:cs="F"/>
          <w:color w:val="244061"/>
        </w:rPr>
      </w:pPr>
    </w:p>
    <w:p w14:paraId="6EBD629D" w14:textId="77777777" w:rsidR="00B83A1F" w:rsidRDefault="00B83A1F" w:rsidP="00B83A1F">
      <w:pPr>
        <w:pStyle w:val="Standard"/>
        <w:spacing w:line="360" w:lineRule="auto"/>
        <w:rPr>
          <w:rFonts w:ascii="F" w:hAnsi="F" w:cs="F"/>
          <w:color w:val="244061"/>
        </w:rPr>
      </w:pPr>
    </w:p>
    <w:p w14:paraId="727D2103" w14:textId="77777777" w:rsidR="00B83A1F" w:rsidRDefault="00B83A1F" w:rsidP="00B83A1F">
      <w:pPr>
        <w:pStyle w:val="Standard"/>
        <w:spacing w:line="360" w:lineRule="auto"/>
        <w:rPr>
          <w:rFonts w:ascii="F" w:hAnsi="F" w:cs="F"/>
          <w:color w:val="244061"/>
        </w:rPr>
      </w:pPr>
    </w:p>
    <w:p w14:paraId="45685338" w14:textId="77777777" w:rsidR="00B83A1F" w:rsidRDefault="00B83A1F" w:rsidP="00B83A1F">
      <w:pPr>
        <w:pStyle w:val="Standard"/>
        <w:spacing w:line="360" w:lineRule="auto"/>
        <w:rPr>
          <w:rFonts w:ascii="F" w:hAnsi="F" w:cs="F"/>
          <w:color w:val="244061"/>
        </w:rPr>
      </w:pPr>
    </w:p>
    <w:p w14:paraId="4E4D712C" w14:textId="77777777" w:rsidR="00B83A1F" w:rsidRDefault="00B83A1F" w:rsidP="00B83A1F">
      <w:pPr>
        <w:pStyle w:val="Standard"/>
        <w:jc w:val="both"/>
        <w:rPr>
          <w:rFonts w:ascii="F" w:hAnsi="F" w:cs="F"/>
        </w:rPr>
      </w:pPr>
    </w:p>
    <w:p w14:paraId="0BFB790F" w14:textId="77777777" w:rsidR="00B83A1F" w:rsidRDefault="00B83A1F" w:rsidP="00B83A1F">
      <w:pPr>
        <w:pStyle w:val="Standard"/>
        <w:jc w:val="both"/>
        <w:rPr>
          <w:rFonts w:ascii="F" w:hAnsi="F" w:cs="F"/>
        </w:rPr>
      </w:pPr>
    </w:p>
    <w:p w14:paraId="495FE048" w14:textId="77777777" w:rsidR="00B83A1F" w:rsidRDefault="00B83A1F" w:rsidP="00B83A1F">
      <w:pPr>
        <w:pStyle w:val="Standard"/>
        <w:jc w:val="both"/>
        <w:rPr>
          <w:rFonts w:ascii="F" w:hAnsi="F" w:cs="F"/>
        </w:rPr>
      </w:pPr>
    </w:p>
    <w:p w14:paraId="7E2C0DF5" w14:textId="77777777" w:rsidR="00904842" w:rsidRDefault="00B83A1F" w:rsidP="00904842">
      <w:pPr>
        <w:pStyle w:val="Standard"/>
        <w:jc w:val="both"/>
        <w:rPr>
          <w:rFonts w:ascii="F" w:hAnsi="F" w:cs="F"/>
        </w:rPr>
      </w:pPr>
      <w:r>
        <w:rPr>
          <w:rFonts w:ascii="F" w:hAnsi="F" w:cs="F"/>
        </w:rPr>
        <w:t xml:space="preserve">Todos los derechos reservados. Esta publicación no puede ser reproducida en forma parcial </w:t>
      </w:r>
      <w:r>
        <w:rPr>
          <w:rFonts w:ascii="F" w:hAnsi="F" w:cs="F"/>
          <w:shd w:val="clear" w:color="auto" w:fill="FFFFFF"/>
        </w:rPr>
        <w:t>o</w:t>
      </w:r>
      <w:r>
        <w:rPr>
          <w:rFonts w:ascii="F" w:hAnsi="F" w:cs="F"/>
        </w:rPr>
        <w:t xml:space="preserve"> total. La reproducción electrónica debe contar con la autorización de los comités editoriales.</w:t>
      </w:r>
    </w:p>
    <w:p w14:paraId="7B206E1B" w14:textId="77777777" w:rsidR="00904842" w:rsidRDefault="00904842" w:rsidP="00904842">
      <w:pPr>
        <w:pStyle w:val="Standard"/>
        <w:jc w:val="both"/>
        <w:rPr>
          <w:rFonts w:ascii="F" w:hAnsi="F" w:cs="F"/>
        </w:rPr>
      </w:pPr>
    </w:p>
    <w:p w14:paraId="262CF6A0" w14:textId="77777777" w:rsidR="00B83A1F" w:rsidRDefault="00B83A1F"/>
    <w:p w14:paraId="25FE127F" w14:textId="77777777" w:rsidR="00B83A1F" w:rsidRDefault="00B83A1F"/>
    <w:p w14:paraId="1F1858B9" w14:textId="77777777" w:rsidR="00B83A1F" w:rsidRDefault="00B83A1F"/>
    <w:p w14:paraId="041068BC" w14:textId="77777777" w:rsidR="00B83A1F" w:rsidRDefault="00B83A1F"/>
    <w:p w14:paraId="048E9844" w14:textId="77777777" w:rsidR="00B83A1F" w:rsidRDefault="00B83A1F"/>
    <w:p w14:paraId="6D74235F" w14:textId="77777777" w:rsidR="00B83A1F" w:rsidRDefault="00B83A1F"/>
    <w:p w14:paraId="1B7DD5F8" w14:textId="77777777" w:rsidR="00B83A1F" w:rsidRDefault="00B83A1F"/>
    <w:p w14:paraId="458658A5" w14:textId="77777777" w:rsidR="00B83A1F" w:rsidRDefault="00B83A1F"/>
    <w:p w14:paraId="4E038BB4" w14:textId="77777777" w:rsidR="00B83A1F" w:rsidRDefault="00B83A1F"/>
    <w:p w14:paraId="79136974" w14:textId="77777777" w:rsidR="00B83A1F" w:rsidRDefault="00B83A1F"/>
    <w:p w14:paraId="78C18B03" w14:textId="77777777" w:rsidR="00B83A1F" w:rsidRDefault="00B83A1F"/>
    <w:p w14:paraId="33FEE64E" w14:textId="77777777" w:rsidR="00B83A1F" w:rsidRDefault="00B83A1F"/>
    <w:p w14:paraId="54D60DAF" w14:textId="77777777" w:rsidR="00B83A1F" w:rsidRDefault="00B83A1F"/>
    <w:p w14:paraId="32D7DA20" w14:textId="77777777" w:rsidR="00B83A1F" w:rsidRDefault="00B83A1F"/>
    <w:p w14:paraId="1DD7D884" w14:textId="77777777" w:rsidR="00B83A1F" w:rsidRDefault="00B83A1F"/>
    <w:p w14:paraId="7C9A0017" w14:textId="77777777" w:rsidR="00B83A1F" w:rsidRDefault="00B83A1F"/>
    <w:p w14:paraId="3B025EC7" w14:textId="77777777" w:rsidR="00B83A1F" w:rsidRDefault="00B83A1F"/>
    <w:p w14:paraId="64FACBD6" w14:textId="77777777" w:rsidR="00B83A1F" w:rsidRDefault="00B83A1F"/>
    <w:p w14:paraId="046ABEE4" w14:textId="77777777" w:rsidR="00B83A1F" w:rsidRDefault="00B83A1F"/>
    <w:p w14:paraId="0E29E4C2" w14:textId="77777777" w:rsidR="00B83A1F" w:rsidRDefault="00B83A1F"/>
    <w:p w14:paraId="7839953B" w14:textId="77777777" w:rsidR="00B83A1F" w:rsidRDefault="00B83A1F"/>
    <w:p w14:paraId="541EDF76" w14:textId="77777777" w:rsidR="00B83A1F" w:rsidRDefault="00B83A1F"/>
    <w:p w14:paraId="3F6F826A" w14:textId="77777777" w:rsidR="00B83A1F" w:rsidRDefault="00B83A1F"/>
    <w:p w14:paraId="33EB0077" w14:textId="77777777" w:rsidR="00B83A1F" w:rsidRDefault="00B83A1F"/>
    <w:p w14:paraId="597D948B" w14:textId="77777777" w:rsidR="00B83A1F" w:rsidRDefault="00B83A1F"/>
    <w:p w14:paraId="41B884FE" w14:textId="77777777" w:rsidR="00B83A1F" w:rsidRDefault="00B83A1F"/>
    <w:p w14:paraId="5ED2DEB6" w14:textId="77777777" w:rsidR="00B83A1F" w:rsidRDefault="00B83A1F"/>
    <w:p w14:paraId="5AB6CF2C" w14:textId="77777777" w:rsidR="00B56345" w:rsidRDefault="00B56345" w:rsidP="001A3E86">
      <w:pPr>
        <w:pStyle w:val="NormalWeb"/>
        <w:spacing w:line="480" w:lineRule="auto"/>
        <w:ind w:right="1418"/>
        <w:jc w:val="center"/>
        <w:rPr>
          <w:b/>
          <w:i/>
          <w:sz w:val="28"/>
          <w:szCs w:val="28"/>
          <w:lang w:eastAsia="hi-IN" w:bidi="hi-IN"/>
        </w:rPr>
      </w:pPr>
    </w:p>
    <w:p w14:paraId="3236A9C5" w14:textId="77777777" w:rsidR="00B56345" w:rsidRDefault="00B56345" w:rsidP="001A3E86">
      <w:pPr>
        <w:pStyle w:val="NormalWeb"/>
        <w:spacing w:line="480" w:lineRule="auto"/>
        <w:ind w:right="1418"/>
        <w:jc w:val="center"/>
        <w:rPr>
          <w:b/>
          <w:i/>
          <w:sz w:val="28"/>
          <w:szCs w:val="28"/>
          <w:lang w:eastAsia="hi-IN" w:bidi="hi-IN"/>
        </w:rPr>
      </w:pPr>
    </w:p>
    <w:p w14:paraId="761BBBC9" w14:textId="77777777" w:rsidR="00B56345" w:rsidRDefault="00B56345" w:rsidP="001A3E86">
      <w:pPr>
        <w:pStyle w:val="NormalWeb"/>
        <w:spacing w:line="480" w:lineRule="auto"/>
        <w:ind w:right="1418"/>
        <w:jc w:val="center"/>
        <w:rPr>
          <w:b/>
          <w:i/>
          <w:sz w:val="28"/>
          <w:szCs w:val="28"/>
          <w:lang w:eastAsia="hi-IN" w:bidi="hi-IN"/>
        </w:rPr>
      </w:pPr>
    </w:p>
    <w:p w14:paraId="21000A54" w14:textId="77777777" w:rsidR="00B56345" w:rsidRDefault="00B56345" w:rsidP="001A3E86">
      <w:pPr>
        <w:pStyle w:val="NormalWeb"/>
        <w:spacing w:line="480" w:lineRule="auto"/>
        <w:ind w:right="1418"/>
        <w:jc w:val="center"/>
        <w:rPr>
          <w:b/>
          <w:i/>
          <w:sz w:val="28"/>
          <w:szCs w:val="28"/>
          <w:lang w:eastAsia="hi-IN" w:bidi="hi-IN"/>
        </w:rPr>
      </w:pPr>
    </w:p>
    <w:p w14:paraId="1998F92E" w14:textId="77777777" w:rsidR="00B56345" w:rsidRDefault="00B56345" w:rsidP="001A3E86">
      <w:pPr>
        <w:pStyle w:val="NormalWeb"/>
        <w:spacing w:line="480" w:lineRule="auto"/>
        <w:ind w:right="1418"/>
        <w:jc w:val="center"/>
        <w:rPr>
          <w:b/>
          <w:i/>
          <w:sz w:val="28"/>
          <w:szCs w:val="28"/>
          <w:lang w:eastAsia="hi-IN" w:bidi="hi-IN"/>
        </w:rPr>
      </w:pPr>
    </w:p>
    <w:p w14:paraId="1C9C2A30" w14:textId="77777777" w:rsidR="00B56345" w:rsidRDefault="00B56345" w:rsidP="001A3E86">
      <w:pPr>
        <w:pStyle w:val="NormalWeb"/>
        <w:spacing w:line="480" w:lineRule="auto"/>
        <w:ind w:right="1418"/>
        <w:jc w:val="center"/>
        <w:rPr>
          <w:b/>
          <w:i/>
          <w:sz w:val="28"/>
          <w:szCs w:val="28"/>
          <w:lang w:eastAsia="hi-IN" w:bidi="hi-IN"/>
        </w:rPr>
      </w:pPr>
    </w:p>
    <w:p w14:paraId="2E0B2A10" w14:textId="77777777" w:rsidR="00B56345" w:rsidRDefault="00B56345" w:rsidP="001A3E86">
      <w:pPr>
        <w:pStyle w:val="NormalWeb"/>
        <w:spacing w:line="480" w:lineRule="auto"/>
        <w:ind w:right="1418"/>
        <w:jc w:val="center"/>
        <w:rPr>
          <w:b/>
          <w:i/>
          <w:sz w:val="28"/>
          <w:szCs w:val="28"/>
          <w:lang w:eastAsia="hi-IN" w:bidi="hi-IN"/>
        </w:rPr>
      </w:pPr>
    </w:p>
    <w:p w14:paraId="7D596B3F" w14:textId="77777777" w:rsidR="00B56345" w:rsidRDefault="00B56345" w:rsidP="001A3E86">
      <w:pPr>
        <w:pStyle w:val="NormalWeb"/>
        <w:spacing w:line="480" w:lineRule="auto"/>
        <w:ind w:right="1418"/>
        <w:jc w:val="center"/>
        <w:rPr>
          <w:b/>
          <w:i/>
          <w:sz w:val="28"/>
          <w:szCs w:val="28"/>
          <w:lang w:eastAsia="hi-IN" w:bidi="hi-IN"/>
        </w:rPr>
      </w:pPr>
    </w:p>
    <w:p w14:paraId="6A743C02" w14:textId="77777777" w:rsidR="00B56345" w:rsidRDefault="00B56345" w:rsidP="001A3E86">
      <w:pPr>
        <w:pStyle w:val="NormalWeb"/>
        <w:spacing w:line="480" w:lineRule="auto"/>
        <w:ind w:right="1418"/>
        <w:jc w:val="center"/>
        <w:rPr>
          <w:b/>
          <w:i/>
          <w:sz w:val="28"/>
          <w:szCs w:val="28"/>
          <w:lang w:eastAsia="hi-IN" w:bidi="hi-IN"/>
        </w:rPr>
      </w:pPr>
    </w:p>
    <w:p w14:paraId="082EF6C4" w14:textId="77777777" w:rsidR="001A3E86" w:rsidRPr="00B56345" w:rsidRDefault="00B56345" w:rsidP="001A3E86">
      <w:pPr>
        <w:pStyle w:val="NormalWeb"/>
        <w:spacing w:line="480" w:lineRule="auto"/>
        <w:ind w:right="1418"/>
        <w:jc w:val="center"/>
        <w:rPr>
          <w:b/>
          <w:sz w:val="28"/>
          <w:szCs w:val="28"/>
          <w:lang w:val="es-CR"/>
        </w:rPr>
      </w:pPr>
      <w:r w:rsidRPr="00B56345">
        <w:rPr>
          <w:b/>
          <w:i/>
          <w:sz w:val="28"/>
          <w:szCs w:val="28"/>
          <w:lang w:eastAsia="hi-IN" w:bidi="hi-IN"/>
        </w:rPr>
        <w:t xml:space="preserve">Siwô´ </w:t>
      </w:r>
      <w:r w:rsidR="001A3E86" w:rsidRPr="00B56345">
        <w:rPr>
          <w:b/>
          <w:sz w:val="28"/>
          <w:szCs w:val="28"/>
          <w:lang w:val="es-CR"/>
        </w:rPr>
        <w:t>10.2</w:t>
      </w:r>
    </w:p>
    <w:p w14:paraId="0CBD6F1C" w14:textId="77777777" w:rsidR="001A3E86" w:rsidRDefault="001A3E86" w:rsidP="001A3E86">
      <w:pPr>
        <w:pStyle w:val="NormalWeb"/>
        <w:spacing w:line="480" w:lineRule="auto"/>
        <w:ind w:right="1418"/>
        <w:jc w:val="center"/>
        <w:rPr>
          <w:sz w:val="32"/>
          <w:szCs w:val="32"/>
          <w:lang w:val="es-CR"/>
        </w:rPr>
      </w:pPr>
    </w:p>
    <w:p w14:paraId="5A5C3799" w14:textId="77777777" w:rsidR="00904842" w:rsidRDefault="00904842" w:rsidP="001A3E86">
      <w:pPr>
        <w:pStyle w:val="NormalWeb"/>
        <w:spacing w:line="480" w:lineRule="auto"/>
        <w:ind w:right="1418"/>
        <w:jc w:val="center"/>
        <w:rPr>
          <w:sz w:val="32"/>
          <w:szCs w:val="32"/>
          <w:lang w:val="es-CR"/>
        </w:rPr>
      </w:pPr>
    </w:p>
    <w:p w14:paraId="1ECDCBCA" w14:textId="77777777" w:rsidR="001A3E86" w:rsidRDefault="001A3E86" w:rsidP="001A3E86">
      <w:pPr>
        <w:pStyle w:val="NormalWeb"/>
        <w:spacing w:line="480" w:lineRule="auto"/>
        <w:ind w:right="1418"/>
        <w:jc w:val="center"/>
        <w:rPr>
          <w:sz w:val="32"/>
          <w:szCs w:val="32"/>
          <w:lang w:val="es-CR"/>
        </w:rPr>
      </w:pPr>
    </w:p>
    <w:p w14:paraId="580FCABD" w14:textId="77777777" w:rsidR="001A3E86" w:rsidRDefault="001A3E86" w:rsidP="001A3E86">
      <w:pPr>
        <w:pStyle w:val="NormalWeb"/>
        <w:spacing w:line="480" w:lineRule="auto"/>
        <w:ind w:right="1418"/>
        <w:jc w:val="center"/>
        <w:rPr>
          <w:sz w:val="32"/>
          <w:szCs w:val="32"/>
          <w:lang w:val="es-CR"/>
        </w:rPr>
      </w:pPr>
    </w:p>
    <w:p w14:paraId="70E1A400" w14:textId="77777777" w:rsidR="001A3E86" w:rsidRDefault="001A3E86" w:rsidP="001A3E86">
      <w:pPr>
        <w:pStyle w:val="NormalWeb"/>
        <w:spacing w:line="480" w:lineRule="auto"/>
        <w:ind w:right="1418"/>
        <w:jc w:val="center"/>
        <w:rPr>
          <w:sz w:val="32"/>
          <w:szCs w:val="32"/>
          <w:lang w:val="es-CR"/>
        </w:rPr>
      </w:pPr>
    </w:p>
    <w:p w14:paraId="1B5D910F" w14:textId="77777777" w:rsidR="001A3E86" w:rsidRDefault="001A3E86" w:rsidP="001A3E86">
      <w:pPr>
        <w:pStyle w:val="NormalWeb"/>
        <w:spacing w:line="480" w:lineRule="auto"/>
        <w:ind w:right="1418"/>
        <w:jc w:val="center"/>
        <w:rPr>
          <w:sz w:val="32"/>
          <w:szCs w:val="32"/>
          <w:lang w:val="es-CR"/>
        </w:rPr>
      </w:pPr>
    </w:p>
    <w:p w14:paraId="6F92A611" w14:textId="77777777" w:rsidR="001A3E86" w:rsidRDefault="001A3E86" w:rsidP="001A3E86">
      <w:pPr>
        <w:pStyle w:val="NormalWeb"/>
        <w:spacing w:line="480" w:lineRule="auto"/>
        <w:ind w:right="1418"/>
        <w:jc w:val="center"/>
        <w:rPr>
          <w:sz w:val="32"/>
          <w:szCs w:val="32"/>
          <w:lang w:val="es-CR"/>
        </w:rPr>
      </w:pPr>
    </w:p>
    <w:p w14:paraId="67F9CE2A" w14:textId="77777777" w:rsidR="001A3E86" w:rsidRDefault="001A3E86" w:rsidP="001A3E86">
      <w:pPr>
        <w:pStyle w:val="NormalWeb"/>
        <w:spacing w:line="480" w:lineRule="auto"/>
        <w:ind w:right="1418"/>
        <w:jc w:val="center"/>
        <w:rPr>
          <w:sz w:val="32"/>
          <w:szCs w:val="32"/>
          <w:lang w:val="es-CR"/>
        </w:rPr>
      </w:pPr>
    </w:p>
    <w:p w14:paraId="756701FD" w14:textId="77777777" w:rsidR="001A3E86" w:rsidRDefault="001A3E86" w:rsidP="001A3E86">
      <w:pPr>
        <w:pStyle w:val="NormalWeb"/>
        <w:spacing w:line="480" w:lineRule="auto"/>
        <w:ind w:right="1418"/>
        <w:jc w:val="both"/>
        <w:rPr>
          <w:sz w:val="32"/>
          <w:szCs w:val="32"/>
          <w:lang w:val="es-CR"/>
        </w:rPr>
      </w:pPr>
    </w:p>
    <w:p w14:paraId="0BC433DC" w14:textId="77777777" w:rsidR="009D1A7C" w:rsidRDefault="009D1A7C" w:rsidP="001A3E86">
      <w:pPr>
        <w:pStyle w:val="NormalWeb"/>
        <w:spacing w:line="480" w:lineRule="auto"/>
        <w:ind w:right="1418"/>
        <w:jc w:val="both"/>
        <w:rPr>
          <w:sz w:val="32"/>
          <w:szCs w:val="32"/>
          <w:lang w:val="es-CR"/>
        </w:rPr>
      </w:pPr>
    </w:p>
    <w:p w14:paraId="01063699" w14:textId="77777777" w:rsidR="001A3E86" w:rsidRPr="004F609D" w:rsidRDefault="001A3E86" w:rsidP="001A3E86">
      <w:pPr>
        <w:pStyle w:val="NormalWeb"/>
        <w:spacing w:line="480" w:lineRule="auto"/>
        <w:ind w:right="1418"/>
        <w:jc w:val="both"/>
        <w:rPr>
          <w:sz w:val="32"/>
          <w:szCs w:val="32"/>
          <w:lang w:val="es-CR"/>
        </w:rPr>
      </w:pPr>
      <w:r w:rsidRPr="004F609D">
        <w:rPr>
          <w:b/>
          <w:lang w:val="es-CR"/>
        </w:rPr>
        <w:lastRenderedPageBreak/>
        <w:t>doi:</w:t>
      </w:r>
      <w:r w:rsidR="008B007E">
        <w:rPr>
          <w:lang w:val="es-CR"/>
        </w:rPr>
        <w:t xml:space="preserve"> http://dx.doi.org/10.15359/s</w:t>
      </w:r>
      <w:r w:rsidRPr="004F609D">
        <w:rPr>
          <w:lang w:val="es-CR"/>
        </w:rPr>
        <w:t>iwo.10-2.1</w:t>
      </w:r>
    </w:p>
    <w:p w14:paraId="66693D7B" w14:textId="77777777" w:rsidR="001A3E86" w:rsidRDefault="001A3E86" w:rsidP="001A3E86">
      <w:pPr>
        <w:pStyle w:val="NormalWeb"/>
        <w:spacing w:line="480" w:lineRule="auto"/>
        <w:ind w:right="1418"/>
        <w:jc w:val="center"/>
        <w:rPr>
          <w:sz w:val="32"/>
          <w:szCs w:val="32"/>
          <w:lang w:val="es-CR"/>
        </w:rPr>
      </w:pPr>
    </w:p>
    <w:p w14:paraId="6E6896D6" w14:textId="77777777" w:rsidR="001A3E86" w:rsidRDefault="001A3E86" w:rsidP="001A3E86">
      <w:pPr>
        <w:pStyle w:val="NormalWeb"/>
        <w:spacing w:line="480" w:lineRule="auto"/>
        <w:ind w:right="1418"/>
        <w:jc w:val="center"/>
        <w:rPr>
          <w:sz w:val="32"/>
          <w:szCs w:val="32"/>
          <w:lang w:val="es-CR"/>
        </w:rPr>
      </w:pPr>
      <w:r w:rsidRPr="00FB016A">
        <w:rPr>
          <w:sz w:val="32"/>
          <w:szCs w:val="32"/>
          <w:lang w:val="es-CR"/>
        </w:rPr>
        <w:t>UNIVERSIDAD</w:t>
      </w:r>
      <w:r>
        <w:rPr>
          <w:sz w:val="32"/>
          <w:szCs w:val="32"/>
          <w:lang w:val="es-CR"/>
        </w:rPr>
        <w:t xml:space="preserve"> ESTATAL A DISTANCIA</w:t>
      </w:r>
    </w:p>
    <w:p w14:paraId="3D6F7E69" w14:textId="77777777" w:rsidR="001A3E86" w:rsidRPr="00FB016A" w:rsidRDefault="001A3E86" w:rsidP="001A3E86">
      <w:pPr>
        <w:pStyle w:val="NormalWeb"/>
        <w:spacing w:line="480" w:lineRule="auto"/>
        <w:ind w:right="1418"/>
        <w:jc w:val="center"/>
        <w:rPr>
          <w:sz w:val="32"/>
          <w:szCs w:val="32"/>
          <w:lang w:val="es-CR"/>
        </w:rPr>
      </w:pPr>
      <w:r w:rsidRPr="00FB016A">
        <w:rPr>
          <w:sz w:val="32"/>
          <w:szCs w:val="32"/>
          <w:lang w:val="es-CR"/>
        </w:rPr>
        <w:t>Vicerrectoría Académica</w:t>
      </w:r>
    </w:p>
    <w:p w14:paraId="795166EB" w14:textId="77777777" w:rsidR="001A3E86" w:rsidRPr="00FB016A" w:rsidRDefault="001A3E86" w:rsidP="001A3E86">
      <w:pPr>
        <w:pStyle w:val="NormalWeb"/>
        <w:spacing w:line="480" w:lineRule="auto"/>
        <w:ind w:right="1418"/>
        <w:jc w:val="center"/>
        <w:rPr>
          <w:sz w:val="32"/>
          <w:szCs w:val="32"/>
          <w:lang w:val="es-CR"/>
        </w:rPr>
      </w:pPr>
      <w:r w:rsidRPr="00FB016A">
        <w:rPr>
          <w:sz w:val="32"/>
          <w:szCs w:val="32"/>
          <w:lang w:val="es-CR"/>
        </w:rPr>
        <w:t>Escuela de Ciencias Sociales y Humanidades</w:t>
      </w:r>
    </w:p>
    <w:p w14:paraId="42E65156" w14:textId="77777777" w:rsidR="001A3E86" w:rsidRPr="00FB016A" w:rsidRDefault="001A3E86" w:rsidP="001A3E86">
      <w:pPr>
        <w:pStyle w:val="NormalWeb"/>
        <w:spacing w:line="480" w:lineRule="auto"/>
        <w:ind w:right="1418"/>
        <w:jc w:val="center"/>
        <w:rPr>
          <w:sz w:val="32"/>
          <w:szCs w:val="32"/>
          <w:lang w:val="es-CR"/>
        </w:rPr>
      </w:pPr>
      <w:r w:rsidRPr="00FB016A">
        <w:rPr>
          <w:sz w:val="32"/>
          <w:szCs w:val="32"/>
          <w:lang w:val="es-CR"/>
        </w:rPr>
        <w:t>Programa de Teología</w:t>
      </w:r>
    </w:p>
    <w:p w14:paraId="18CB35C6" w14:textId="77777777" w:rsidR="001A3E86" w:rsidRPr="00FB016A" w:rsidRDefault="001A3E86" w:rsidP="001A3E86">
      <w:pPr>
        <w:pStyle w:val="NormalWeb"/>
        <w:spacing w:line="480" w:lineRule="auto"/>
        <w:ind w:right="1418"/>
        <w:jc w:val="center"/>
        <w:rPr>
          <w:sz w:val="32"/>
          <w:szCs w:val="32"/>
          <w:lang w:val="es-CR"/>
        </w:rPr>
      </w:pPr>
      <w:r w:rsidRPr="00FB016A">
        <w:rPr>
          <w:sz w:val="32"/>
          <w:szCs w:val="32"/>
          <w:lang w:val="es-CR"/>
        </w:rPr>
        <w:t>UN</w:t>
      </w:r>
      <w:r>
        <w:rPr>
          <w:sz w:val="32"/>
          <w:szCs w:val="32"/>
          <w:lang w:val="es-CR"/>
        </w:rPr>
        <w:t>IVERSIDAD NACIONAL</w:t>
      </w:r>
    </w:p>
    <w:p w14:paraId="46DAA520" w14:textId="77777777" w:rsidR="001A3E86" w:rsidRDefault="001A3E86" w:rsidP="001A3E86">
      <w:pPr>
        <w:pStyle w:val="NormalWeb"/>
        <w:spacing w:line="480" w:lineRule="auto"/>
        <w:ind w:right="1418"/>
        <w:jc w:val="center"/>
        <w:rPr>
          <w:sz w:val="32"/>
          <w:szCs w:val="32"/>
          <w:lang w:val="es-CR"/>
        </w:rPr>
      </w:pPr>
    </w:p>
    <w:p w14:paraId="4CFD9F4E" w14:textId="77777777" w:rsidR="001A3E86" w:rsidRDefault="001A3E86" w:rsidP="001A3E86">
      <w:pPr>
        <w:pStyle w:val="NormalWeb"/>
        <w:spacing w:line="480" w:lineRule="auto"/>
        <w:ind w:right="1418"/>
        <w:rPr>
          <w:sz w:val="32"/>
          <w:szCs w:val="32"/>
          <w:lang w:val="es-CR"/>
        </w:rPr>
      </w:pPr>
    </w:p>
    <w:p w14:paraId="38D555A5" w14:textId="77777777" w:rsidR="001A3E86" w:rsidRDefault="001A3E86" w:rsidP="001A3E86">
      <w:pPr>
        <w:pStyle w:val="NormalWeb"/>
        <w:ind w:right="1418"/>
        <w:jc w:val="center"/>
        <w:rPr>
          <w:sz w:val="32"/>
          <w:szCs w:val="32"/>
          <w:lang w:val="es-CR"/>
        </w:rPr>
      </w:pPr>
    </w:p>
    <w:p w14:paraId="6B435A67" w14:textId="77777777" w:rsidR="001A3E86" w:rsidRDefault="001A3E86" w:rsidP="001A3E86">
      <w:pPr>
        <w:pStyle w:val="NormalWeb"/>
        <w:spacing w:line="276" w:lineRule="auto"/>
        <w:ind w:right="1418"/>
        <w:jc w:val="center"/>
        <w:rPr>
          <w:sz w:val="28"/>
          <w:szCs w:val="28"/>
          <w:lang w:val="es-CR"/>
        </w:rPr>
      </w:pPr>
      <w:r>
        <w:rPr>
          <w:sz w:val="28"/>
          <w:szCs w:val="28"/>
          <w:lang w:val="es-CR"/>
        </w:rPr>
        <w:t>L</w:t>
      </w:r>
      <w:r w:rsidRPr="0039156D">
        <w:rPr>
          <w:sz w:val="28"/>
          <w:szCs w:val="28"/>
          <w:lang w:val="es-CR"/>
        </w:rPr>
        <w:t>a espiritualidad de las drogas enteogénicas del mundo pr</w:t>
      </w:r>
      <w:r>
        <w:rPr>
          <w:sz w:val="28"/>
          <w:szCs w:val="28"/>
          <w:lang w:val="es-CR"/>
        </w:rPr>
        <w:t>ecolombino estudiada por Quirce-</w:t>
      </w:r>
      <w:r w:rsidRPr="0039156D">
        <w:rPr>
          <w:sz w:val="28"/>
          <w:szCs w:val="28"/>
          <w:lang w:val="es-CR"/>
        </w:rPr>
        <w:t>Balma</w:t>
      </w:r>
      <w:r>
        <w:rPr>
          <w:sz w:val="28"/>
          <w:szCs w:val="28"/>
          <w:lang w:val="es-CR"/>
        </w:rPr>
        <w:t>: un acercamiento desde la Teología Intercultural.</w:t>
      </w:r>
    </w:p>
    <w:p w14:paraId="11F01BDB" w14:textId="77777777" w:rsidR="001A3E86" w:rsidRDefault="001A3E86" w:rsidP="001A3E86">
      <w:pPr>
        <w:pStyle w:val="NormalWeb"/>
        <w:spacing w:line="480" w:lineRule="auto"/>
        <w:ind w:right="1418"/>
        <w:jc w:val="center"/>
        <w:rPr>
          <w:sz w:val="28"/>
          <w:szCs w:val="28"/>
          <w:lang w:val="es-CR"/>
        </w:rPr>
      </w:pPr>
    </w:p>
    <w:p w14:paraId="43694C8B" w14:textId="77777777" w:rsidR="001A3E86" w:rsidRPr="004C5C4B" w:rsidRDefault="001A3E86" w:rsidP="001A3E86">
      <w:pPr>
        <w:pStyle w:val="NormalWeb"/>
        <w:spacing w:line="480" w:lineRule="auto"/>
        <w:ind w:right="1418"/>
        <w:jc w:val="center"/>
        <w:rPr>
          <w:sz w:val="28"/>
          <w:szCs w:val="28"/>
          <w:lang w:val="es-CR"/>
        </w:rPr>
      </w:pPr>
    </w:p>
    <w:p w14:paraId="39AA3BE0" w14:textId="77777777" w:rsidR="001A3E86" w:rsidRDefault="001A3E86" w:rsidP="001A3E86">
      <w:pPr>
        <w:pStyle w:val="NormalWeb"/>
        <w:ind w:right="1418"/>
        <w:jc w:val="center"/>
        <w:rPr>
          <w:sz w:val="28"/>
          <w:szCs w:val="28"/>
          <w:lang w:val="es-CR"/>
        </w:rPr>
      </w:pPr>
      <w:r>
        <w:rPr>
          <w:sz w:val="28"/>
          <w:szCs w:val="28"/>
          <w:lang w:val="es-CR"/>
        </w:rPr>
        <w:t>Tesis para optar por el grado de Licenciatura en Teología</w:t>
      </w:r>
    </w:p>
    <w:p w14:paraId="52C7CFE0" w14:textId="77777777" w:rsidR="001A3E86" w:rsidRDefault="001A3E86" w:rsidP="001A3E86">
      <w:pPr>
        <w:pStyle w:val="NormalWeb"/>
        <w:ind w:right="1418"/>
        <w:jc w:val="center"/>
        <w:rPr>
          <w:sz w:val="28"/>
          <w:szCs w:val="28"/>
          <w:lang w:val="es-CR"/>
        </w:rPr>
      </w:pPr>
    </w:p>
    <w:p w14:paraId="567E9380" w14:textId="77777777" w:rsidR="001A3E86" w:rsidRPr="00362E00" w:rsidRDefault="001A3E86" w:rsidP="001A3E86">
      <w:pPr>
        <w:pStyle w:val="NormalWeb"/>
        <w:ind w:right="1418"/>
        <w:rPr>
          <w:sz w:val="28"/>
          <w:szCs w:val="28"/>
          <w:lang w:val="es-CR"/>
        </w:rPr>
      </w:pPr>
    </w:p>
    <w:p w14:paraId="50ED6825" w14:textId="77777777" w:rsidR="001A3E86" w:rsidRDefault="001A3E86" w:rsidP="008B007E">
      <w:pPr>
        <w:pStyle w:val="NormalWeb"/>
        <w:spacing w:line="360" w:lineRule="auto"/>
        <w:ind w:right="1418"/>
        <w:jc w:val="center"/>
        <w:rPr>
          <w:sz w:val="28"/>
          <w:szCs w:val="28"/>
          <w:lang w:val="es-CR"/>
        </w:rPr>
      </w:pPr>
      <w:r>
        <w:rPr>
          <w:sz w:val="28"/>
          <w:szCs w:val="28"/>
          <w:lang w:val="es-CR"/>
        </w:rPr>
        <w:t>Estudiante</w:t>
      </w:r>
      <w:r w:rsidRPr="00291EFA">
        <w:rPr>
          <w:sz w:val="28"/>
          <w:szCs w:val="28"/>
          <w:lang w:val="es-CR"/>
        </w:rPr>
        <w:t xml:space="preserve">: </w:t>
      </w:r>
      <w:r w:rsidR="008B007E">
        <w:rPr>
          <w:sz w:val="28"/>
          <w:szCs w:val="28"/>
          <w:lang w:val="es-CR"/>
        </w:rPr>
        <w:t>Alejandro Vargas Carranza</w:t>
      </w:r>
    </w:p>
    <w:p w14:paraId="3EC13AB1" w14:textId="77777777" w:rsidR="001A3E86" w:rsidRDefault="001A3E86" w:rsidP="008B007E">
      <w:pPr>
        <w:pStyle w:val="NormalWeb"/>
        <w:spacing w:line="360" w:lineRule="auto"/>
        <w:ind w:right="1418"/>
        <w:jc w:val="center"/>
        <w:rPr>
          <w:sz w:val="28"/>
          <w:szCs w:val="28"/>
          <w:lang w:val="es-CR"/>
        </w:rPr>
      </w:pPr>
    </w:p>
    <w:p w14:paraId="15F57DAF" w14:textId="77777777" w:rsidR="001A3E86" w:rsidRPr="00FE0A8D" w:rsidRDefault="001A3E86" w:rsidP="008B007E">
      <w:pPr>
        <w:pStyle w:val="NormalWeb"/>
        <w:spacing w:line="360" w:lineRule="auto"/>
        <w:ind w:right="1418"/>
        <w:jc w:val="center"/>
        <w:rPr>
          <w:sz w:val="28"/>
          <w:szCs w:val="28"/>
          <w:lang w:val="es-CR"/>
        </w:rPr>
      </w:pPr>
      <w:r>
        <w:rPr>
          <w:sz w:val="28"/>
          <w:szCs w:val="28"/>
          <w:lang w:val="es-CR"/>
        </w:rPr>
        <w:t xml:space="preserve">Tutor: </w:t>
      </w:r>
      <w:r w:rsidRPr="00FE0A8D">
        <w:rPr>
          <w:sz w:val="28"/>
          <w:szCs w:val="28"/>
          <w:lang w:val="es-CR"/>
        </w:rPr>
        <w:t>Diego Soto Morera</w:t>
      </w:r>
    </w:p>
    <w:p w14:paraId="05E34CD6" w14:textId="77777777" w:rsidR="001A3E86" w:rsidRDefault="001A3E86" w:rsidP="008B007E">
      <w:pPr>
        <w:pStyle w:val="NormalWeb"/>
        <w:spacing w:line="360" w:lineRule="auto"/>
        <w:ind w:right="1418"/>
        <w:jc w:val="center"/>
        <w:rPr>
          <w:sz w:val="28"/>
          <w:szCs w:val="28"/>
          <w:lang w:val="es-CR"/>
        </w:rPr>
      </w:pPr>
    </w:p>
    <w:p w14:paraId="7C07724C" w14:textId="77777777" w:rsidR="001A3E86" w:rsidRDefault="001A3E86" w:rsidP="008B007E">
      <w:pPr>
        <w:pStyle w:val="NormalWeb"/>
        <w:spacing w:line="480" w:lineRule="auto"/>
        <w:ind w:right="1418"/>
        <w:jc w:val="center"/>
        <w:rPr>
          <w:lang w:val="es-CR"/>
        </w:rPr>
      </w:pPr>
      <w:r>
        <w:rPr>
          <w:lang w:val="es-CR"/>
        </w:rPr>
        <w:t>San José,</w:t>
      </w:r>
      <w:r w:rsidRPr="00FB016A">
        <w:rPr>
          <w:lang w:val="es-CR"/>
        </w:rPr>
        <w:t xml:space="preserve"> </w:t>
      </w:r>
      <w:r>
        <w:rPr>
          <w:lang w:val="es-CR"/>
        </w:rPr>
        <w:t>22</w:t>
      </w:r>
      <w:r w:rsidRPr="00FB016A">
        <w:rPr>
          <w:lang w:val="es-CR"/>
        </w:rPr>
        <w:t xml:space="preserve"> de </w:t>
      </w:r>
      <w:r>
        <w:rPr>
          <w:lang w:val="es-CR"/>
        </w:rPr>
        <w:t>febrero de 2017</w:t>
      </w:r>
    </w:p>
    <w:p w14:paraId="44B8D588" w14:textId="77777777" w:rsidR="001A3E86" w:rsidRDefault="001A3E86" w:rsidP="001A3E86">
      <w:pPr>
        <w:pStyle w:val="NormalWeb"/>
        <w:spacing w:line="480" w:lineRule="auto"/>
        <w:ind w:right="1418"/>
        <w:rPr>
          <w:lang w:val="es-CR"/>
        </w:rPr>
      </w:pPr>
    </w:p>
    <w:p w14:paraId="01E48911" w14:textId="77777777" w:rsidR="001A3E86" w:rsidRPr="00516101" w:rsidRDefault="001A3E86" w:rsidP="001A3E86">
      <w:pPr>
        <w:pStyle w:val="Heading2"/>
        <w:jc w:val="both"/>
        <w:rPr>
          <w:color w:val="auto"/>
          <w:sz w:val="24"/>
          <w:szCs w:val="24"/>
          <w:lang w:val="en-US"/>
        </w:rPr>
      </w:pPr>
      <w:bookmarkStart w:id="0" w:name="_Toc474090201"/>
      <w:r w:rsidRPr="00516101">
        <w:rPr>
          <w:color w:val="auto"/>
          <w:sz w:val="24"/>
          <w:szCs w:val="24"/>
          <w:lang w:val="en-US"/>
        </w:rPr>
        <w:lastRenderedPageBreak/>
        <w:t>A</w:t>
      </w:r>
      <w:bookmarkEnd w:id="0"/>
      <w:r w:rsidRPr="00516101">
        <w:rPr>
          <w:color w:val="auto"/>
          <w:sz w:val="24"/>
          <w:szCs w:val="24"/>
          <w:lang w:val="en-US"/>
        </w:rPr>
        <w:t xml:space="preserve">bstract </w:t>
      </w:r>
    </w:p>
    <w:p w14:paraId="376B0FAB" w14:textId="77777777" w:rsidR="001A3E86" w:rsidRPr="002C572A" w:rsidRDefault="001A3E86" w:rsidP="001A3E86">
      <w:pPr>
        <w:spacing w:line="360" w:lineRule="auto"/>
      </w:pPr>
    </w:p>
    <w:p w14:paraId="2144D955" w14:textId="77777777" w:rsidR="001A3E86" w:rsidRPr="00516101" w:rsidRDefault="001A3E86" w:rsidP="001A3E86">
      <w:pPr>
        <w:spacing w:line="360" w:lineRule="auto"/>
        <w:ind w:firstLine="720"/>
        <w:jc w:val="both"/>
        <w:rPr>
          <w:rFonts w:ascii="Times New Roman" w:hAnsi="Times New Roman" w:cs="Times New Roman"/>
          <w:sz w:val="24"/>
          <w:szCs w:val="24"/>
        </w:rPr>
      </w:pPr>
      <w:r w:rsidRPr="00516101">
        <w:rPr>
          <w:rFonts w:ascii="Times New Roman" w:hAnsi="Times New Roman" w:cs="Times New Roman"/>
          <w:sz w:val="24"/>
          <w:szCs w:val="24"/>
        </w:rPr>
        <w:t>The spirituality of the entheogenic drugs of the pre-Columbian world has been neglected in Latin American theology, even condemned from the most traditional theological lines. In this sense, the contributions of the pre-Columbian entheogenic</w:t>
      </w:r>
      <w:r>
        <w:rPr>
          <w:rFonts w:ascii="Times New Roman" w:hAnsi="Times New Roman" w:cs="Times New Roman"/>
          <w:sz w:val="24"/>
          <w:szCs w:val="24"/>
        </w:rPr>
        <w:t xml:space="preserve"> spirituality studied by Quirce-</w:t>
      </w:r>
      <w:r w:rsidRPr="00516101">
        <w:rPr>
          <w:rFonts w:ascii="Times New Roman" w:hAnsi="Times New Roman" w:cs="Times New Roman"/>
          <w:sz w:val="24"/>
          <w:szCs w:val="24"/>
        </w:rPr>
        <w:t>Balma for the theological reflection in Latin America from an intercultural perspective are determined, for it is given a dialogical approach between the ethnopsycho</w:t>
      </w:r>
      <w:r>
        <w:rPr>
          <w:rFonts w:ascii="Times New Roman" w:hAnsi="Times New Roman" w:cs="Times New Roman"/>
          <w:sz w:val="24"/>
          <w:szCs w:val="24"/>
        </w:rPr>
        <w:t>farmacology of Quirce-</w:t>
      </w:r>
      <w:r w:rsidRPr="00516101">
        <w:rPr>
          <w:rFonts w:ascii="Times New Roman" w:hAnsi="Times New Roman" w:cs="Times New Roman"/>
          <w:sz w:val="24"/>
          <w:szCs w:val="24"/>
        </w:rPr>
        <w:t>Balma, the intercultural theology, the theology of Liberation and traditional theology. It also recognizes the spirituality of the entheogenic drugs of the pre-Columbian world as cultural memory, which enriches intercultural theology and constitutes a means for the dignification of the world.</w:t>
      </w:r>
    </w:p>
    <w:p w14:paraId="695263EC" w14:textId="77777777" w:rsidR="001A3E86" w:rsidRPr="00516101" w:rsidRDefault="001A3E86" w:rsidP="001A3E86">
      <w:pPr>
        <w:jc w:val="both"/>
        <w:rPr>
          <w:rFonts w:ascii="Times New Roman" w:hAnsi="Times New Roman" w:cs="Times New Roman"/>
          <w:sz w:val="24"/>
          <w:szCs w:val="24"/>
        </w:rPr>
      </w:pPr>
      <w:r w:rsidRPr="00516101">
        <w:rPr>
          <w:rFonts w:ascii="Times New Roman" w:hAnsi="Times New Roman" w:cs="Times New Roman"/>
          <w:b/>
          <w:sz w:val="24"/>
          <w:szCs w:val="24"/>
        </w:rPr>
        <w:t>Keywords</w:t>
      </w:r>
      <w:r>
        <w:rPr>
          <w:rFonts w:ascii="Times New Roman" w:hAnsi="Times New Roman" w:cs="Times New Roman"/>
          <w:sz w:val="24"/>
          <w:szCs w:val="24"/>
        </w:rPr>
        <w:t>: Quirce-</w:t>
      </w:r>
      <w:r w:rsidRPr="00516101">
        <w:rPr>
          <w:rFonts w:ascii="Times New Roman" w:hAnsi="Times New Roman" w:cs="Times New Roman"/>
          <w:sz w:val="24"/>
          <w:szCs w:val="24"/>
        </w:rPr>
        <w:t>Balma, pre-Columbian world, entheogens, ethnopsypharmacology, altered states of consciousness, ontopraxis, theological milieu, Teilhard de Chardin, intercultural theology, dialogue and pluralism, cultural memories and dignification of the world.</w:t>
      </w:r>
    </w:p>
    <w:p w14:paraId="18D050F8" w14:textId="77777777" w:rsidR="001A3E86" w:rsidRPr="00516101" w:rsidRDefault="001A3E86" w:rsidP="001A3E86">
      <w:pPr>
        <w:pStyle w:val="Heading3"/>
        <w:jc w:val="both"/>
        <w:rPr>
          <w:rFonts w:ascii="Times New Roman" w:hAnsi="Times New Roman"/>
          <w:sz w:val="24"/>
          <w:szCs w:val="24"/>
          <w:lang w:val="es-CR"/>
        </w:rPr>
      </w:pPr>
      <w:bookmarkStart w:id="1" w:name="_Toc474090202"/>
      <w:r w:rsidRPr="00516101">
        <w:rPr>
          <w:rFonts w:ascii="Times New Roman" w:hAnsi="Times New Roman"/>
          <w:sz w:val="24"/>
          <w:szCs w:val="24"/>
          <w:lang w:val="es-CR"/>
        </w:rPr>
        <w:t>Resumen</w:t>
      </w:r>
      <w:bookmarkEnd w:id="1"/>
      <w:r w:rsidRPr="00516101">
        <w:rPr>
          <w:rFonts w:ascii="Times New Roman" w:hAnsi="Times New Roman"/>
          <w:sz w:val="24"/>
          <w:szCs w:val="24"/>
          <w:lang w:val="es-CR"/>
        </w:rPr>
        <w:t xml:space="preserve"> </w:t>
      </w:r>
    </w:p>
    <w:p w14:paraId="0ABEF3B8" w14:textId="77777777" w:rsidR="001A3E86" w:rsidRPr="004F609D" w:rsidRDefault="001A3E86" w:rsidP="001A3E86">
      <w:pPr>
        <w:spacing w:after="0" w:line="360" w:lineRule="auto"/>
        <w:ind w:firstLine="720"/>
        <w:jc w:val="both"/>
        <w:rPr>
          <w:rFonts w:ascii="Times New Roman" w:hAnsi="Times New Roman" w:cs="Times New Roman"/>
          <w:sz w:val="24"/>
          <w:szCs w:val="24"/>
          <w:lang w:val="es-CR"/>
        </w:rPr>
      </w:pPr>
      <w:r w:rsidRPr="00516101">
        <w:rPr>
          <w:rFonts w:ascii="Times New Roman" w:hAnsi="Times New Roman" w:cs="Times New Roman"/>
          <w:sz w:val="24"/>
          <w:szCs w:val="24"/>
          <w:lang w:val="es-CR"/>
        </w:rPr>
        <w:t xml:space="preserve">La espiritualidad de las drogas enteogénicas del mundo precolombino ha sido un aspecto descuidado en la </w:t>
      </w:r>
      <w:r w:rsidRPr="004F609D">
        <w:rPr>
          <w:rFonts w:ascii="Times New Roman" w:hAnsi="Times New Roman" w:cs="Times New Roman"/>
          <w:sz w:val="24"/>
          <w:szCs w:val="24"/>
          <w:lang w:val="es-CR"/>
        </w:rPr>
        <w:t>teológica latinoamericana, incluso ha sido condenada desde las líneas teológicas más tradicionales. En este sentido, se determinan los aportes de la espiritualidad enteogénica precolombina estudiada por Quirce-Balma, para la reflexión teológica en América Latina desde una perspectiva intercultural, para ello se da un acercamiento dialógico entre la etnopsicofarmacología de Quirce-Balma, la teología intercultural, la teología de la liberación y la teología tradicional. Así mismo se reconoce la espiritualidad de las drogas enteogénicas del mundo precolombino como memoria cultural, que enriquece la teología intercultural y constituye un medio para la dignificación del mundo.</w:t>
      </w:r>
    </w:p>
    <w:p w14:paraId="5A98811B" w14:textId="77777777" w:rsidR="001A3E86" w:rsidRPr="004F609D" w:rsidRDefault="001A3E86" w:rsidP="001A3E86">
      <w:pPr>
        <w:spacing w:after="0" w:line="360" w:lineRule="auto"/>
        <w:ind w:firstLine="720"/>
        <w:jc w:val="both"/>
        <w:rPr>
          <w:rFonts w:ascii="Times New Roman" w:hAnsi="Times New Roman" w:cs="Times New Roman"/>
          <w:sz w:val="24"/>
          <w:szCs w:val="24"/>
          <w:lang w:val="es-CR"/>
        </w:rPr>
      </w:pPr>
    </w:p>
    <w:p w14:paraId="279DC98B" w14:textId="77777777" w:rsidR="001A3E86" w:rsidRPr="00516101" w:rsidRDefault="001A3E86" w:rsidP="001A3E86">
      <w:pPr>
        <w:jc w:val="both"/>
        <w:rPr>
          <w:rFonts w:ascii="Times New Roman" w:hAnsi="Times New Roman" w:cs="Times New Roman"/>
          <w:sz w:val="24"/>
          <w:szCs w:val="24"/>
          <w:lang w:val="es-CR"/>
        </w:rPr>
      </w:pPr>
      <w:r w:rsidRPr="00516101">
        <w:rPr>
          <w:rFonts w:ascii="Times New Roman" w:hAnsi="Times New Roman" w:cs="Times New Roman"/>
          <w:b/>
          <w:sz w:val="24"/>
          <w:szCs w:val="24"/>
          <w:lang w:val="es-CR"/>
        </w:rPr>
        <w:t>Palabras claves:</w:t>
      </w:r>
      <w:r>
        <w:rPr>
          <w:rFonts w:ascii="Times New Roman" w:hAnsi="Times New Roman" w:cs="Times New Roman"/>
          <w:sz w:val="24"/>
          <w:szCs w:val="24"/>
          <w:lang w:val="es-CR"/>
        </w:rPr>
        <w:t xml:space="preserve"> Quirce-</w:t>
      </w:r>
      <w:r w:rsidRPr="00516101">
        <w:rPr>
          <w:rFonts w:ascii="Times New Roman" w:hAnsi="Times New Roman" w:cs="Times New Roman"/>
          <w:sz w:val="24"/>
          <w:szCs w:val="24"/>
          <w:lang w:val="es-CR"/>
        </w:rPr>
        <w:t>Balma, mundo precolombino, enteógenos, etnopsicofarmacología, Estados Alterados de conciencia, ontopraxis, milieu teológico, Teilhard de Chardin, teología intercultural, diálogo y pluralismo, memorias culturales y dignificación del mundo.</w:t>
      </w:r>
    </w:p>
    <w:p w14:paraId="6B49A014" w14:textId="77777777" w:rsidR="001A3E86" w:rsidRDefault="001A3E86" w:rsidP="001A3E86">
      <w:pPr>
        <w:rPr>
          <w:rFonts w:ascii="Times New Roman" w:hAnsi="Times New Roman"/>
          <w:sz w:val="28"/>
          <w:szCs w:val="28"/>
          <w:lang w:val="es-CR"/>
        </w:rPr>
      </w:pPr>
    </w:p>
    <w:p w14:paraId="028EFD28" w14:textId="77777777" w:rsidR="001A3E86" w:rsidRDefault="001A3E86" w:rsidP="001A3E86">
      <w:pPr>
        <w:rPr>
          <w:rFonts w:ascii="Times New Roman" w:hAnsi="Times New Roman"/>
          <w:sz w:val="28"/>
          <w:szCs w:val="28"/>
          <w:lang w:val="es-CR"/>
        </w:rPr>
      </w:pPr>
    </w:p>
    <w:p w14:paraId="42928B92" w14:textId="77777777" w:rsidR="001A3E86" w:rsidRDefault="001A3E86" w:rsidP="001A3E86">
      <w:pPr>
        <w:rPr>
          <w:rFonts w:ascii="Times New Roman" w:hAnsi="Times New Roman"/>
          <w:sz w:val="28"/>
          <w:szCs w:val="28"/>
          <w:lang w:val="es-CR"/>
        </w:rPr>
      </w:pPr>
    </w:p>
    <w:p w14:paraId="0B01480C" w14:textId="77777777" w:rsidR="001A3E86" w:rsidRDefault="001A3E86" w:rsidP="001A3E86">
      <w:pPr>
        <w:rPr>
          <w:rFonts w:ascii="Times New Roman" w:hAnsi="Times New Roman"/>
          <w:sz w:val="28"/>
          <w:szCs w:val="28"/>
          <w:lang w:val="es-CR"/>
        </w:rPr>
      </w:pPr>
    </w:p>
    <w:p w14:paraId="4B359CF8" w14:textId="77777777" w:rsidR="001A3E86" w:rsidRDefault="001A3E86" w:rsidP="001A3E86">
      <w:pPr>
        <w:rPr>
          <w:rFonts w:ascii="Times New Roman" w:hAnsi="Times New Roman"/>
          <w:sz w:val="28"/>
          <w:szCs w:val="28"/>
          <w:lang w:val="es-CR"/>
        </w:rPr>
      </w:pPr>
    </w:p>
    <w:p w14:paraId="62D3C12A" w14:textId="77777777" w:rsidR="001A3E86" w:rsidRDefault="001A3E86" w:rsidP="001A3E86">
      <w:pPr>
        <w:rPr>
          <w:rFonts w:ascii="Times New Roman" w:hAnsi="Times New Roman"/>
          <w:sz w:val="28"/>
          <w:szCs w:val="28"/>
          <w:lang w:val="es-CR"/>
        </w:rPr>
      </w:pPr>
    </w:p>
    <w:p w14:paraId="70A657C0" w14:textId="77777777" w:rsidR="001A3E86" w:rsidRDefault="001A3E86" w:rsidP="001A3E86">
      <w:pPr>
        <w:rPr>
          <w:rFonts w:ascii="Times New Roman" w:hAnsi="Times New Roman"/>
          <w:sz w:val="28"/>
          <w:szCs w:val="28"/>
          <w:lang w:val="es-CR"/>
        </w:rPr>
      </w:pPr>
    </w:p>
    <w:p w14:paraId="38814561" w14:textId="77777777" w:rsidR="001A3E86" w:rsidRDefault="001A3E86" w:rsidP="001A3E86">
      <w:pPr>
        <w:rPr>
          <w:rFonts w:ascii="Times New Roman" w:hAnsi="Times New Roman"/>
          <w:sz w:val="28"/>
          <w:szCs w:val="28"/>
          <w:lang w:val="es-CR"/>
        </w:rPr>
      </w:pPr>
    </w:p>
    <w:p w14:paraId="524F71FB" w14:textId="77777777" w:rsidR="001A3E86" w:rsidRDefault="001A3E86" w:rsidP="001A3E86">
      <w:pPr>
        <w:rPr>
          <w:rFonts w:ascii="Times New Roman" w:hAnsi="Times New Roman"/>
          <w:sz w:val="28"/>
          <w:szCs w:val="28"/>
          <w:lang w:val="es-CR"/>
        </w:rPr>
      </w:pPr>
    </w:p>
    <w:p w14:paraId="4CD4788F" w14:textId="77777777" w:rsidR="001A3E86" w:rsidRDefault="001A3E86" w:rsidP="001A3E86">
      <w:pPr>
        <w:rPr>
          <w:rFonts w:ascii="Times New Roman" w:hAnsi="Times New Roman"/>
          <w:sz w:val="28"/>
          <w:szCs w:val="28"/>
          <w:lang w:val="es-CR"/>
        </w:rPr>
      </w:pPr>
    </w:p>
    <w:p w14:paraId="0E21DFA4" w14:textId="77777777" w:rsidR="001A3E86" w:rsidRDefault="001A3E86" w:rsidP="001A3E86">
      <w:pPr>
        <w:rPr>
          <w:rFonts w:ascii="Times New Roman" w:hAnsi="Times New Roman"/>
          <w:sz w:val="28"/>
          <w:szCs w:val="28"/>
          <w:lang w:val="es-CR"/>
        </w:rPr>
      </w:pPr>
    </w:p>
    <w:p w14:paraId="448D5A50" w14:textId="77777777" w:rsidR="001A3E86" w:rsidRDefault="001A3E86" w:rsidP="001A3E86">
      <w:pPr>
        <w:rPr>
          <w:rFonts w:ascii="Times New Roman" w:hAnsi="Times New Roman"/>
          <w:sz w:val="28"/>
          <w:szCs w:val="28"/>
          <w:lang w:val="es-CR"/>
        </w:rPr>
      </w:pPr>
    </w:p>
    <w:p w14:paraId="7DCE90B1" w14:textId="77777777" w:rsidR="001A3E86" w:rsidRDefault="001A3E86" w:rsidP="001A3E86">
      <w:pPr>
        <w:rPr>
          <w:rFonts w:ascii="Times New Roman" w:hAnsi="Times New Roman"/>
          <w:sz w:val="28"/>
          <w:szCs w:val="28"/>
          <w:lang w:val="es-CR"/>
        </w:rPr>
      </w:pPr>
    </w:p>
    <w:p w14:paraId="7891CA23" w14:textId="77777777" w:rsidR="001A3E86" w:rsidRDefault="001A3E86" w:rsidP="001A3E86">
      <w:pPr>
        <w:rPr>
          <w:rFonts w:ascii="Times New Roman" w:hAnsi="Times New Roman"/>
          <w:sz w:val="28"/>
          <w:szCs w:val="28"/>
          <w:lang w:val="es-CR"/>
        </w:rPr>
      </w:pPr>
    </w:p>
    <w:p w14:paraId="0C049A07" w14:textId="77777777" w:rsidR="001A3E86" w:rsidRPr="004A5D95" w:rsidRDefault="001A3E86" w:rsidP="001A3E86">
      <w:pPr>
        <w:rPr>
          <w:rFonts w:ascii="Arial" w:hAnsi="Arial" w:cs="Arial"/>
          <w:b/>
          <w:sz w:val="28"/>
          <w:szCs w:val="28"/>
          <w:lang w:val="es-CR"/>
        </w:rPr>
      </w:pPr>
    </w:p>
    <w:p w14:paraId="2795B505" w14:textId="77777777" w:rsidR="001A3E86" w:rsidRDefault="001A3E86" w:rsidP="001A3E86">
      <w:pPr>
        <w:rPr>
          <w:rFonts w:ascii="Times New Roman" w:hAnsi="Times New Roman"/>
          <w:sz w:val="28"/>
          <w:szCs w:val="28"/>
          <w:lang w:val="es-CR"/>
        </w:rPr>
      </w:pPr>
    </w:p>
    <w:p w14:paraId="354E3651" w14:textId="77777777" w:rsidR="001A3E86" w:rsidRDefault="001A3E86" w:rsidP="001A3E86">
      <w:pPr>
        <w:rPr>
          <w:rFonts w:ascii="Times New Roman" w:hAnsi="Times New Roman"/>
          <w:sz w:val="28"/>
          <w:szCs w:val="28"/>
          <w:lang w:val="es-CR"/>
        </w:rPr>
      </w:pPr>
    </w:p>
    <w:p w14:paraId="14868F6E" w14:textId="77777777" w:rsidR="001A3E86" w:rsidRDefault="001A3E86" w:rsidP="001A3E86">
      <w:pPr>
        <w:rPr>
          <w:rFonts w:ascii="Times New Roman" w:hAnsi="Times New Roman"/>
          <w:sz w:val="28"/>
          <w:szCs w:val="28"/>
          <w:lang w:val="es-CR"/>
        </w:rPr>
      </w:pPr>
    </w:p>
    <w:p w14:paraId="093925D0" w14:textId="77777777" w:rsidR="001A3E86" w:rsidRDefault="001A3E86" w:rsidP="001A3E86">
      <w:pPr>
        <w:rPr>
          <w:rFonts w:ascii="Times New Roman" w:hAnsi="Times New Roman"/>
          <w:sz w:val="28"/>
          <w:szCs w:val="28"/>
          <w:lang w:val="es-CR"/>
        </w:rPr>
      </w:pPr>
    </w:p>
    <w:p w14:paraId="706C4E89" w14:textId="77777777" w:rsidR="001A3E86" w:rsidRDefault="001A3E86" w:rsidP="001A3E86">
      <w:pPr>
        <w:rPr>
          <w:rFonts w:ascii="Times New Roman" w:hAnsi="Times New Roman"/>
          <w:sz w:val="28"/>
          <w:szCs w:val="28"/>
          <w:lang w:val="es-CR"/>
        </w:rPr>
      </w:pPr>
    </w:p>
    <w:p w14:paraId="060DE3E5" w14:textId="77777777" w:rsidR="001A3E86" w:rsidRDefault="001A3E86" w:rsidP="001A3E86">
      <w:pPr>
        <w:rPr>
          <w:rFonts w:ascii="Times New Roman" w:hAnsi="Times New Roman"/>
          <w:sz w:val="28"/>
          <w:szCs w:val="28"/>
          <w:lang w:val="es-CR"/>
        </w:rPr>
      </w:pPr>
    </w:p>
    <w:p w14:paraId="5DEC810F" w14:textId="77777777" w:rsidR="001A3E86" w:rsidRDefault="001A3E86" w:rsidP="001A3E86">
      <w:pPr>
        <w:rPr>
          <w:rFonts w:ascii="Times New Roman" w:hAnsi="Times New Roman"/>
          <w:sz w:val="28"/>
          <w:szCs w:val="28"/>
          <w:lang w:val="es-CR"/>
        </w:rPr>
        <w:sectPr w:rsidR="001A3E86" w:rsidSect="00652EF1">
          <w:footerReference w:type="default" r:id="rId14"/>
          <w:pgSz w:w="12240" w:h="15840"/>
          <w:pgMar w:top="1440" w:right="1440" w:bottom="1440" w:left="1701" w:header="709" w:footer="709" w:gutter="0"/>
          <w:pgNumType w:fmt="lowerRoman"/>
          <w:cols w:space="708"/>
          <w:docGrid w:linePitch="360"/>
        </w:sectPr>
      </w:pPr>
    </w:p>
    <w:p w14:paraId="5520177B" w14:textId="77777777" w:rsidR="001A3E86" w:rsidRDefault="001A3E86" w:rsidP="001A3E86">
      <w:pPr>
        <w:pStyle w:val="Heading1"/>
        <w:jc w:val="left"/>
        <w:rPr>
          <w:rFonts w:ascii="Times New Roman" w:hAnsi="Times New Roman"/>
          <w:sz w:val="24"/>
          <w:szCs w:val="24"/>
        </w:rPr>
      </w:pPr>
      <w:bookmarkStart w:id="2" w:name="_Toc474090203"/>
      <w:r w:rsidRPr="00530603">
        <w:rPr>
          <w:rFonts w:ascii="Times New Roman" w:hAnsi="Times New Roman"/>
          <w:sz w:val="24"/>
          <w:szCs w:val="24"/>
        </w:rPr>
        <w:lastRenderedPageBreak/>
        <w:t>Índice</w:t>
      </w:r>
      <w:bookmarkEnd w:id="2"/>
    </w:p>
    <w:p w14:paraId="4B31AD43" w14:textId="77777777" w:rsidR="001A3E86" w:rsidRDefault="001A3E86" w:rsidP="001A3E86">
      <w:pPr>
        <w:jc w:val="both"/>
        <w:rPr>
          <w:rFonts w:ascii="Times New Roman" w:hAnsi="Times New Roman" w:cs="Times New Roman"/>
          <w:sz w:val="24"/>
          <w:szCs w:val="24"/>
          <w:lang w:val="es-ES"/>
        </w:rPr>
      </w:pPr>
      <w:r>
        <w:rPr>
          <w:rFonts w:ascii="Times New Roman" w:hAnsi="Times New Roman" w:cs="Times New Roman"/>
          <w:sz w:val="24"/>
          <w:szCs w:val="24"/>
          <w:lang w:val="es-ES"/>
        </w:rPr>
        <w:t>Capítulo I. Introducción</w:t>
      </w:r>
      <w:r w:rsidR="009E25AC">
        <w:rPr>
          <w:rFonts w:ascii="Times New Roman" w:hAnsi="Times New Roman" w:cs="Times New Roman"/>
          <w:sz w:val="24"/>
          <w:szCs w:val="24"/>
          <w:lang w:val="es-ES"/>
        </w:rPr>
        <w:t>………………………………………………………………………</w:t>
      </w:r>
    </w:p>
    <w:p w14:paraId="4BD0CC8A" w14:textId="77777777" w:rsidR="001A3E86" w:rsidRDefault="001A3E86" w:rsidP="001A3E86">
      <w:pPr>
        <w:pStyle w:val="ListParagraph"/>
        <w:numPr>
          <w:ilvl w:val="0"/>
          <w:numId w:val="13"/>
        </w:numPr>
        <w:jc w:val="both"/>
        <w:rPr>
          <w:rFonts w:ascii="Times New Roman" w:hAnsi="Times New Roman" w:cs="Times New Roman"/>
          <w:sz w:val="24"/>
          <w:szCs w:val="24"/>
          <w:lang w:val="es-ES"/>
        </w:rPr>
      </w:pPr>
      <w:r>
        <w:rPr>
          <w:rFonts w:ascii="Times New Roman" w:hAnsi="Times New Roman" w:cs="Times New Roman"/>
          <w:sz w:val="24"/>
          <w:szCs w:val="24"/>
          <w:lang w:val="es-ES"/>
        </w:rPr>
        <w:t>Planteamiento del</w:t>
      </w:r>
      <w:r w:rsidR="009E25AC">
        <w:rPr>
          <w:rFonts w:ascii="Times New Roman" w:hAnsi="Times New Roman" w:cs="Times New Roman"/>
          <w:sz w:val="24"/>
          <w:szCs w:val="24"/>
          <w:lang w:val="es-ES"/>
        </w:rPr>
        <w:t xml:space="preserve"> problema………………………………………………………</w:t>
      </w:r>
    </w:p>
    <w:p w14:paraId="2443A4DF" w14:textId="77777777" w:rsidR="001A3E86" w:rsidRDefault="001A3E86" w:rsidP="001A3E86">
      <w:pPr>
        <w:pStyle w:val="ListParagraph"/>
        <w:numPr>
          <w:ilvl w:val="0"/>
          <w:numId w:val="13"/>
        </w:numPr>
        <w:jc w:val="both"/>
        <w:rPr>
          <w:rFonts w:ascii="Times New Roman" w:hAnsi="Times New Roman" w:cs="Times New Roman"/>
          <w:sz w:val="24"/>
          <w:szCs w:val="24"/>
          <w:lang w:val="es-ES"/>
        </w:rPr>
      </w:pPr>
      <w:r>
        <w:rPr>
          <w:rFonts w:ascii="Times New Roman" w:hAnsi="Times New Roman" w:cs="Times New Roman"/>
          <w:sz w:val="24"/>
          <w:szCs w:val="24"/>
          <w:lang w:val="es-ES"/>
        </w:rPr>
        <w:t>Justificación del p</w:t>
      </w:r>
      <w:r w:rsidR="009E25AC">
        <w:rPr>
          <w:rFonts w:ascii="Times New Roman" w:hAnsi="Times New Roman" w:cs="Times New Roman"/>
          <w:sz w:val="24"/>
          <w:szCs w:val="24"/>
          <w:lang w:val="es-ES"/>
        </w:rPr>
        <w:t>roblema………………………………………………………</w:t>
      </w:r>
    </w:p>
    <w:p w14:paraId="5218D794" w14:textId="77777777" w:rsidR="001A3E86" w:rsidRPr="003216B1" w:rsidRDefault="001A3E86" w:rsidP="001A3E86">
      <w:pPr>
        <w:pStyle w:val="ListParagraph"/>
        <w:numPr>
          <w:ilvl w:val="0"/>
          <w:numId w:val="13"/>
        </w:numPr>
        <w:jc w:val="both"/>
        <w:rPr>
          <w:rFonts w:ascii="Times New Roman" w:hAnsi="Times New Roman" w:cs="Times New Roman"/>
          <w:sz w:val="24"/>
          <w:szCs w:val="24"/>
          <w:lang w:val="es-ES"/>
        </w:rPr>
      </w:pPr>
      <w:r>
        <w:rPr>
          <w:rFonts w:ascii="Times New Roman" w:hAnsi="Times New Roman" w:cs="Times New Roman"/>
          <w:sz w:val="24"/>
          <w:szCs w:val="24"/>
          <w:lang w:val="es-ES"/>
        </w:rPr>
        <w:t>Antecenden</w:t>
      </w:r>
      <w:r w:rsidR="009E25AC">
        <w:rPr>
          <w:rFonts w:ascii="Times New Roman" w:hAnsi="Times New Roman" w:cs="Times New Roman"/>
          <w:sz w:val="24"/>
          <w:szCs w:val="24"/>
          <w:lang w:val="es-ES"/>
        </w:rPr>
        <w:t>tes……………………………………………………………………</w:t>
      </w:r>
    </w:p>
    <w:p w14:paraId="1E131711" w14:textId="77777777" w:rsidR="001A3E86" w:rsidRDefault="001A3E86" w:rsidP="001A3E86">
      <w:pPr>
        <w:pStyle w:val="ListParagraph"/>
        <w:numPr>
          <w:ilvl w:val="0"/>
          <w:numId w:val="14"/>
        </w:numPr>
        <w:rPr>
          <w:rFonts w:ascii="Times New Roman" w:hAnsi="Times New Roman" w:cs="Times New Roman"/>
          <w:sz w:val="24"/>
          <w:szCs w:val="24"/>
          <w:lang w:val="es-ES"/>
        </w:rPr>
      </w:pPr>
      <w:r>
        <w:rPr>
          <w:rFonts w:ascii="Times New Roman" w:hAnsi="Times New Roman" w:cs="Times New Roman"/>
          <w:sz w:val="24"/>
          <w:szCs w:val="24"/>
          <w:lang w:val="es-ES"/>
        </w:rPr>
        <w:t>Dir</w:t>
      </w:r>
      <w:r w:rsidR="009E25AC">
        <w:rPr>
          <w:rFonts w:ascii="Times New Roman" w:hAnsi="Times New Roman" w:cs="Times New Roman"/>
          <w:sz w:val="24"/>
          <w:szCs w:val="24"/>
          <w:lang w:val="es-ES"/>
        </w:rPr>
        <w:t>ectos………………………………………………………………</w:t>
      </w:r>
    </w:p>
    <w:p w14:paraId="5D68B9E5" w14:textId="77777777" w:rsidR="001A3E86" w:rsidRPr="003216B1" w:rsidRDefault="001A3E86" w:rsidP="001A3E86">
      <w:pPr>
        <w:pStyle w:val="ListParagraph"/>
        <w:numPr>
          <w:ilvl w:val="0"/>
          <w:numId w:val="14"/>
        </w:numPr>
        <w:rPr>
          <w:rFonts w:ascii="Times New Roman" w:hAnsi="Times New Roman" w:cs="Times New Roman"/>
          <w:sz w:val="24"/>
          <w:szCs w:val="24"/>
          <w:lang w:val="es-ES"/>
        </w:rPr>
      </w:pPr>
      <w:r>
        <w:rPr>
          <w:rFonts w:ascii="Times New Roman" w:hAnsi="Times New Roman" w:cs="Times New Roman"/>
          <w:sz w:val="24"/>
          <w:szCs w:val="24"/>
          <w:lang w:val="es-ES"/>
        </w:rPr>
        <w:t>Indir</w:t>
      </w:r>
      <w:r w:rsidR="009E25AC">
        <w:rPr>
          <w:rFonts w:ascii="Times New Roman" w:hAnsi="Times New Roman" w:cs="Times New Roman"/>
          <w:sz w:val="24"/>
          <w:szCs w:val="24"/>
          <w:lang w:val="es-ES"/>
        </w:rPr>
        <w:t>ectos……………………………………………………………</w:t>
      </w:r>
    </w:p>
    <w:p w14:paraId="15B0746A" w14:textId="77777777" w:rsidR="001A3E86" w:rsidRDefault="001A3E86" w:rsidP="001A3E86">
      <w:pPr>
        <w:tabs>
          <w:tab w:val="right" w:leader="dot" w:pos="9350"/>
        </w:tabs>
        <w:spacing w:after="100"/>
        <w:rPr>
          <w:rFonts w:ascii="Times New Roman" w:hAnsi="Times New Roman" w:cs="Times New Roman"/>
          <w:sz w:val="24"/>
          <w:szCs w:val="24"/>
        </w:rPr>
      </w:pPr>
      <w:r>
        <w:rPr>
          <w:rFonts w:ascii="Times New Roman" w:hAnsi="Times New Roman" w:cs="Times New Roman"/>
          <w:sz w:val="24"/>
          <w:szCs w:val="24"/>
        </w:rPr>
        <w:t>b) Antecendentes internaci</w:t>
      </w:r>
      <w:r w:rsidR="009E25AC">
        <w:rPr>
          <w:rFonts w:ascii="Times New Roman" w:hAnsi="Times New Roman" w:cs="Times New Roman"/>
          <w:sz w:val="24"/>
          <w:szCs w:val="24"/>
        </w:rPr>
        <w:t>onales……………………………………………………………</w:t>
      </w:r>
    </w:p>
    <w:p w14:paraId="2D6EC167" w14:textId="77777777" w:rsidR="001A3E86" w:rsidRDefault="001A3E86" w:rsidP="001A3E86">
      <w:pPr>
        <w:tabs>
          <w:tab w:val="right" w:leader="dot" w:pos="9350"/>
        </w:tabs>
        <w:spacing w:after="100"/>
        <w:rPr>
          <w:rFonts w:ascii="Times New Roman" w:hAnsi="Times New Roman" w:cs="Times New Roman"/>
          <w:sz w:val="24"/>
          <w:szCs w:val="24"/>
        </w:rPr>
      </w:pPr>
      <w:r>
        <w:rPr>
          <w:rFonts w:ascii="Times New Roman" w:hAnsi="Times New Roman" w:cs="Times New Roman"/>
          <w:sz w:val="24"/>
          <w:szCs w:val="24"/>
        </w:rPr>
        <w:t xml:space="preserve">      iv. Objetivo</w:t>
      </w:r>
      <w:r w:rsidR="009E25AC">
        <w:rPr>
          <w:rFonts w:ascii="Times New Roman" w:hAnsi="Times New Roman" w:cs="Times New Roman"/>
          <w:sz w:val="24"/>
          <w:szCs w:val="24"/>
        </w:rPr>
        <w:t>s………………………………………………………………………………</w:t>
      </w:r>
    </w:p>
    <w:p w14:paraId="0CFE5D6B" w14:textId="77777777" w:rsidR="001A3E86" w:rsidRDefault="001A3E86" w:rsidP="001A3E86">
      <w:pPr>
        <w:tabs>
          <w:tab w:val="right" w:leader="dot" w:pos="9350"/>
        </w:tabs>
        <w:spacing w:after="100"/>
        <w:rPr>
          <w:rFonts w:ascii="Times New Roman" w:hAnsi="Times New Roman" w:cs="Times New Roman"/>
          <w:sz w:val="24"/>
          <w:szCs w:val="24"/>
        </w:rPr>
      </w:pPr>
      <w:r>
        <w:rPr>
          <w:rFonts w:ascii="Times New Roman" w:hAnsi="Times New Roman" w:cs="Times New Roman"/>
          <w:sz w:val="24"/>
          <w:szCs w:val="24"/>
        </w:rPr>
        <w:t xml:space="preserve">           Objetivo Gen</w:t>
      </w:r>
      <w:r w:rsidR="009E25AC">
        <w:rPr>
          <w:rFonts w:ascii="Times New Roman" w:hAnsi="Times New Roman" w:cs="Times New Roman"/>
          <w:sz w:val="24"/>
          <w:szCs w:val="24"/>
        </w:rPr>
        <w:t>eral………………………………………………………………………</w:t>
      </w:r>
    </w:p>
    <w:p w14:paraId="155292E9" w14:textId="77777777" w:rsidR="001A3E86" w:rsidRDefault="001A3E86" w:rsidP="001A3E86">
      <w:pPr>
        <w:tabs>
          <w:tab w:val="right" w:leader="dot" w:pos="9350"/>
        </w:tabs>
        <w:spacing w:after="100"/>
        <w:rPr>
          <w:rFonts w:ascii="Times New Roman" w:hAnsi="Times New Roman" w:cs="Times New Roman"/>
          <w:sz w:val="24"/>
          <w:szCs w:val="24"/>
        </w:rPr>
      </w:pPr>
      <w:r>
        <w:rPr>
          <w:rFonts w:ascii="Times New Roman" w:hAnsi="Times New Roman" w:cs="Times New Roman"/>
          <w:sz w:val="24"/>
          <w:szCs w:val="24"/>
        </w:rPr>
        <w:t xml:space="preserve">           Objetivos Especí</w:t>
      </w:r>
      <w:r w:rsidR="009E25AC">
        <w:rPr>
          <w:rFonts w:ascii="Times New Roman" w:hAnsi="Times New Roman" w:cs="Times New Roman"/>
          <w:sz w:val="24"/>
          <w:szCs w:val="24"/>
        </w:rPr>
        <w:t>ficos…………………………………………………………………</w:t>
      </w:r>
    </w:p>
    <w:p w14:paraId="1BDAC199" w14:textId="77777777" w:rsidR="001A3E86" w:rsidRPr="00CF4DE7" w:rsidRDefault="001A3E86" w:rsidP="001A3E86">
      <w:pPr>
        <w:pStyle w:val="ListParagraph"/>
        <w:numPr>
          <w:ilvl w:val="0"/>
          <w:numId w:val="15"/>
        </w:numPr>
        <w:tabs>
          <w:tab w:val="right" w:leader="dot" w:pos="9350"/>
        </w:tabs>
        <w:spacing w:after="100"/>
        <w:rPr>
          <w:rFonts w:ascii="Times New Roman" w:eastAsiaTheme="minorEastAsia" w:hAnsi="Times New Roman" w:cs="Times New Roman"/>
          <w:noProof/>
          <w:sz w:val="24"/>
          <w:szCs w:val="24"/>
        </w:rPr>
      </w:pPr>
      <w:r w:rsidRPr="00CF4DE7">
        <w:rPr>
          <w:rFonts w:ascii="Times New Roman" w:hAnsi="Times New Roman" w:cs="Times New Roman"/>
          <w:sz w:val="24"/>
          <w:szCs w:val="24"/>
        </w:rPr>
        <w:t>Hipóte</w:t>
      </w:r>
      <w:r w:rsidR="009E25AC">
        <w:rPr>
          <w:rFonts w:ascii="Times New Roman" w:hAnsi="Times New Roman" w:cs="Times New Roman"/>
          <w:sz w:val="24"/>
          <w:szCs w:val="24"/>
        </w:rPr>
        <w:t>sis…………………………………………………………………………</w:t>
      </w:r>
    </w:p>
    <w:p w14:paraId="3241D2F7" w14:textId="77777777" w:rsidR="001A3E86" w:rsidRDefault="001A3E86" w:rsidP="001A3E86">
      <w:pPr>
        <w:tabs>
          <w:tab w:val="right" w:leader="dot" w:pos="9350"/>
        </w:tabs>
        <w:spacing w:after="100"/>
        <w:rPr>
          <w:rFonts w:ascii="Times New Roman" w:hAnsi="Times New Roman" w:cs="Times New Roman"/>
          <w:sz w:val="24"/>
          <w:szCs w:val="24"/>
        </w:rPr>
      </w:pPr>
      <w:r>
        <w:rPr>
          <w:rFonts w:ascii="Times New Roman" w:hAnsi="Times New Roman" w:cs="Times New Roman"/>
          <w:sz w:val="24"/>
          <w:szCs w:val="24"/>
        </w:rPr>
        <w:t>Capítulo II. Marco Te</w:t>
      </w:r>
      <w:r w:rsidR="009E25AC">
        <w:rPr>
          <w:rFonts w:ascii="Times New Roman" w:hAnsi="Times New Roman" w:cs="Times New Roman"/>
          <w:sz w:val="24"/>
          <w:szCs w:val="24"/>
        </w:rPr>
        <w:t>órico…………………………………………………………………</w:t>
      </w:r>
    </w:p>
    <w:p w14:paraId="2247130B" w14:textId="77777777" w:rsidR="001A3E86" w:rsidRPr="00CF4DE7" w:rsidRDefault="001A3E86" w:rsidP="001A3E86">
      <w:pPr>
        <w:pStyle w:val="ListParagraph"/>
        <w:numPr>
          <w:ilvl w:val="0"/>
          <w:numId w:val="16"/>
        </w:numPr>
        <w:tabs>
          <w:tab w:val="right" w:leader="dot" w:pos="9350"/>
        </w:tabs>
        <w:spacing w:after="100"/>
        <w:rPr>
          <w:rFonts w:ascii="Times New Roman" w:eastAsiaTheme="minorEastAsia" w:hAnsi="Times New Roman" w:cs="Times New Roman"/>
          <w:noProof/>
          <w:sz w:val="24"/>
          <w:szCs w:val="24"/>
        </w:rPr>
      </w:pPr>
      <w:r>
        <w:rPr>
          <w:rFonts w:ascii="Times New Roman" w:hAnsi="Times New Roman" w:cs="Times New Roman"/>
          <w:sz w:val="24"/>
          <w:szCs w:val="24"/>
        </w:rPr>
        <w:t>Quirce-Ba</w:t>
      </w:r>
      <w:r w:rsidR="009E25AC">
        <w:rPr>
          <w:rFonts w:ascii="Times New Roman" w:hAnsi="Times New Roman" w:cs="Times New Roman"/>
          <w:sz w:val="24"/>
          <w:szCs w:val="24"/>
        </w:rPr>
        <w:t>lma……………………………………………………………………</w:t>
      </w:r>
    </w:p>
    <w:p w14:paraId="1BB24126" w14:textId="77777777" w:rsidR="001A3E86" w:rsidRPr="00CF4DE7" w:rsidRDefault="001A3E86" w:rsidP="001A3E86">
      <w:pPr>
        <w:pStyle w:val="ListParagraph"/>
        <w:numPr>
          <w:ilvl w:val="0"/>
          <w:numId w:val="16"/>
        </w:numPr>
        <w:tabs>
          <w:tab w:val="right" w:leader="dot" w:pos="9350"/>
        </w:tabs>
        <w:spacing w:after="100"/>
        <w:rPr>
          <w:rFonts w:ascii="Times New Roman" w:eastAsiaTheme="minorEastAsia" w:hAnsi="Times New Roman" w:cs="Times New Roman"/>
          <w:noProof/>
          <w:sz w:val="24"/>
          <w:szCs w:val="24"/>
        </w:rPr>
      </w:pPr>
      <w:r>
        <w:rPr>
          <w:rFonts w:ascii="Times New Roman" w:hAnsi="Times New Roman" w:cs="Times New Roman"/>
          <w:sz w:val="24"/>
          <w:szCs w:val="24"/>
        </w:rPr>
        <w:t>Estados Alterados d</w:t>
      </w:r>
      <w:r w:rsidR="009E25AC">
        <w:rPr>
          <w:rFonts w:ascii="Times New Roman" w:hAnsi="Times New Roman" w:cs="Times New Roman"/>
          <w:sz w:val="24"/>
          <w:szCs w:val="24"/>
        </w:rPr>
        <w:t>e Conciencia…………………………………………………</w:t>
      </w:r>
    </w:p>
    <w:p w14:paraId="207A1278" w14:textId="77777777" w:rsidR="001A3E86" w:rsidRPr="00CF4DE7" w:rsidRDefault="001A3E86" w:rsidP="001A3E86">
      <w:pPr>
        <w:pStyle w:val="ListParagraph"/>
        <w:numPr>
          <w:ilvl w:val="0"/>
          <w:numId w:val="17"/>
        </w:numPr>
        <w:tabs>
          <w:tab w:val="right" w:leader="dot" w:pos="9350"/>
        </w:tabs>
        <w:spacing w:after="100"/>
        <w:rPr>
          <w:rFonts w:ascii="Times New Roman" w:eastAsiaTheme="minorEastAsia" w:hAnsi="Times New Roman" w:cs="Times New Roman"/>
          <w:noProof/>
          <w:sz w:val="24"/>
          <w:szCs w:val="24"/>
        </w:rPr>
      </w:pPr>
      <w:r>
        <w:rPr>
          <w:rFonts w:ascii="Times New Roman" w:hAnsi="Times New Roman" w:cs="Times New Roman"/>
          <w:sz w:val="24"/>
          <w:szCs w:val="24"/>
        </w:rPr>
        <w:t>Definic</w:t>
      </w:r>
      <w:r w:rsidR="009E25AC">
        <w:rPr>
          <w:rFonts w:ascii="Times New Roman" w:hAnsi="Times New Roman" w:cs="Times New Roman"/>
          <w:sz w:val="24"/>
          <w:szCs w:val="24"/>
        </w:rPr>
        <w:t>ión……………………………………………………………………..</w:t>
      </w:r>
    </w:p>
    <w:p w14:paraId="062339E6" w14:textId="77777777" w:rsidR="001A3E86" w:rsidRPr="004F609D" w:rsidRDefault="001A3E86" w:rsidP="001A3E86">
      <w:pPr>
        <w:pStyle w:val="ListParagraph"/>
        <w:numPr>
          <w:ilvl w:val="0"/>
          <w:numId w:val="17"/>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Clasificación de los Estados Alt</w:t>
      </w:r>
      <w:r w:rsidR="009E25AC">
        <w:rPr>
          <w:rFonts w:ascii="Times New Roman" w:hAnsi="Times New Roman" w:cs="Times New Roman"/>
          <w:sz w:val="24"/>
          <w:szCs w:val="24"/>
          <w:lang w:val="es-CR"/>
        </w:rPr>
        <w:t>erados de Conciencia………………………</w:t>
      </w:r>
    </w:p>
    <w:p w14:paraId="1070D7CB" w14:textId="77777777" w:rsidR="001A3E86" w:rsidRPr="004F609D" w:rsidRDefault="001A3E86" w:rsidP="001A3E86">
      <w:pPr>
        <w:pStyle w:val="ListParagraph"/>
        <w:numPr>
          <w:ilvl w:val="0"/>
          <w:numId w:val="17"/>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Estados Alterados de Conciencia c</w:t>
      </w:r>
      <w:r w:rsidR="009E25AC">
        <w:rPr>
          <w:rFonts w:ascii="Times New Roman" w:hAnsi="Times New Roman" w:cs="Times New Roman"/>
          <w:sz w:val="24"/>
          <w:szCs w:val="24"/>
          <w:lang w:val="es-CR"/>
        </w:rPr>
        <w:t>on valor espiritual………………………</w:t>
      </w:r>
    </w:p>
    <w:p w14:paraId="541332CE" w14:textId="77777777" w:rsidR="001A3E86" w:rsidRPr="00C224CC" w:rsidRDefault="001A3E86" w:rsidP="001A3E86">
      <w:pPr>
        <w:pStyle w:val="ListParagraph"/>
        <w:numPr>
          <w:ilvl w:val="0"/>
          <w:numId w:val="16"/>
        </w:numPr>
        <w:tabs>
          <w:tab w:val="right" w:leader="dot" w:pos="9350"/>
        </w:tabs>
        <w:spacing w:after="100"/>
        <w:rPr>
          <w:rFonts w:ascii="Times New Roman" w:eastAsiaTheme="minorEastAsia" w:hAnsi="Times New Roman" w:cs="Times New Roman"/>
          <w:noProof/>
          <w:sz w:val="24"/>
          <w:szCs w:val="24"/>
        </w:rPr>
      </w:pPr>
      <w:r>
        <w:rPr>
          <w:rFonts w:ascii="Times New Roman" w:hAnsi="Times New Roman" w:cs="Times New Roman"/>
          <w:sz w:val="24"/>
          <w:szCs w:val="24"/>
        </w:rPr>
        <w:t>Etnopsicofarm</w:t>
      </w:r>
      <w:r w:rsidR="009E25AC">
        <w:rPr>
          <w:rFonts w:ascii="Times New Roman" w:hAnsi="Times New Roman" w:cs="Times New Roman"/>
          <w:sz w:val="24"/>
          <w:szCs w:val="24"/>
        </w:rPr>
        <w:t>acología……………………………………………………………</w:t>
      </w:r>
    </w:p>
    <w:p w14:paraId="7F90DB2E" w14:textId="77777777" w:rsidR="009E25AC" w:rsidRPr="009E25AC" w:rsidRDefault="001A3E86" w:rsidP="00652EF1">
      <w:pPr>
        <w:pStyle w:val="ListParagraph"/>
        <w:numPr>
          <w:ilvl w:val="0"/>
          <w:numId w:val="16"/>
        </w:numPr>
        <w:tabs>
          <w:tab w:val="right" w:leader="dot" w:pos="9350"/>
        </w:tabs>
        <w:spacing w:after="100"/>
        <w:rPr>
          <w:rFonts w:ascii="Times New Roman" w:eastAsiaTheme="minorEastAsia" w:hAnsi="Times New Roman" w:cs="Times New Roman"/>
          <w:noProof/>
          <w:sz w:val="24"/>
          <w:szCs w:val="24"/>
        </w:rPr>
      </w:pPr>
      <w:r w:rsidRPr="009E25AC">
        <w:rPr>
          <w:rFonts w:ascii="Times New Roman" w:hAnsi="Times New Roman" w:cs="Times New Roman"/>
          <w:sz w:val="24"/>
          <w:szCs w:val="24"/>
        </w:rPr>
        <w:t>Drogas Enteog</w:t>
      </w:r>
      <w:r w:rsidR="009E25AC">
        <w:rPr>
          <w:rFonts w:ascii="Times New Roman" w:hAnsi="Times New Roman" w:cs="Times New Roman"/>
          <w:sz w:val="24"/>
          <w:szCs w:val="24"/>
        </w:rPr>
        <w:t>énicas……………………………………………………………</w:t>
      </w:r>
    </w:p>
    <w:p w14:paraId="73356573" w14:textId="77777777" w:rsidR="001A3E86" w:rsidRPr="009E25AC" w:rsidRDefault="001A3E86" w:rsidP="00652EF1">
      <w:pPr>
        <w:pStyle w:val="ListParagraph"/>
        <w:numPr>
          <w:ilvl w:val="0"/>
          <w:numId w:val="16"/>
        </w:numPr>
        <w:tabs>
          <w:tab w:val="right" w:leader="dot" w:pos="9350"/>
        </w:tabs>
        <w:spacing w:after="100"/>
        <w:rPr>
          <w:rFonts w:ascii="Times New Roman" w:eastAsiaTheme="minorEastAsia" w:hAnsi="Times New Roman" w:cs="Times New Roman"/>
          <w:noProof/>
          <w:sz w:val="24"/>
          <w:szCs w:val="24"/>
        </w:rPr>
      </w:pPr>
      <w:r w:rsidRPr="009E25AC">
        <w:rPr>
          <w:rFonts w:ascii="Times New Roman" w:hAnsi="Times New Roman" w:cs="Times New Roman"/>
          <w:sz w:val="24"/>
          <w:szCs w:val="24"/>
        </w:rPr>
        <w:t>Ontopraxi</w:t>
      </w:r>
      <w:r w:rsidR="009E25AC" w:rsidRPr="009E25AC">
        <w:rPr>
          <w:rFonts w:ascii="Times New Roman" w:hAnsi="Times New Roman" w:cs="Times New Roman"/>
          <w:sz w:val="24"/>
          <w:szCs w:val="24"/>
        </w:rPr>
        <w:t>s………………………………………………………………………</w:t>
      </w:r>
    </w:p>
    <w:p w14:paraId="6281E2CA" w14:textId="77777777" w:rsidR="001A3E86" w:rsidRPr="00C224CC" w:rsidRDefault="001A3E86" w:rsidP="001A3E86">
      <w:pPr>
        <w:pStyle w:val="ListParagraph"/>
        <w:numPr>
          <w:ilvl w:val="0"/>
          <w:numId w:val="16"/>
        </w:numPr>
        <w:tabs>
          <w:tab w:val="right" w:leader="dot" w:pos="9350"/>
        </w:tabs>
        <w:spacing w:after="100"/>
        <w:rPr>
          <w:rFonts w:ascii="Times New Roman" w:eastAsiaTheme="minorEastAsia" w:hAnsi="Times New Roman" w:cs="Times New Roman"/>
          <w:noProof/>
          <w:sz w:val="24"/>
          <w:szCs w:val="24"/>
        </w:rPr>
      </w:pPr>
      <w:r>
        <w:rPr>
          <w:rFonts w:ascii="Times New Roman" w:hAnsi="Times New Roman" w:cs="Times New Roman"/>
          <w:sz w:val="24"/>
          <w:szCs w:val="24"/>
        </w:rPr>
        <w:t>El Milieu teol</w:t>
      </w:r>
      <w:r w:rsidR="009E25AC">
        <w:rPr>
          <w:rFonts w:ascii="Times New Roman" w:hAnsi="Times New Roman" w:cs="Times New Roman"/>
          <w:sz w:val="24"/>
          <w:szCs w:val="24"/>
        </w:rPr>
        <w:t>ógico………………………………………………………………</w:t>
      </w:r>
    </w:p>
    <w:p w14:paraId="2BE63C85" w14:textId="77777777" w:rsidR="001A3E86" w:rsidRPr="00C224CC" w:rsidRDefault="001A3E86" w:rsidP="001A3E86">
      <w:pPr>
        <w:pStyle w:val="ListParagraph"/>
        <w:numPr>
          <w:ilvl w:val="0"/>
          <w:numId w:val="16"/>
        </w:numPr>
        <w:tabs>
          <w:tab w:val="right" w:leader="dot" w:pos="9350"/>
        </w:tabs>
        <w:spacing w:after="100"/>
        <w:rPr>
          <w:rFonts w:ascii="Times New Roman" w:eastAsiaTheme="minorEastAsia" w:hAnsi="Times New Roman" w:cs="Times New Roman"/>
          <w:noProof/>
          <w:sz w:val="24"/>
          <w:szCs w:val="24"/>
        </w:rPr>
      </w:pPr>
      <w:r>
        <w:rPr>
          <w:rFonts w:ascii="Times New Roman" w:hAnsi="Times New Roman" w:cs="Times New Roman"/>
          <w:sz w:val="24"/>
          <w:szCs w:val="24"/>
        </w:rPr>
        <w:t>Teología intercu</w:t>
      </w:r>
      <w:r w:rsidR="009E25AC">
        <w:rPr>
          <w:rFonts w:ascii="Times New Roman" w:hAnsi="Times New Roman" w:cs="Times New Roman"/>
          <w:sz w:val="24"/>
          <w:szCs w:val="24"/>
        </w:rPr>
        <w:t>ltural……………………………………………………………</w:t>
      </w:r>
    </w:p>
    <w:p w14:paraId="3AAC8BB0" w14:textId="77777777" w:rsidR="001A3E86" w:rsidRPr="004F609D" w:rsidRDefault="001A3E86" w:rsidP="001A3E86">
      <w:pPr>
        <w:pStyle w:val="ListParagraph"/>
        <w:numPr>
          <w:ilvl w:val="0"/>
          <w:numId w:val="16"/>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 xml:space="preserve">Teología tradicional y teología </w:t>
      </w:r>
      <w:r w:rsidR="009E25AC">
        <w:rPr>
          <w:rFonts w:ascii="Times New Roman" w:hAnsi="Times New Roman" w:cs="Times New Roman"/>
          <w:sz w:val="24"/>
          <w:szCs w:val="24"/>
          <w:lang w:val="es-CR"/>
        </w:rPr>
        <w:t>de la liberación…………………………………</w:t>
      </w:r>
    </w:p>
    <w:p w14:paraId="0877C2D2" w14:textId="77777777" w:rsidR="001A3E86" w:rsidRDefault="001A3E86" w:rsidP="001A3E86">
      <w:pPr>
        <w:tabs>
          <w:tab w:val="right" w:leader="dot" w:pos="9350"/>
        </w:tabs>
        <w:spacing w:after="100"/>
        <w:rPr>
          <w:rFonts w:ascii="Times New Roman" w:hAnsi="Times New Roman" w:cs="Times New Roman"/>
          <w:sz w:val="24"/>
          <w:szCs w:val="24"/>
        </w:rPr>
      </w:pPr>
      <w:r>
        <w:rPr>
          <w:rFonts w:ascii="Times New Roman" w:hAnsi="Times New Roman" w:cs="Times New Roman"/>
          <w:sz w:val="24"/>
          <w:szCs w:val="24"/>
        </w:rPr>
        <w:t>Capítulo III: Metodolo</w:t>
      </w:r>
      <w:r w:rsidR="00FD060D">
        <w:rPr>
          <w:rFonts w:ascii="Times New Roman" w:hAnsi="Times New Roman" w:cs="Times New Roman"/>
          <w:sz w:val="24"/>
          <w:szCs w:val="24"/>
        </w:rPr>
        <w:t>gía……………………………………………………………………</w:t>
      </w:r>
    </w:p>
    <w:p w14:paraId="7579AAA2" w14:textId="77777777" w:rsidR="001A3E86" w:rsidRPr="002F1D2E" w:rsidRDefault="001A3E86" w:rsidP="001A3E86">
      <w:pPr>
        <w:pStyle w:val="ListParagraph"/>
        <w:numPr>
          <w:ilvl w:val="0"/>
          <w:numId w:val="18"/>
        </w:numPr>
        <w:tabs>
          <w:tab w:val="right" w:leader="dot" w:pos="9350"/>
        </w:tabs>
        <w:spacing w:after="100"/>
        <w:rPr>
          <w:rFonts w:ascii="Times New Roman" w:eastAsiaTheme="minorEastAsia" w:hAnsi="Times New Roman" w:cs="Times New Roman"/>
          <w:noProof/>
          <w:sz w:val="24"/>
          <w:szCs w:val="24"/>
        </w:rPr>
      </w:pPr>
      <w:r>
        <w:rPr>
          <w:rFonts w:ascii="Times New Roman" w:hAnsi="Times New Roman" w:cs="Times New Roman"/>
          <w:sz w:val="24"/>
          <w:szCs w:val="24"/>
        </w:rPr>
        <w:t>Fuentes……</w:t>
      </w:r>
      <w:r w:rsidR="00FD060D">
        <w:rPr>
          <w:rFonts w:ascii="Times New Roman" w:hAnsi="Times New Roman" w:cs="Times New Roman"/>
          <w:sz w:val="24"/>
          <w:szCs w:val="24"/>
        </w:rPr>
        <w:t>…………………………………………………………………………</w:t>
      </w:r>
    </w:p>
    <w:p w14:paraId="5793F978" w14:textId="77777777" w:rsidR="001A3E86" w:rsidRPr="004F609D" w:rsidRDefault="001A3E86" w:rsidP="001A3E86">
      <w:pPr>
        <w:pStyle w:val="ListParagraph"/>
        <w:numPr>
          <w:ilvl w:val="0"/>
          <w:numId w:val="18"/>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Recopilación y sistematización de la información docu</w:t>
      </w:r>
      <w:r w:rsidR="00FD060D">
        <w:rPr>
          <w:rFonts w:ascii="Times New Roman" w:hAnsi="Times New Roman" w:cs="Times New Roman"/>
          <w:sz w:val="24"/>
          <w:szCs w:val="24"/>
          <w:lang w:val="es-CR"/>
        </w:rPr>
        <w:t>mental………………………</w:t>
      </w:r>
    </w:p>
    <w:p w14:paraId="62D64ABB" w14:textId="77777777" w:rsidR="001A3E86" w:rsidRPr="004F609D" w:rsidRDefault="001A3E86" w:rsidP="001A3E86">
      <w:pPr>
        <w:pStyle w:val="ListParagraph"/>
        <w:numPr>
          <w:ilvl w:val="0"/>
          <w:numId w:val="18"/>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Procedimientos de análisis de l</w:t>
      </w:r>
      <w:r w:rsidR="00FD060D">
        <w:rPr>
          <w:rFonts w:ascii="Times New Roman" w:hAnsi="Times New Roman" w:cs="Times New Roman"/>
          <w:sz w:val="24"/>
          <w:szCs w:val="24"/>
          <w:lang w:val="es-CR"/>
        </w:rPr>
        <w:t>a información………………………………………</w:t>
      </w:r>
    </w:p>
    <w:p w14:paraId="51FDD57A" w14:textId="77777777" w:rsidR="001A3E86" w:rsidRPr="004F609D" w:rsidRDefault="001A3E86" w:rsidP="001A3E86">
      <w:pPr>
        <w:tabs>
          <w:tab w:val="right" w:leader="dot" w:pos="9350"/>
        </w:tabs>
        <w:spacing w:after="100"/>
        <w:rPr>
          <w:rFonts w:ascii="Times New Roman" w:hAnsi="Times New Roman" w:cs="Times New Roman"/>
          <w:sz w:val="24"/>
          <w:szCs w:val="24"/>
          <w:lang w:val="es-CR"/>
        </w:rPr>
      </w:pPr>
      <w:r w:rsidRPr="004F609D">
        <w:rPr>
          <w:rFonts w:ascii="Times New Roman" w:hAnsi="Times New Roman" w:cs="Times New Roman"/>
          <w:sz w:val="24"/>
          <w:szCs w:val="24"/>
          <w:lang w:val="es-CR"/>
        </w:rPr>
        <w:t>Primer Capítulo</w:t>
      </w:r>
      <w:r w:rsidR="00FD060D">
        <w:rPr>
          <w:rFonts w:ascii="Times New Roman" w:hAnsi="Times New Roman" w:cs="Times New Roman"/>
          <w:sz w:val="24"/>
          <w:szCs w:val="24"/>
          <w:lang w:val="es-CR"/>
        </w:rPr>
        <w:t>………………………………………………………………………………</w:t>
      </w:r>
    </w:p>
    <w:p w14:paraId="11F39898" w14:textId="77777777" w:rsidR="001A3E86" w:rsidRPr="004F609D" w:rsidRDefault="001A3E86" w:rsidP="001A3E86">
      <w:pPr>
        <w:tabs>
          <w:tab w:val="right" w:leader="dot" w:pos="9350"/>
        </w:tabs>
        <w:spacing w:after="100"/>
        <w:rPr>
          <w:rFonts w:ascii="Times New Roman" w:hAnsi="Times New Roman" w:cs="Times New Roman"/>
          <w:sz w:val="24"/>
          <w:szCs w:val="24"/>
          <w:lang w:val="es-CR"/>
        </w:rPr>
      </w:pPr>
      <w:r w:rsidRPr="004F609D">
        <w:rPr>
          <w:rFonts w:ascii="Times New Roman" w:hAnsi="Times New Roman" w:cs="Times New Roman"/>
          <w:sz w:val="24"/>
          <w:szCs w:val="24"/>
          <w:lang w:val="es-CR"/>
        </w:rPr>
        <w:t>La etnopsicofarcología desde la refle</w:t>
      </w:r>
      <w:r w:rsidR="00FD060D">
        <w:rPr>
          <w:rFonts w:ascii="Times New Roman" w:hAnsi="Times New Roman" w:cs="Times New Roman"/>
          <w:sz w:val="24"/>
          <w:szCs w:val="24"/>
          <w:lang w:val="es-CR"/>
        </w:rPr>
        <w:t>xión teológica…………………………………………</w:t>
      </w:r>
    </w:p>
    <w:p w14:paraId="4931A894" w14:textId="77777777" w:rsidR="001A3E86" w:rsidRPr="004F609D" w:rsidRDefault="001A3E86" w:rsidP="001A3E86">
      <w:pPr>
        <w:pStyle w:val="ListParagraph"/>
        <w:numPr>
          <w:ilvl w:val="0"/>
          <w:numId w:val="19"/>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Un diálogo desde la teología intercultural……………………………………</w:t>
      </w:r>
      <w:r w:rsidR="00FD060D">
        <w:rPr>
          <w:rFonts w:ascii="Times New Roman" w:hAnsi="Times New Roman" w:cs="Times New Roman"/>
          <w:sz w:val="24"/>
          <w:szCs w:val="24"/>
          <w:lang w:val="es-CR"/>
        </w:rPr>
        <w:t>………</w:t>
      </w:r>
    </w:p>
    <w:p w14:paraId="111D19CC" w14:textId="77777777" w:rsidR="001A3E86" w:rsidRPr="004F609D" w:rsidRDefault="001A3E86" w:rsidP="001A3E86">
      <w:pPr>
        <w:pStyle w:val="ListParagraph"/>
        <w:numPr>
          <w:ilvl w:val="0"/>
          <w:numId w:val="19"/>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 xml:space="preserve">El uso farmacológico desde la teología tradicional y </w:t>
      </w:r>
      <w:r w:rsidR="00FD060D">
        <w:rPr>
          <w:rFonts w:ascii="Times New Roman" w:hAnsi="Times New Roman" w:cs="Times New Roman"/>
          <w:sz w:val="24"/>
          <w:szCs w:val="24"/>
          <w:lang w:val="es-CR"/>
        </w:rPr>
        <w:t>la teología de la liberación……</w:t>
      </w:r>
    </w:p>
    <w:p w14:paraId="24736D65" w14:textId="77777777" w:rsidR="001A3E86" w:rsidRPr="004F609D" w:rsidRDefault="001A3E86" w:rsidP="001A3E86">
      <w:pPr>
        <w:pStyle w:val="ListParagraph"/>
        <w:numPr>
          <w:ilvl w:val="0"/>
          <w:numId w:val="19"/>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 xml:space="preserve">La etnopisicofarmacología </w:t>
      </w:r>
      <w:r w:rsidR="00FD060D">
        <w:rPr>
          <w:rFonts w:ascii="Times New Roman" w:hAnsi="Times New Roman" w:cs="Times New Roman"/>
          <w:sz w:val="24"/>
          <w:szCs w:val="24"/>
          <w:lang w:val="es-CR"/>
        </w:rPr>
        <w:t>de Quirce-Balma…………………………………………</w:t>
      </w:r>
    </w:p>
    <w:p w14:paraId="7B387DB3" w14:textId="77777777" w:rsidR="001A3E86" w:rsidRPr="004F609D" w:rsidRDefault="001A3E86" w:rsidP="001A3E86">
      <w:pPr>
        <w:pStyle w:val="ListParagraph"/>
        <w:numPr>
          <w:ilvl w:val="0"/>
          <w:numId w:val="19"/>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Espiritualidad de las drogas enteogénica</w:t>
      </w:r>
      <w:r w:rsidR="00FD060D">
        <w:rPr>
          <w:rFonts w:ascii="Times New Roman" w:hAnsi="Times New Roman" w:cs="Times New Roman"/>
          <w:sz w:val="24"/>
          <w:szCs w:val="24"/>
          <w:lang w:val="es-CR"/>
        </w:rPr>
        <w:t>s del mundo precolombino…………………</w:t>
      </w:r>
    </w:p>
    <w:p w14:paraId="413B3D34" w14:textId="77777777" w:rsidR="001A3E86" w:rsidRPr="004F609D" w:rsidRDefault="001A3E86" w:rsidP="001A3E86">
      <w:pPr>
        <w:pStyle w:val="ListParagraph"/>
        <w:numPr>
          <w:ilvl w:val="0"/>
          <w:numId w:val="19"/>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La espiritualidad enteogénica desde la t</w:t>
      </w:r>
      <w:r w:rsidR="00FD060D">
        <w:rPr>
          <w:rFonts w:ascii="Times New Roman" w:hAnsi="Times New Roman" w:cs="Times New Roman"/>
          <w:sz w:val="24"/>
          <w:szCs w:val="24"/>
          <w:lang w:val="es-CR"/>
        </w:rPr>
        <w:t>eología intercultural………………………</w:t>
      </w:r>
    </w:p>
    <w:p w14:paraId="18A7D36D" w14:textId="77777777" w:rsidR="001A3E86" w:rsidRPr="004F609D" w:rsidRDefault="001A3E86" w:rsidP="001A3E86">
      <w:pPr>
        <w:tabs>
          <w:tab w:val="right" w:leader="dot" w:pos="9350"/>
        </w:tabs>
        <w:spacing w:after="100"/>
        <w:rPr>
          <w:rFonts w:ascii="Times New Roman" w:hAnsi="Times New Roman" w:cs="Times New Roman"/>
          <w:sz w:val="24"/>
          <w:szCs w:val="24"/>
          <w:lang w:val="es-CR"/>
        </w:rPr>
      </w:pPr>
      <w:r w:rsidRPr="004F609D">
        <w:rPr>
          <w:rFonts w:ascii="Times New Roman" w:hAnsi="Times New Roman" w:cs="Times New Roman"/>
          <w:sz w:val="24"/>
          <w:szCs w:val="24"/>
          <w:lang w:val="es-CR"/>
        </w:rPr>
        <w:t>Segundo Capítulo</w:t>
      </w:r>
      <w:r w:rsidR="00FD060D">
        <w:rPr>
          <w:rFonts w:ascii="Times New Roman" w:hAnsi="Times New Roman" w:cs="Times New Roman"/>
          <w:sz w:val="24"/>
          <w:szCs w:val="24"/>
          <w:lang w:val="es-CR"/>
        </w:rPr>
        <w:t>……………………………………………………………………………</w:t>
      </w:r>
    </w:p>
    <w:p w14:paraId="7966C6C6" w14:textId="77777777" w:rsidR="001A3E86" w:rsidRPr="004F609D" w:rsidRDefault="001A3E86" w:rsidP="001A3E86">
      <w:pPr>
        <w:tabs>
          <w:tab w:val="right" w:leader="dot" w:pos="9350"/>
        </w:tabs>
        <w:spacing w:after="100"/>
        <w:rPr>
          <w:rFonts w:ascii="Times New Roman" w:hAnsi="Times New Roman" w:cs="Times New Roman"/>
          <w:sz w:val="24"/>
          <w:szCs w:val="24"/>
          <w:lang w:val="es-CR"/>
        </w:rPr>
      </w:pPr>
      <w:r w:rsidRPr="004F609D">
        <w:rPr>
          <w:rFonts w:ascii="Times New Roman" w:hAnsi="Times New Roman" w:cs="Times New Roman"/>
          <w:sz w:val="24"/>
          <w:szCs w:val="24"/>
          <w:lang w:val="es-CR"/>
        </w:rPr>
        <w:t>La memoria cultural de la espiritualidad enteogé</w:t>
      </w:r>
      <w:r w:rsidR="00FD060D">
        <w:rPr>
          <w:rFonts w:ascii="Times New Roman" w:hAnsi="Times New Roman" w:cs="Times New Roman"/>
          <w:sz w:val="24"/>
          <w:szCs w:val="24"/>
          <w:lang w:val="es-CR"/>
        </w:rPr>
        <w:t>nica y la ontopraxis………………………</w:t>
      </w:r>
    </w:p>
    <w:p w14:paraId="76E49363" w14:textId="77777777" w:rsidR="001A3E86" w:rsidRPr="004F609D" w:rsidRDefault="001A3E86" w:rsidP="001A3E86">
      <w:pPr>
        <w:pStyle w:val="ListParagraph"/>
        <w:numPr>
          <w:ilvl w:val="0"/>
          <w:numId w:val="20"/>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lastRenderedPageBreak/>
        <w:t>La historia del cristianismo contra la historia de las espiritualidades enteogénicas precolombi</w:t>
      </w:r>
      <w:r w:rsidR="00FD060D">
        <w:rPr>
          <w:rFonts w:ascii="Times New Roman" w:hAnsi="Times New Roman" w:cs="Times New Roman"/>
          <w:sz w:val="24"/>
          <w:szCs w:val="24"/>
          <w:lang w:val="es-CR"/>
        </w:rPr>
        <w:t>nas………………………………………………………………………</w:t>
      </w:r>
    </w:p>
    <w:p w14:paraId="39F727BD" w14:textId="77777777" w:rsidR="001A3E86" w:rsidRPr="004F609D" w:rsidRDefault="001A3E86" w:rsidP="001A3E86">
      <w:pPr>
        <w:pStyle w:val="ListParagraph"/>
        <w:numPr>
          <w:ilvl w:val="0"/>
          <w:numId w:val="20"/>
        </w:num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La ontopraxis y las espiritualidades ent</w:t>
      </w:r>
      <w:r w:rsidR="00FD060D">
        <w:rPr>
          <w:rFonts w:ascii="Times New Roman" w:hAnsi="Times New Roman" w:cs="Times New Roman"/>
          <w:sz w:val="24"/>
          <w:szCs w:val="24"/>
          <w:lang w:val="es-CR"/>
        </w:rPr>
        <w:t>eogénicas precolombinas……………………</w:t>
      </w:r>
    </w:p>
    <w:p w14:paraId="59BC515B" w14:textId="77777777" w:rsidR="001A3E86" w:rsidRPr="004F609D" w:rsidRDefault="001A3E86" w:rsidP="001A3E86">
      <w:pPr>
        <w:tabs>
          <w:tab w:val="right" w:leader="dot" w:pos="9350"/>
        </w:tabs>
        <w:spacing w:after="100"/>
        <w:rPr>
          <w:rFonts w:ascii="Times New Roman" w:hAnsi="Times New Roman" w:cs="Times New Roman"/>
          <w:sz w:val="24"/>
          <w:szCs w:val="24"/>
          <w:lang w:val="es-CR"/>
        </w:rPr>
      </w:pPr>
      <w:r w:rsidRPr="004F609D">
        <w:rPr>
          <w:rFonts w:ascii="Times New Roman" w:hAnsi="Times New Roman" w:cs="Times New Roman"/>
          <w:sz w:val="24"/>
          <w:szCs w:val="24"/>
          <w:lang w:val="es-CR"/>
        </w:rPr>
        <w:t>Tercer Capítulo…</w:t>
      </w:r>
      <w:r w:rsidR="00FD060D">
        <w:rPr>
          <w:rFonts w:ascii="Times New Roman" w:hAnsi="Times New Roman" w:cs="Times New Roman"/>
          <w:sz w:val="24"/>
          <w:szCs w:val="24"/>
          <w:lang w:val="es-CR"/>
        </w:rPr>
        <w:t>……………………………………………………………………………</w:t>
      </w:r>
    </w:p>
    <w:p w14:paraId="2889E5C7" w14:textId="77777777" w:rsidR="001A3E86" w:rsidRPr="004F609D" w:rsidRDefault="001A3E86" w:rsidP="001A3E86">
      <w:pPr>
        <w:tabs>
          <w:tab w:val="right" w:leader="dot" w:pos="9350"/>
        </w:tabs>
        <w:spacing w:after="100"/>
        <w:rPr>
          <w:rFonts w:ascii="Times New Roman" w:hAnsi="Times New Roman" w:cs="Times New Roman"/>
          <w:sz w:val="24"/>
          <w:szCs w:val="24"/>
          <w:lang w:val="es-CR"/>
        </w:rPr>
      </w:pPr>
      <w:r w:rsidRPr="004F609D">
        <w:rPr>
          <w:rFonts w:ascii="Times New Roman" w:hAnsi="Times New Roman" w:cs="Times New Roman"/>
          <w:sz w:val="24"/>
          <w:szCs w:val="24"/>
          <w:lang w:val="es-CR"/>
        </w:rPr>
        <w:t>El Milieu teológico. Una dignificaci</w:t>
      </w:r>
      <w:r w:rsidR="00FD060D">
        <w:rPr>
          <w:rFonts w:ascii="Times New Roman" w:hAnsi="Times New Roman" w:cs="Times New Roman"/>
          <w:sz w:val="24"/>
          <w:szCs w:val="24"/>
          <w:lang w:val="es-CR"/>
        </w:rPr>
        <w:t>ón del mundo…………………………………………</w:t>
      </w:r>
    </w:p>
    <w:p w14:paraId="4D40D557" w14:textId="77777777" w:rsidR="001A3E86" w:rsidRPr="004F609D" w:rsidRDefault="001A3E86" w:rsidP="001A3E86">
      <w:pPr>
        <w:tabs>
          <w:tab w:val="right" w:leader="dot" w:pos="9350"/>
        </w:tabs>
        <w:spacing w:after="100"/>
        <w:rPr>
          <w:rFonts w:ascii="Times New Roman" w:hAnsi="Times New Roman" w:cs="Times New Roman"/>
          <w:sz w:val="24"/>
          <w:szCs w:val="24"/>
          <w:lang w:val="es-CR"/>
        </w:rPr>
      </w:pPr>
      <w:r w:rsidRPr="004F609D">
        <w:rPr>
          <w:rFonts w:ascii="Times New Roman" w:hAnsi="Times New Roman" w:cs="Times New Roman"/>
          <w:sz w:val="24"/>
          <w:szCs w:val="24"/>
          <w:lang w:val="es-CR"/>
        </w:rPr>
        <w:t>Capítulo IV. Conclusio</w:t>
      </w:r>
      <w:r w:rsidR="009E25AC">
        <w:rPr>
          <w:rFonts w:ascii="Times New Roman" w:hAnsi="Times New Roman" w:cs="Times New Roman"/>
          <w:sz w:val="24"/>
          <w:szCs w:val="24"/>
          <w:lang w:val="es-CR"/>
        </w:rPr>
        <w:t>nes……………………………………………………………………</w:t>
      </w:r>
    </w:p>
    <w:p w14:paraId="4B454079" w14:textId="77777777" w:rsidR="001A3E86" w:rsidRPr="004F609D" w:rsidRDefault="001A3E86" w:rsidP="001A3E86">
      <w:pPr>
        <w:tabs>
          <w:tab w:val="right" w:leader="dot" w:pos="9350"/>
        </w:tabs>
        <w:spacing w:after="100"/>
        <w:rPr>
          <w:rFonts w:ascii="Times New Roman" w:hAnsi="Times New Roman" w:cs="Times New Roman"/>
          <w:sz w:val="24"/>
          <w:szCs w:val="24"/>
          <w:lang w:val="es-CR"/>
        </w:rPr>
      </w:pPr>
      <w:r w:rsidRPr="004F609D">
        <w:rPr>
          <w:rFonts w:ascii="Times New Roman" w:hAnsi="Times New Roman" w:cs="Times New Roman"/>
          <w:sz w:val="24"/>
          <w:szCs w:val="24"/>
          <w:lang w:val="es-CR"/>
        </w:rPr>
        <w:t>Referencias bibliográf</w:t>
      </w:r>
      <w:r w:rsidR="009E25AC">
        <w:rPr>
          <w:rFonts w:ascii="Times New Roman" w:hAnsi="Times New Roman" w:cs="Times New Roman"/>
          <w:sz w:val="24"/>
          <w:szCs w:val="24"/>
          <w:lang w:val="es-CR"/>
        </w:rPr>
        <w:t>icas……………………………………………………………………</w:t>
      </w:r>
    </w:p>
    <w:p w14:paraId="3AC741F1" w14:textId="77777777" w:rsidR="001A3E86" w:rsidRPr="004F609D" w:rsidRDefault="001A3E86" w:rsidP="001A3E86">
      <w:pPr>
        <w:tabs>
          <w:tab w:val="right" w:leader="dot" w:pos="9350"/>
        </w:tabs>
        <w:spacing w:after="100"/>
        <w:rPr>
          <w:rFonts w:ascii="Times New Roman" w:eastAsiaTheme="minorEastAsia" w:hAnsi="Times New Roman" w:cs="Times New Roman"/>
          <w:noProof/>
          <w:sz w:val="24"/>
          <w:szCs w:val="24"/>
          <w:lang w:val="es-CR"/>
        </w:rPr>
      </w:pPr>
      <w:r w:rsidRPr="004F609D">
        <w:rPr>
          <w:rFonts w:ascii="Times New Roman" w:hAnsi="Times New Roman" w:cs="Times New Roman"/>
          <w:sz w:val="24"/>
          <w:szCs w:val="24"/>
          <w:lang w:val="es-CR"/>
        </w:rPr>
        <w:t>Anexo.……………</w:t>
      </w:r>
      <w:r w:rsidR="009E25AC">
        <w:rPr>
          <w:rFonts w:ascii="Times New Roman" w:hAnsi="Times New Roman" w:cs="Times New Roman"/>
          <w:sz w:val="24"/>
          <w:szCs w:val="24"/>
          <w:lang w:val="es-CR"/>
        </w:rPr>
        <w:t>…………………………………………………………………………</w:t>
      </w:r>
    </w:p>
    <w:p w14:paraId="0939882E" w14:textId="77777777" w:rsidR="001A3E86" w:rsidRDefault="001A3E86" w:rsidP="001A3E86">
      <w:pPr>
        <w:pStyle w:val="yiv1427917474msonormal"/>
        <w:jc w:val="center"/>
        <w:rPr>
          <w:rFonts w:ascii="Arial" w:hAnsi="Arial" w:cs="Arial"/>
          <w:b/>
        </w:rPr>
      </w:pPr>
    </w:p>
    <w:p w14:paraId="7F2A0714" w14:textId="77777777" w:rsidR="001A3E86" w:rsidRPr="00C65C54" w:rsidRDefault="001A3E86" w:rsidP="001A3E86">
      <w:pPr>
        <w:pStyle w:val="yiv1427917474msonormal"/>
        <w:jc w:val="center"/>
        <w:rPr>
          <w:b/>
        </w:rPr>
      </w:pPr>
    </w:p>
    <w:p w14:paraId="0A5E7737" w14:textId="77777777" w:rsidR="001A3E86" w:rsidRDefault="001A3E86" w:rsidP="001A3E86">
      <w:pPr>
        <w:pStyle w:val="yiv1427917474msonormal"/>
        <w:jc w:val="center"/>
        <w:rPr>
          <w:rFonts w:ascii="Arial" w:hAnsi="Arial" w:cs="Arial"/>
          <w:b/>
        </w:rPr>
      </w:pPr>
    </w:p>
    <w:p w14:paraId="651030A6" w14:textId="77777777" w:rsidR="001A3E86" w:rsidRDefault="001A3E86" w:rsidP="001A3E86">
      <w:pPr>
        <w:pStyle w:val="yiv1427917474msonormal"/>
        <w:jc w:val="center"/>
        <w:rPr>
          <w:rFonts w:ascii="Arial" w:hAnsi="Arial" w:cs="Arial"/>
          <w:b/>
        </w:rPr>
      </w:pPr>
    </w:p>
    <w:p w14:paraId="39274EEF" w14:textId="77777777" w:rsidR="001A3E86" w:rsidRDefault="001A3E86" w:rsidP="001A3E86">
      <w:pPr>
        <w:pStyle w:val="yiv1427917474msonormal"/>
        <w:jc w:val="center"/>
        <w:rPr>
          <w:rFonts w:ascii="Arial" w:hAnsi="Arial" w:cs="Arial"/>
          <w:b/>
        </w:rPr>
      </w:pPr>
    </w:p>
    <w:p w14:paraId="340BFF9E" w14:textId="77777777" w:rsidR="001A3E86" w:rsidRDefault="001A3E86" w:rsidP="001A3E86">
      <w:pPr>
        <w:pStyle w:val="yiv1427917474msonormal"/>
        <w:jc w:val="center"/>
        <w:rPr>
          <w:rFonts w:ascii="Arial" w:hAnsi="Arial" w:cs="Arial"/>
          <w:b/>
        </w:rPr>
      </w:pPr>
    </w:p>
    <w:p w14:paraId="4B5A0D3D" w14:textId="77777777" w:rsidR="001A3E86" w:rsidRDefault="001A3E86" w:rsidP="001A3E86">
      <w:pPr>
        <w:pStyle w:val="yiv1427917474msonormal"/>
        <w:jc w:val="center"/>
        <w:rPr>
          <w:rFonts w:ascii="Arial" w:hAnsi="Arial" w:cs="Arial"/>
          <w:b/>
        </w:rPr>
      </w:pPr>
    </w:p>
    <w:p w14:paraId="58BAC9E1" w14:textId="77777777" w:rsidR="001A3E86" w:rsidRDefault="001A3E86" w:rsidP="001A3E86">
      <w:pPr>
        <w:pStyle w:val="yiv1427917474msonormal"/>
        <w:rPr>
          <w:rFonts w:ascii="Arial" w:hAnsi="Arial" w:cs="Arial"/>
          <w:b/>
        </w:rPr>
      </w:pPr>
    </w:p>
    <w:p w14:paraId="10DFAC16" w14:textId="77777777" w:rsidR="001A3E86" w:rsidRDefault="001A3E86" w:rsidP="001A3E86">
      <w:pPr>
        <w:pStyle w:val="yiv1427917474msonormal"/>
        <w:rPr>
          <w:rFonts w:ascii="Arial" w:hAnsi="Arial" w:cs="Arial"/>
          <w:b/>
        </w:rPr>
      </w:pPr>
    </w:p>
    <w:p w14:paraId="6FD97851" w14:textId="77777777" w:rsidR="001A3E86" w:rsidRDefault="001A3E86" w:rsidP="001A3E86">
      <w:pPr>
        <w:pStyle w:val="yiv1427917474msonormal"/>
        <w:rPr>
          <w:rFonts w:ascii="Arial" w:hAnsi="Arial" w:cs="Arial"/>
          <w:b/>
        </w:rPr>
      </w:pPr>
    </w:p>
    <w:p w14:paraId="04E9C1B4" w14:textId="77777777" w:rsidR="001A3E86" w:rsidRDefault="001A3E86" w:rsidP="001A3E86">
      <w:pPr>
        <w:pStyle w:val="yiv1427917474msonormal"/>
        <w:rPr>
          <w:rFonts w:ascii="Arial" w:hAnsi="Arial" w:cs="Arial"/>
          <w:b/>
        </w:rPr>
      </w:pPr>
    </w:p>
    <w:p w14:paraId="16B8B6B0" w14:textId="77777777" w:rsidR="001A3E86" w:rsidRDefault="001A3E86" w:rsidP="001A3E86">
      <w:pPr>
        <w:pStyle w:val="yiv1427917474msonormal"/>
        <w:rPr>
          <w:rFonts w:ascii="Arial" w:hAnsi="Arial" w:cs="Arial"/>
          <w:b/>
        </w:rPr>
      </w:pPr>
    </w:p>
    <w:p w14:paraId="47453C6D" w14:textId="77777777" w:rsidR="001A3E86" w:rsidRDefault="001A3E86" w:rsidP="001A3E86">
      <w:pPr>
        <w:pStyle w:val="yiv1427917474msonormal"/>
        <w:rPr>
          <w:rFonts w:ascii="Arial" w:hAnsi="Arial" w:cs="Arial"/>
          <w:b/>
        </w:rPr>
      </w:pPr>
    </w:p>
    <w:p w14:paraId="462C0E2B" w14:textId="77777777" w:rsidR="001A3E86" w:rsidRDefault="001A3E86" w:rsidP="001A3E86">
      <w:pPr>
        <w:pStyle w:val="yiv1427917474msonormal"/>
        <w:rPr>
          <w:rFonts w:ascii="Arial" w:hAnsi="Arial" w:cs="Arial"/>
          <w:b/>
        </w:rPr>
      </w:pPr>
    </w:p>
    <w:p w14:paraId="23286908" w14:textId="77777777" w:rsidR="001A3E86" w:rsidRDefault="001A3E86" w:rsidP="001A3E86">
      <w:pPr>
        <w:pStyle w:val="yiv1427917474msonormal"/>
        <w:rPr>
          <w:rFonts w:ascii="Arial" w:hAnsi="Arial" w:cs="Arial"/>
          <w:b/>
        </w:rPr>
      </w:pPr>
    </w:p>
    <w:p w14:paraId="6052107A" w14:textId="77777777" w:rsidR="001A3E86" w:rsidRDefault="001A3E86" w:rsidP="001A3E86">
      <w:pPr>
        <w:pStyle w:val="yiv1427917474msonormal"/>
        <w:rPr>
          <w:rFonts w:ascii="Arial" w:hAnsi="Arial" w:cs="Arial"/>
          <w:b/>
        </w:rPr>
      </w:pPr>
    </w:p>
    <w:p w14:paraId="474EF77B" w14:textId="77777777" w:rsidR="001A3E86" w:rsidRDefault="001A3E86" w:rsidP="001A3E86">
      <w:pPr>
        <w:pStyle w:val="yiv1427917474msonormal"/>
        <w:rPr>
          <w:rFonts w:ascii="Arial" w:hAnsi="Arial" w:cs="Arial"/>
          <w:b/>
        </w:rPr>
      </w:pPr>
    </w:p>
    <w:p w14:paraId="3B78F763" w14:textId="77777777" w:rsidR="001A3E86" w:rsidRDefault="001A3E86" w:rsidP="001A3E86">
      <w:pPr>
        <w:pStyle w:val="yiv1427917474msonormal"/>
        <w:rPr>
          <w:rFonts w:ascii="Arial" w:hAnsi="Arial" w:cs="Arial"/>
          <w:b/>
        </w:rPr>
      </w:pPr>
    </w:p>
    <w:p w14:paraId="2AB7524E" w14:textId="77777777" w:rsidR="001A3E86" w:rsidRPr="00530603" w:rsidRDefault="001C19DD" w:rsidP="001A3E86">
      <w:pPr>
        <w:pStyle w:val="Heading1"/>
        <w:rPr>
          <w:rFonts w:ascii="Times New Roman" w:hAnsi="Times New Roman"/>
          <w:sz w:val="24"/>
          <w:szCs w:val="24"/>
        </w:rPr>
      </w:pPr>
      <w:bookmarkStart w:id="3" w:name="_Toc474090204"/>
      <w:r>
        <w:rPr>
          <w:rFonts w:ascii="Times New Roman" w:hAnsi="Times New Roman"/>
          <w:sz w:val="24"/>
          <w:szCs w:val="24"/>
        </w:rPr>
        <w:lastRenderedPageBreak/>
        <w:t>Capítulo I</w:t>
      </w:r>
      <w:r w:rsidR="001A3E86" w:rsidRPr="00530603">
        <w:rPr>
          <w:rFonts w:ascii="Times New Roman" w:hAnsi="Times New Roman"/>
          <w:sz w:val="24"/>
          <w:szCs w:val="24"/>
        </w:rPr>
        <w:t xml:space="preserve"> </w:t>
      </w:r>
    </w:p>
    <w:p w14:paraId="55DD3CCC" w14:textId="77777777" w:rsidR="001A3E86" w:rsidRPr="00530603" w:rsidRDefault="001A3E86" w:rsidP="001A3E86">
      <w:pPr>
        <w:pStyle w:val="Heading1"/>
        <w:rPr>
          <w:rFonts w:ascii="Times New Roman" w:hAnsi="Times New Roman"/>
          <w:sz w:val="24"/>
          <w:szCs w:val="24"/>
        </w:rPr>
      </w:pPr>
      <w:r w:rsidRPr="00530603">
        <w:rPr>
          <w:rFonts w:ascii="Times New Roman" w:hAnsi="Times New Roman"/>
          <w:sz w:val="24"/>
          <w:szCs w:val="24"/>
        </w:rPr>
        <w:t>Introducción</w:t>
      </w:r>
      <w:bookmarkEnd w:id="3"/>
    </w:p>
    <w:p w14:paraId="23723C5F" w14:textId="77777777" w:rsidR="001A3E86" w:rsidRPr="00530603" w:rsidRDefault="001A3E86" w:rsidP="001A3E86">
      <w:pPr>
        <w:pStyle w:val="Heading2"/>
        <w:rPr>
          <w:rFonts w:ascii="Times New Roman" w:hAnsi="Times New Roman"/>
          <w:color w:val="auto"/>
          <w:sz w:val="24"/>
          <w:szCs w:val="24"/>
        </w:rPr>
      </w:pPr>
      <w:bookmarkStart w:id="4" w:name="_Toc474090205"/>
      <w:r w:rsidRPr="00530603">
        <w:rPr>
          <w:rFonts w:ascii="Times New Roman" w:hAnsi="Times New Roman"/>
          <w:color w:val="auto"/>
          <w:sz w:val="24"/>
          <w:szCs w:val="24"/>
        </w:rPr>
        <w:t>i. Planteamiento del problema.</w:t>
      </w:r>
      <w:bookmarkEnd w:id="4"/>
    </w:p>
    <w:p w14:paraId="7082CF51" w14:textId="77777777" w:rsidR="001A3E86" w:rsidRPr="00BB1671" w:rsidRDefault="001A3E86" w:rsidP="001A3E86">
      <w:pPr>
        <w:rPr>
          <w:lang w:val="es-CR"/>
        </w:rPr>
      </w:pPr>
    </w:p>
    <w:p w14:paraId="65584937" w14:textId="77777777" w:rsidR="001A3E86" w:rsidRPr="004F609D" w:rsidRDefault="001A3E86" w:rsidP="001A3E86">
      <w:pPr>
        <w:spacing w:after="0" w:line="360" w:lineRule="auto"/>
        <w:ind w:firstLine="720"/>
        <w:jc w:val="both"/>
        <w:rPr>
          <w:rFonts w:ascii="Times New Roman" w:hAnsi="Times New Roman" w:cs="Times New Roman"/>
          <w:sz w:val="24"/>
          <w:szCs w:val="24"/>
          <w:lang w:val="es-CR"/>
        </w:rPr>
      </w:pPr>
      <w:r w:rsidRPr="00530603">
        <w:rPr>
          <w:rFonts w:ascii="Times New Roman" w:hAnsi="Times New Roman" w:cs="Times New Roman"/>
          <w:sz w:val="24"/>
          <w:szCs w:val="24"/>
          <w:lang w:val="es-CR"/>
        </w:rPr>
        <w:t xml:space="preserve">La espiritualidad de las drogas enteogénicas del mundo precolombino ha sido un aspecto descuidado en la </w:t>
      </w:r>
      <w:r w:rsidRPr="004F609D">
        <w:rPr>
          <w:rFonts w:ascii="Times New Roman" w:hAnsi="Times New Roman" w:cs="Times New Roman"/>
          <w:sz w:val="24"/>
          <w:szCs w:val="24"/>
          <w:lang w:val="es-CR"/>
        </w:rPr>
        <w:t xml:space="preserve">teológica latinoamericana, incluso ha sido condenada desde las líneas teológicas más tradicionales. En este marco se realiza un acercamiento a los estudios etnopsicofarmacológicos de Quirce-Balma sobre esta espiritualidad, </w:t>
      </w:r>
      <w:r>
        <w:rPr>
          <w:rFonts w:ascii="Times New Roman" w:hAnsi="Times New Roman" w:cs="Times New Roman"/>
          <w:sz w:val="24"/>
          <w:szCs w:val="24"/>
          <w:lang w:val="es-CR"/>
        </w:rPr>
        <w:t>que</w:t>
      </w:r>
      <w:r w:rsidRPr="004F609D">
        <w:rPr>
          <w:rFonts w:ascii="Times New Roman" w:hAnsi="Times New Roman" w:cs="Times New Roman"/>
          <w:sz w:val="24"/>
          <w:szCs w:val="24"/>
          <w:lang w:val="es-CR"/>
        </w:rPr>
        <w:t xml:space="preserve"> permitiría ampliar los horizontes de reflexión teológica en América Latina desde una perspectiva intercultural</w:t>
      </w:r>
      <w:r w:rsidRPr="004F609D">
        <w:rPr>
          <w:rStyle w:val="apple-converted-space"/>
          <w:rFonts w:ascii="Times New Roman" w:hAnsi="Times New Roman" w:cs="Times New Roman"/>
          <w:color w:val="222222"/>
          <w:sz w:val="24"/>
          <w:szCs w:val="24"/>
          <w:shd w:val="clear" w:color="auto" w:fill="FFFFFF"/>
          <w:lang w:val="es-CR"/>
        </w:rPr>
        <w:t>.</w:t>
      </w:r>
    </w:p>
    <w:p w14:paraId="06FDA750" w14:textId="77777777" w:rsidR="001A3E86" w:rsidRPr="004F609D" w:rsidRDefault="001A3E86" w:rsidP="001A3E86">
      <w:pPr>
        <w:pStyle w:val="BodyText"/>
        <w:rPr>
          <w:rFonts w:ascii="Arial" w:hAnsi="Arial" w:cs="Arial"/>
          <w:sz w:val="24"/>
          <w:szCs w:val="24"/>
          <w:lang w:val="es-CR"/>
        </w:rPr>
      </w:pPr>
    </w:p>
    <w:p w14:paraId="4C0863DB" w14:textId="77777777" w:rsidR="001A3E86" w:rsidRPr="00530603" w:rsidRDefault="001A3E86" w:rsidP="001A3E86">
      <w:pPr>
        <w:pStyle w:val="Heading2"/>
        <w:jc w:val="both"/>
        <w:rPr>
          <w:rFonts w:ascii="Times New Roman" w:hAnsi="Times New Roman"/>
          <w:color w:val="auto"/>
          <w:sz w:val="24"/>
          <w:szCs w:val="24"/>
        </w:rPr>
      </w:pPr>
      <w:bookmarkStart w:id="5" w:name="_Toc474090206"/>
      <w:r w:rsidRPr="00530603">
        <w:rPr>
          <w:rFonts w:ascii="Times New Roman" w:hAnsi="Times New Roman"/>
          <w:color w:val="auto"/>
          <w:sz w:val="24"/>
          <w:szCs w:val="24"/>
        </w:rPr>
        <w:t>ii. Justificación del problema.</w:t>
      </w:r>
      <w:bookmarkEnd w:id="5"/>
    </w:p>
    <w:p w14:paraId="78EBA072" w14:textId="77777777" w:rsidR="001A3E86" w:rsidRPr="004F609D" w:rsidRDefault="001A3E86" w:rsidP="001A3E86">
      <w:pPr>
        <w:spacing w:after="0" w:line="240" w:lineRule="auto"/>
        <w:jc w:val="both"/>
        <w:rPr>
          <w:rFonts w:ascii="Arial" w:hAnsi="Arial" w:cs="Arial"/>
          <w:sz w:val="24"/>
          <w:szCs w:val="24"/>
          <w:lang w:val="es-CR"/>
        </w:rPr>
      </w:pPr>
    </w:p>
    <w:p w14:paraId="02773818" w14:textId="77777777" w:rsidR="001A3E86" w:rsidRPr="004F609D" w:rsidRDefault="001A3E86" w:rsidP="001A3E86">
      <w:pPr>
        <w:spacing w:after="0" w:line="240" w:lineRule="auto"/>
        <w:jc w:val="both"/>
        <w:rPr>
          <w:rFonts w:ascii="Arial" w:hAnsi="Arial" w:cs="Arial"/>
          <w:sz w:val="24"/>
          <w:szCs w:val="24"/>
          <w:lang w:val="es-CR"/>
        </w:rPr>
      </w:pPr>
    </w:p>
    <w:p w14:paraId="32AF9BCE" w14:textId="77777777" w:rsidR="001A3E86" w:rsidRPr="004F609D" w:rsidRDefault="001A3E86" w:rsidP="001A3E86">
      <w:pPr>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Tanto artística como académicamente el acto poético se conduce por el deseo. Es imposible en ausencia de una motivación conducirse a una meta, sea esta lúdica, cotidiana o trascendente. Ese deseo puede advenir desde la inspiración religiosa, la necesidad orgánica, la curiosidad científica o el impulso artístico. Por esto es ineludible hacer referencia a las motivaciones que llevan al esfuerzo académico cuando se elige un tema de investigación.</w:t>
      </w:r>
    </w:p>
    <w:p w14:paraId="15F8F253" w14:textId="77777777" w:rsidR="001A3E86" w:rsidRPr="004F609D" w:rsidRDefault="001A3E86" w:rsidP="001A3E86">
      <w:pPr>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En América Latina los ordenamientos jurídicos y la religión institucionalizada, principalmente la católica, han censurado, condenado y hasta perseguido la espiritualidad “farmacológica”, desde el tiempo de la conquista española. Si bien los conquistadores españoles admiraron en principio las riquezas botánicas y médicas de América, la admiración y el deseo topó con el perjuicio racial y otros clichés etnocéntricos; toda vez que las drogas medicinales, también, eran psicoactivas y, generalmente, se empleaban en contextos religiosos o análogos. Esto derivó en una pesquisa inquisitorial exhaustiva contra los amerindios </w:t>
      </w:r>
      <w:sdt>
        <w:sdtPr>
          <w:rPr>
            <w:rFonts w:ascii="Times New Roman" w:hAnsi="Times New Roman" w:cs="Times New Roman"/>
            <w:sz w:val="24"/>
            <w:szCs w:val="24"/>
          </w:rPr>
          <w:id w:val="-1305534341"/>
          <w:citation/>
        </w:sdtPr>
        <w:sdtContent>
          <w:r w:rsidRPr="00530603">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Esc02 \l 22538 </w:instrText>
          </w:r>
          <w:r w:rsidRPr="00530603">
            <w:rPr>
              <w:rFonts w:ascii="Times New Roman" w:hAnsi="Times New Roman" w:cs="Times New Roman"/>
              <w:sz w:val="24"/>
              <w:szCs w:val="24"/>
            </w:rPr>
            <w:fldChar w:fldCharType="separate"/>
          </w:r>
          <w:r w:rsidRPr="004F609D">
            <w:rPr>
              <w:rFonts w:ascii="Times New Roman" w:hAnsi="Times New Roman" w:cs="Times New Roman"/>
              <w:noProof/>
              <w:sz w:val="24"/>
              <w:szCs w:val="24"/>
              <w:lang w:val="es-CR"/>
            </w:rPr>
            <w:t>(Escohotado, 2002)</w:t>
          </w:r>
          <w:r w:rsidRPr="00530603">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w:t>
      </w:r>
    </w:p>
    <w:p w14:paraId="0A752562" w14:textId="77777777" w:rsidR="001A3E86" w:rsidRPr="004F609D" w:rsidRDefault="001A3E86" w:rsidP="001A3E86">
      <w:pPr>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Esta censura y persecución se tradujo en olvido o descuido del valor espiritual psicofarmacológico por parte de la producción teológica latinoamericana desde sus líneas más tradicionales. Incluso, salvo escasas valoraciones teológicas, como las de Boff (2016) respecto a la eucaristía y la ayahuasca en la Doctrina de Santo Daime, llama la atención que la Teología Latinoamericana de la Liberación, que aspira a una crítica y superación de las </w:t>
      </w:r>
      <w:r w:rsidRPr="004F609D">
        <w:rPr>
          <w:rFonts w:ascii="Times New Roman" w:hAnsi="Times New Roman" w:cs="Times New Roman"/>
          <w:sz w:val="24"/>
          <w:szCs w:val="24"/>
          <w:lang w:val="es-CR"/>
        </w:rPr>
        <w:lastRenderedPageBreak/>
        <w:t xml:space="preserve">teologías tradicionales, no haya discurrido suficientemente sobre este núcleo que atañe, entre otros procederes místicos y religiosos, a prácticas espirituales precolombinas, avasalladas por la conquista y colonización, siendo que algunas de estas aún perviven en pueblos indígenas de América. </w:t>
      </w:r>
    </w:p>
    <w:p w14:paraId="4B27E22A" w14:textId="77777777" w:rsidR="001A3E86" w:rsidRPr="004F609D" w:rsidRDefault="001A3E86" w:rsidP="001A3E86">
      <w:pPr>
        <w:spacing w:after="0" w:line="360" w:lineRule="auto"/>
        <w:ind w:firstLine="720"/>
        <w:jc w:val="both"/>
        <w:rPr>
          <w:rFonts w:ascii="Times New Roman" w:hAnsi="Times New Roman" w:cs="Times New Roman"/>
          <w:sz w:val="24"/>
          <w:lang w:val="es-CR"/>
        </w:rPr>
      </w:pPr>
      <w:r w:rsidRPr="004F609D">
        <w:rPr>
          <w:rFonts w:ascii="Times New Roman" w:hAnsi="Times New Roman" w:cs="Times New Roman"/>
          <w:sz w:val="24"/>
          <w:szCs w:val="24"/>
          <w:lang w:val="es-CR"/>
        </w:rPr>
        <w:t xml:space="preserve">Ciertamente la Teología Latinoamericana de la Liberación </w:t>
      </w:r>
      <w:r w:rsidRPr="004F609D">
        <w:rPr>
          <w:rFonts w:ascii="Times New Roman" w:hAnsi="Times New Roman" w:cs="Times New Roman"/>
          <w:sz w:val="24"/>
          <w:lang w:val="es-CR"/>
        </w:rPr>
        <w:t>consiste en un proceso que engloba experiencias disímiles: producción teológica, prácticas pastorales, movimientos extraeclesiales, movimientos intraeclesiales (v.gr. de la Iglesia católica), movilizaciones políticas (incluidas organizaciones político-militares), Comunidades Eclesiales de Base y otros movimientos liberadores (Gallardo, 2009). Tampoco resulta ser un paradigma sin conflictos y diferencias en sus planteamientos, por ejemplo, salta a la vista una considerable diferencia metodológica entre una misa guerrilla con Ernesto Cardenal y la propuesta económica de Franz Hinkelammert.</w:t>
      </w:r>
    </w:p>
    <w:p w14:paraId="541C3CA0" w14:textId="77777777" w:rsidR="001A3E86" w:rsidRPr="004F609D" w:rsidRDefault="001A3E86" w:rsidP="001A3E86">
      <w:pPr>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lang w:val="es-CR"/>
        </w:rPr>
        <w:t>En este sentido</w:t>
      </w:r>
      <w:r w:rsidRPr="004F609D">
        <w:rPr>
          <w:rFonts w:ascii="Times New Roman" w:hAnsi="Times New Roman" w:cs="Times New Roman"/>
          <w:sz w:val="24"/>
          <w:szCs w:val="24"/>
          <w:lang w:val="es-CR"/>
        </w:rPr>
        <w:t xml:space="preserve">, la propuesta de Quirce-Balma puede implicar una divergencia de la metodología tradicional en teología y un aporte a la Teología Latinoamericana de la Liberación, pues se permitiría ampliar los horizontes de reflexión teológica en América Latina desde una perspectiva intercultural. Esto último en el marco de los retos que la filosofía intercultural plantea a la teología, específicamente a las teologías latinoamericanas de la liberación, a manera de representar un desafío y una tarea por cumplir, con el fin de no ignorar la validez de otras perspectivas teológicas </w:t>
      </w:r>
      <w:sdt>
        <w:sdtPr>
          <w:rPr>
            <w:rFonts w:ascii="Times New Roman" w:hAnsi="Times New Roman" w:cs="Times New Roman"/>
            <w:sz w:val="24"/>
            <w:szCs w:val="24"/>
          </w:rPr>
          <w:id w:val="-590167927"/>
          <w:citation/>
        </w:sdtPr>
        <w:sdtContent>
          <w:r w:rsidRPr="00530603">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Mad08 \l 22538 </w:instrText>
          </w:r>
          <w:r w:rsidRPr="00530603">
            <w:rPr>
              <w:rFonts w:ascii="Times New Roman" w:hAnsi="Times New Roman" w:cs="Times New Roman"/>
              <w:sz w:val="24"/>
              <w:szCs w:val="24"/>
            </w:rPr>
            <w:fldChar w:fldCharType="separate"/>
          </w:r>
          <w:r w:rsidRPr="004F609D">
            <w:rPr>
              <w:rFonts w:ascii="Times New Roman" w:hAnsi="Times New Roman" w:cs="Times New Roman"/>
              <w:noProof/>
              <w:sz w:val="24"/>
              <w:szCs w:val="24"/>
              <w:lang w:val="es-CR"/>
            </w:rPr>
            <w:t>(Madrigal, 2008)</w:t>
          </w:r>
          <w:r w:rsidRPr="00530603">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w:t>
      </w:r>
    </w:p>
    <w:p w14:paraId="5A4E9805" w14:textId="77777777" w:rsidR="001A3E86" w:rsidRPr="004F609D" w:rsidRDefault="001A3E86" w:rsidP="001A3E86">
      <w:pPr>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Una perspectiva teológica puede darse en valoración de la propuesta de Quirce-Balma, quien sobre el trasfondo etnopsicorfarmacológico elabora, con estudios de la dinámica neurocerebral, una sustentación de la ontopraxis, consistente en “una vivencia total del individuo en favor de una evolución global de su cultura”, en donde se suscita  “una dialéctica en la vida humana entre lo familiar y lo no-familiar, con finalidad de transformación de orden ontológica, compréndase a su vez como una dialéctica de cambio individual como expresión de la dialéctica histórica de evolución social” (Quirce-Balma, 1976, pp. 23-</w:t>
      </w:r>
      <w:r w:rsidR="001C19DD">
        <w:rPr>
          <w:rFonts w:ascii="Times New Roman" w:hAnsi="Times New Roman" w:cs="Times New Roman"/>
          <w:sz w:val="24"/>
          <w:szCs w:val="24"/>
          <w:lang w:val="es-CR"/>
        </w:rPr>
        <w:t>2</w:t>
      </w:r>
      <w:r w:rsidRPr="004F609D">
        <w:rPr>
          <w:rFonts w:ascii="Times New Roman" w:hAnsi="Times New Roman" w:cs="Times New Roman"/>
          <w:sz w:val="24"/>
          <w:szCs w:val="24"/>
          <w:lang w:val="es-CR"/>
        </w:rPr>
        <w:t>4).  Por lo tanto, es en su finalidad una propuesta al cambio social a partir del sujeto.</w:t>
      </w:r>
    </w:p>
    <w:p w14:paraId="142AE61D" w14:textId="77777777" w:rsidR="001A3E86" w:rsidRPr="004F609D" w:rsidRDefault="001A3E86" w:rsidP="001A3E86">
      <w:pPr>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La relación Biología-Psicología-Sociedad fue constante en los trabajos de Quirce-Balma, promotor del desarrollo de las neurociencias en el país, miembro distinguido y fundador del Colegio de Psicólogos de Costa Rica, y ante todo químico destacado. Es a </w:t>
      </w:r>
      <w:r w:rsidRPr="004F609D">
        <w:rPr>
          <w:rFonts w:ascii="Times New Roman" w:hAnsi="Times New Roman" w:cs="Times New Roman"/>
          <w:sz w:val="24"/>
          <w:szCs w:val="24"/>
          <w:lang w:val="es-CR"/>
        </w:rPr>
        <w:lastRenderedPageBreak/>
        <w:t xml:space="preserve">través de sus estudios en etnopsicofarmacología que obtenemos las aproximaciones hacia esa relación desde un campo interdisciplinario. </w:t>
      </w:r>
    </w:p>
    <w:p w14:paraId="4CCAA866" w14:textId="77777777" w:rsidR="001A3E86" w:rsidRPr="004F609D" w:rsidRDefault="001A3E86" w:rsidP="001A3E86">
      <w:pPr>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etnopsicofarmacología tiene, desde ese lugar, el privilegio de aportar a la discusión teológica una nueva perspectiva que va más allá del marco religioso para remitir a lo espiritual. Esto último implica un reto a la reflexión teológica, puesto que más que un fenómeno religioso, la teología trata de ver cómo la religión expresa u opaca la espiritualidad (Avendaño-Herrera, 2005, p. 206).</w:t>
      </w:r>
    </w:p>
    <w:p w14:paraId="15AB1DEF" w14:textId="77777777" w:rsidR="001A3E86" w:rsidRPr="00A74C35" w:rsidRDefault="001A3E86" w:rsidP="001A3E86">
      <w:pPr>
        <w:spacing w:after="0" w:line="360" w:lineRule="auto"/>
        <w:ind w:firstLine="720"/>
        <w:jc w:val="both"/>
        <w:rPr>
          <w:rFonts w:ascii="Times New Roman" w:hAnsi="Times New Roman" w:cs="Times New Roman"/>
          <w:sz w:val="24"/>
          <w:szCs w:val="24"/>
          <w:lang w:val="es-MX"/>
        </w:rPr>
      </w:pPr>
      <w:r w:rsidRPr="004F609D">
        <w:rPr>
          <w:rFonts w:ascii="Times New Roman" w:hAnsi="Times New Roman" w:cs="Times New Roman"/>
          <w:sz w:val="24"/>
          <w:szCs w:val="24"/>
          <w:lang w:val="es-CR"/>
        </w:rPr>
        <w:t xml:space="preserve">Así mismo la etnopsicofarmacología adquiere un matiz pneumocientífico, pues vincula la espiritualidad con el rigor científico para convertirse de algún modo en una ciencia de la religión. En este caso, para los intereses que atañen a esta investigación, la etnopsicofarmacología aborda la espiritualidad originada por enteógenos, estudiando los Estados Alterados de Conciencia derivados del consumo de estas sustancias psicoactivas. </w:t>
      </w:r>
    </w:p>
    <w:p w14:paraId="60A81B3C" w14:textId="77777777" w:rsidR="001A3E86" w:rsidRPr="00A74C35" w:rsidRDefault="001A3E86" w:rsidP="001A3E86">
      <w:pPr>
        <w:pStyle w:val="BodyText"/>
        <w:spacing w:after="0" w:line="360" w:lineRule="auto"/>
        <w:ind w:firstLine="720"/>
        <w:jc w:val="both"/>
        <w:rPr>
          <w:rFonts w:ascii="Times New Roman" w:hAnsi="Times New Roman" w:cs="Times New Roman"/>
          <w:sz w:val="24"/>
          <w:szCs w:val="24"/>
          <w:lang w:val="es-MX"/>
        </w:rPr>
      </w:pPr>
      <w:r w:rsidRPr="00A74C35">
        <w:rPr>
          <w:rFonts w:ascii="Times New Roman" w:hAnsi="Times New Roman" w:cs="Times New Roman"/>
          <w:sz w:val="24"/>
          <w:szCs w:val="24"/>
          <w:lang w:val="es-MX"/>
        </w:rPr>
        <w:t>Quirce-Balma se dio la difícil tarea de establecer conexiones entre la psicofarmacología, la antropología y la religión, entre otros temas (Quirce</w:t>
      </w:r>
      <w:r>
        <w:rPr>
          <w:rFonts w:ascii="Times New Roman" w:hAnsi="Times New Roman" w:cs="Times New Roman"/>
          <w:sz w:val="24"/>
          <w:szCs w:val="24"/>
          <w:lang w:val="es-MX"/>
        </w:rPr>
        <w:t>-Balma</w:t>
      </w:r>
      <w:r w:rsidRPr="00A74C35">
        <w:rPr>
          <w:rFonts w:ascii="Times New Roman" w:hAnsi="Times New Roman" w:cs="Times New Roman"/>
          <w:sz w:val="24"/>
          <w:szCs w:val="24"/>
          <w:lang w:val="es-MX"/>
        </w:rPr>
        <w:t>, 2009). La vinculación de estos temas a través del estudio de culturas actuales y precolombinas en su relación con plantas psicodélicas</w:t>
      </w:r>
      <w:r>
        <w:rPr>
          <w:rFonts w:ascii="Times New Roman" w:hAnsi="Times New Roman" w:cs="Times New Roman"/>
          <w:sz w:val="24"/>
          <w:szCs w:val="24"/>
          <w:lang w:val="es-MX"/>
        </w:rPr>
        <w:t>,</w:t>
      </w:r>
      <w:r w:rsidRPr="00A74C35">
        <w:rPr>
          <w:rFonts w:ascii="Times New Roman" w:hAnsi="Times New Roman" w:cs="Times New Roman"/>
          <w:sz w:val="24"/>
          <w:szCs w:val="24"/>
          <w:lang w:val="es-MX"/>
        </w:rPr>
        <w:t xml:space="preserve"> sugiere una concepción de que el sujeto debe alcanzar la experiencia mística para poder vincularse con los demás seres planetarios y lograr así plenitud y felicidad. Esta visión de las experiencias chamánicas como parte fundamental de la sociedad primitiva, íntimamente ligada a la herbología enteogénica, y ante todo como una experiencia con la realidad, pero con un vínculo más fuerte con la naturaleza, son parte de su pensamiento (Quirce</w:t>
      </w:r>
      <w:r>
        <w:rPr>
          <w:rFonts w:ascii="Times New Roman" w:hAnsi="Times New Roman" w:cs="Times New Roman"/>
          <w:sz w:val="24"/>
          <w:szCs w:val="24"/>
          <w:lang w:val="es-MX"/>
        </w:rPr>
        <w:t>-Balma</w:t>
      </w:r>
      <w:r w:rsidRPr="00A74C35">
        <w:rPr>
          <w:rFonts w:ascii="Times New Roman" w:hAnsi="Times New Roman" w:cs="Times New Roman"/>
          <w:sz w:val="24"/>
          <w:szCs w:val="24"/>
          <w:lang w:val="es-MX"/>
        </w:rPr>
        <w:t>, 2010a). La promoción de la reflexión teológica e investigación en esta área para lograr una visión más sistémica y menos limitada por la construcción lógico-material del pensamiento occidental, resulta de máxima prioridad.</w:t>
      </w:r>
    </w:p>
    <w:p w14:paraId="2C29BC97" w14:textId="77777777" w:rsidR="001A3E86" w:rsidRPr="00A74C35" w:rsidRDefault="001A3E86" w:rsidP="001A3E86">
      <w:pPr>
        <w:pStyle w:val="Default"/>
        <w:spacing w:line="360" w:lineRule="auto"/>
        <w:ind w:firstLine="720"/>
        <w:jc w:val="both"/>
      </w:pPr>
      <w:r w:rsidRPr="00A74C35">
        <w:t>Y es que cabe destacar que Latinoamérica sufre como señalaba Quirce-Balma una “brecha en la investigación científica existente entre América Latina y el resto del mundo”</w:t>
      </w:r>
      <w:r>
        <w:t xml:space="preserve"> (Quirce-Balma, 2009, p</w:t>
      </w:r>
      <w:r w:rsidRPr="00A74C35">
        <w:t>. 86) que no es justificable siendo América Latina, como describiría Hofman respecto a México en específico, “un santua</w:t>
      </w:r>
      <w:r>
        <w:t>rio de las drogas alucinógenas”</w:t>
      </w:r>
      <w:r w:rsidRPr="00A74C35">
        <w:t xml:space="preserve"> (Guerin, G.P., &amp; de Sedouy; &amp; Roumette, S; 1993)</w:t>
      </w:r>
      <w:r>
        <w:t>.</w:t>
      </w:r>
    </w:p>
    <w:p w14:paraId="5834C6FE" w14:textId="77777777" w:rsidR="001A3E86" w:rsidRPr="00A74C35" w:rsidRDefault="001A3E86" w:rsidP="001A3E86">
      <w:pPr>
        <w:pStyle w:val="Default"/>
        <w:spacing w:line="360" w:lineRule="auto"/>
        <w:ind w:firstLine="720"/>
        <w:jc w:val="both"/>
      </w:pPr>
      <w:r w:rsidRPr="00A74C35">
        <w:t xml:space="preserve">Quirce-Balma </w:t>
      </w:r>
      <w:r>
        <w:t xml:space="preserve">(2009) </w:t>
      </w:r>
      <w:r w:rsidRPr="00A74C35">
        <w:t>señaló la necesidad de aprovechar la amplia variedad de fuentes culturales, botánicas y herencias espirituales que en hay</w:t>
      </w:r>
      <w:r>
        <w:t xml:space="preserve"> en Latinoamérica</w:t>
      </w:r>
      <w:r w:rsidRPr="00A74C35">
        <w:t xml:space="preserve">. Sin </w:t>
      </w:r>
      <w:r w:rsidRPr="00A74C35">
        <w:lastRenderedPageBreak/>
        <w:t>embargo, el fuerte de la investigación en etnopsicofarmacología no proviene de</w:t>
      </w:r>
      <w:r>
        <w:t xml:space="preserve"> investigadores de</w:t>
      </w:r>
      <w:r w:rsidRPr="00A74C35">
        <w:t xml:space="preserve"> la r</w:t>
      </w:r>
      <w:r>
        <w:t>egión sino de personas del</w:t>
      </w:r>
      <w:r w:rsidRPr="00A74C35">
        <w:t xml:space="preserve"> exte</w:t>
      </w:r>
      <w:r>
        <w:t>rior que trabajan en la zona</w:t>
      </w:r>
      <w:r w:rsidRPr="00A74C35">
        <w:t xml:space="preserve">. </w:t>
      </w:r>
    </w:p>
    <w:p w14:paraId="7BC2EBD1" w14:textId="77777777" w:rsidR="001A3E86" w:rsidRPr="00A74C35" w:rsidRDefault="001A3E86" w:rsidP="001A3E86">
      <w:pPr>
        <w:pStyle w:val="BodyText"/>
        <w:spacing w:after="0" w:line="360" w:lineRule="auto"/>
        <w:ind w:firstLine="720"/>
        <w:jc w:val="both"/>
        <w:rPr>
          <w:rFonts w:ascii="Times New Roman" w:hAnsi="Times New Roman" w:cs="Times New Roman"/>
          <w:sz w:val="24"/>
          <w:szCs w:val="24"/>
          <w:lang w:val="es-MX"/>
        </w:rPr>
      </w:pPr>
      <w:r w:rsidRPr="00A74C35">
        <w:rPr>
          <w:rFonts w:ascii="Times New Roman" w:hAnsi="Times New Roman" w:cs="Times New Roman"/>
          <w:sz w:val="24"/>
          <w:szCs w:val="24"/>
          <w:lang w:val="es-MX"/>
        </w:rPr>
        <w:t>Acusa Quirce</w:t>
      </w:r>
      <w:r>
        <w:rPr>
          <w:rFonts w:ascii="Times New Roman" w:hAnsi="Times New Roman" w:cs="Times New Roman"/>
          <w:sz w:val="24"/>
          <w:szCs w:val="24"/>
          <w:lang w:val="es-MX"/>
        </w:rPr>
        <w:t>-Balma</w:t>
      </w:r>
      <w:r w:rsidRPr="00A74C35">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(2010) </w:t>
      </w:r>
      <w:r w:rsidRPr="00A74C35">
        <w:rPr>
          <w:rFonts w:ascii="Times New Roman" w:hAnsi="Times New Roman" w:cs="Times New Roman"/>
          <w:sz w:val="24"/>
          <w:szCs w:val="24"/>
          <w:lang w:val="es-MX"/>
        </w:rPr>
        <w:t>al referirse al estado de la investigación sobre estos temas que en Costa Rica: “no se ha hecho aún nada por identificar la botánica en</w:t>
      </w:r>
      <w:r>
        <w:rPr>
          <w:rFonts w:ascii="Times New Roman" w:hAnsi="Times New Roman" w:cs="Times New Roman"/>
          <w:sz w:val="24"/>
          <w:szCs w:val="24"/>
          <w:lang w:val="es-MX"/>
        </w:rPr>
        <w:t>teogénica del país” (</w:t>
      </w:r>
      <w:r w:rsidRPr="00A74C35">
        <w:rPr>
          <w:rFonts w:ascii="Times New Roman" w:hAnsi="Times New Roman" w:cs="Times New Roman"/>
          <w:sz w:val="24"/>
          <w:szCs w:val="24"/>
          <w:lang w:val="es-MX"/>
        </w:rPr>
        <w:t>p. 13)</w:t>
      </w:r>
      <w:r>
        <w:rPr>
          <w:rFonts w:ascii="Times New Roman" w:hAnsi="Times New Roman" w:cs="Times New Roman"/>
          <w:sz w:val="24"/>
          <w:szCs w:val="24"/>
          <w:lang w:val="es-MX"/>
        </w:rPr>
        <w:t>.</w:t>
      </w:r>
    </w:p>
    <w:p w14:paraId="7FDDA031" w14:textId="77777777" w:rsidR="001A3E86" w:rsidRPr="00A74C35" w:rsidRDefault="001A3E86" w:rsidP="001A3E86">
      <w:pPr>
        <w:pStyle w:val="Default"/>
        <w:spacing w:line="360" w:lineRule="auto"/>
        <w:ind w:firstLine="720"/>
        <w:jc w:val="both"/>
      </w:pPr>
      <w:r w:rsidRPr="00A74C35">
        <w:t xml:space="preserve">Se han reanudado de este modo desde los años 60 y la llamada “era californiana” de los psicodélicos, los círculos de dependencia exterior que caracterizan otros procesos macro en Latinoamérica, como la economía, la política y la producción. Quirce-Balma </w:t>
      </w:r>
      <w:r>
        <w:t xml:space="preserve">(2010a) </w:t>
      </w:r>
      <w:r w:rsidRPr="00A74C35">
        <w:t>señala la riqueza relativa de esta región cuando destaca, por ejemplo:</w:t>
      </w:r>
    </w:p>
    <w:p w14:paraId="74576DF6" w14:textId="77777777" w:rsidR="001A3E86" w:rsidRPr="00DD2179" w:rsidRDefault="001A3E86" w:rsidP="001A3E86">
      <w:pPr>
        <w:pStyle w:val="Default"/>
        <w:spacing w:line="360" w:lineRule="auto"/>
        <w:ind w:left="567" w:right="567"/>
        <w:jc w:val="both"/>
        <w:rPr>
          <w:rFonts w:ascii="Arial" w:hAnsi="Arial" w:cs="Arial"/>
        </w:rPr>
      </w:pPr>
    </w:p>
    <w:p w14:paraId="59226170" w14:textId="77777777" w:rsidR="001A3E86" w:rsidRPr="00A74C35" w:rsidRDefault="001A3E86" w:rsidP="001A3E86">
      <w:pPr>
        <w:pStyle w:val="BodyText"/>
        <w:spacing w:after="0" w:line="240" w:lineRule="auto"/>
        <w:ind w:left="567" w:right="567"/>
        <w:jc w:val="both"/>
        <w:rPr>
          <w:rFonts w:ascii="Times New Roman" w:hAnsi="Times New Roman" w:cs="Times New Roman"/>
          <w:sz w:val="24"/>
          <w:szCs w:val="24"/>
          <w:lang w:val="es-MX"/>
        </w:rPr>
      </w:pPr>
      <w:r w:rsidRPr="00A74C35">
        <w:rPr>
          <w:rFonts w:ascii="Times New Roman" w:hAnsi="Times New Roman" w:cs="Times New Roman"/>
          <w:lang w:val="es-MX"/>
        </w:rPr>
        <w:t>Los indígenas del norte del continente americano no tenían, quizás por el clima, la variedad de opciones enteogénicas de sus hermanos mexicanos o centroamericanos o suramericanos.</w:t>
      </w:r>
      <w:r>
        <w:rPr>
          <w:rFonts w:ascii="Times New Roman" w:hAnsi="Times New Roman" w:cs="Times New Roman"/>
          <w:lang w:val="es-MX"/>
        </w:rPr>
        <w:t xml:space="preserve"> (</w:t>
      </w:r>
      <w:r w:rsidRPr="00A74C35">
        <w:rPr>
          <w:rFonts w:ascii="Times New Roman" w:hAnsi="Times New Roman" w:cs="Times New Roman"/>
          <w:lang w:val="es-MX"/>
        </w:rPr>
        <w:t>p. 5)</w:t>
      </w:r>
    </w:p>
    <w:p w14:paraId="1700F542" w14:textId="77777777" w:rsidR="001A3E86" w:rsidRPr="00DD2179" w:rsidRDefault="001A3E86" w:rsidP="001A3E86">
      <w:pPr>
        <w:pStyle w:val="BodyText"/>
        <w:spacing w:after="0" w:line="360" w:lineRule="auto"/>
        <w:jc w:val="both"/>
        <w:rPr>
          <w:rFonts w:ascii="Arial" w:hAnsi="Arial" w:cs="Arial"/>
          <w:sz w:val="24"/>
          <w:szCs w:val="24"/>
          <w:lang w:val="es-MX"/>
        </w:rPr>
      </w:pPr>
    </w:p>
    <w:p w14:paraId="1ACDAA37" w14:textId="77777777" w:rsidR="001A3E86" w:rsidRPr="00A74C35" w:rsidRDefault="001A3E86" w:rsidP="001A3E86">
      <w:pPr>
        <w:pStyle w:val="BodyText"/>
        <w:spacing w:after="0" w:line="360" w:lineRule="auto"/>
        <w:ind w:firstLine="720"/>
        <w:jc w:val="both"/>
        <w:rPr>
          <w:rFonts w:ascii="Times New Roman" w:hAnsi="Times New Roman" w:cs="Times New Roman"/>
          <w:sz w:val="24"/>
          <w:szCs w:val="24"/>
          <w:lang w:val="es-MX"/>
        </w:rPr>
      </w:pPr>
      <w:r w:rsidRPr="00A74C35">
        <w:rPr>
          <w:rFonts w:ascii="Times New Roman" w:hAnsi="Times New Roman" w:cs="Times New Roman"/>
          <w:sz w:val="24"/>
          <w:szCs w:val="24"/>
          <w:lang w:val="es-MX"/>
        </w:rPr>
        <w:t>Perspectiva que debería justificar con mayor medida la necesidad de aprovechar esa posición de privilegio y promover la evolución de Latinoamérica como potencia en este campo de estudio etnopsicofarmacológico. Siendo además destacada la región por una vasta herencia espiritual, que ha estado en muchos casos ligada a las plantas enteógenas. La relevancia de la relación entre religión y botánica se encuentra desde Pokorny (1970)</w:t>
      </w:r>
      <w:r w:rsidRPr="004F609D">
        <w:rPr>
          <w:rFonts w:ascii="Times New Roman" w:hAnsi="Times New Roman" w:cs="Times New Roman"/>
          <w:sz w:val="24"/>
          <w:szCs w:val="24"/>
          <w:lang w:val="es-CR"/>
        </w:rPr>
        <w:t>,</w:t>
      </w:r>
      <w:r w:rsidRPr="00A74C35">
        <w:rPr>
          <w:rFonts w:ascii="Times New Roman" w:hAnsi="Times New Roman" w:cs="Times New Roman"/>
          <w:sz w:val="24"/>
          <w:szCs w:val="24"/>
          <w:lang w:val="es-MX"/>
        </w:rPr>
        <w:t xml:space="preserve"> citado por Quirce</w:t>
      </w:r>
      <w:r>
        <w:rPr>
          <w:rFonts w:ascii="Times New Roman" w:hAnsi="Times New Roman" w:cs="Times New Roman"/>
          <w:sz w:val="24"/>
          <w:szCs w:val="24"/>
          <w:lang w:val="es-MX"/>
        </w:rPr>
        <w:t>-Balma y Maickel (2009), donde se resalta</w:t>
      </w:r>
      <w:r w:rsidRPr="00A74C35">
        <w:rPr>
          <w:rFonts w:ascii="Times New Roman" w:hAnsi="Times New Roman" w:cs="Times New Roman"/>
          <w:sz w:val="24"/>
          <w:szCs w:val="24"/>
          <w:lang w:val="es-MX"/>
        </w:rPr>
        <w:t xml:space="preserve"> un antiguo vínculo entre el quehacer religioso y el chamánico, </w:t>
      </w:r>
      <w:r>
        <w:rPr>
          <w:rFonts w:ascii="Times New Roman" w:hAnsi="Times New Roman" w:cs="Times New Roman"/>
          <w:sz w:val="24"/>
          <w:szCs w:val="24"/>
          <w:lang w:val="es-MX"/>
        </w:rPr>
        <w:t>que data desde épocas paleolíticas</w:t>
      </w:r>
      <w:r w:rsidRPr="00A74C35">
        <w:rPr>
          <w:rFonts w:ascii="Times New Roman" w:hAnsi="Times New Roman" w:cs="Times New Roman"/>
          <w:sz w:val="24"/>
          <w:szCs w:val="24"/>
          <w:lang w:val="es-MX"/>
        </w:rPr>
        <w:t xml:space="preserve">. </w:t>
      </w:r>
    </w:p>
    <w:p w14:paraId="5F07AD29" w14:textId="77777777" w:rsidR="001A3E86" w:rsidRPr="00A74C35" w:rsidRDefault="001A3E86" w:rsidP="001A3E86">
      <w:pPr>
        <w:pStyle w:val="NoSpacing"/>
        <w:spacing w:line="360" w:lineRule="auto"/>
        <w:ind w:firstLine="567"/>
        <w:jc w:val="both"/>
        <w:rPr>
          <w:rFonts w:ascii="Times New Roman" w:hAnsi="Times New Roman" w:cs="Times New Roman"/>
          <w:sz w:val="24"/>
          <w:szCs w:val="24"/>
          <w:lang w:val="es-MX"/>
        </w:rPr>
      </w:pPr>
      <w:r w:rsidRPr="00A74C35">
        <w:rPr>
          <w:rFonts w:ascii="Times New Roman" w:hAnsi="Times New Roman" w:cs="Times New Roman"/>
          <w:sz w:val="24"/>
          <w:szCs w:val="24"/>
          <w:lang w:val="es-MX"/>
        </w:rPr>
        <w:t>La etnopsicofarmacología en Quirce-Balma, con su orientación hacia la experiencia individual desde la ontopraxis y su proposición de un Milieu teológico, que conduzca a una sociedad latinoamericana más próspera, pretenden ser los primeros pasos de una teología latinoamericana liberadora que considere la espiritualidad originada por psicofármacos.</w:t>
      </w:r>
    </w:p>
    <w:p w14:paraId="448AEC0A"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r w:rsidRPr="00A74C35">
        <w:rPr>
          <w:rFonts w:ascii="Times New Roman" w:hAnsi="Times New Roman" w:cs="Times New Roman"/>
          <w:sz w:val="24"/>
          <w:szCs w:val="24"/>
          <w:lang w:val="es-MX"/>
        </w:rPr>
        <w:t>En este sentido, se propone una reflexión teológica que se distancia de líneas tradicionales teológicas y de las ciencias de la religión. Se trata así de una investigación documental</w:t>
      </w:r>
      <w:r w:rsidRPr="004F609D">
        <w:rPr>
          <w:rFonts w:ascii="Times New Roman" w:hAnsi="Times New Roman" w:cs="Times New Roman"/>
          <w:sz w:val="24"/>
          <w:szCs w:val="24"/>
          <w:lang w:val="es-CR"/>
        </w:rPr>
        <w:t xml:space="preserve"> entendida como aquella que destaca la búsqueda de documentos y bibliografías, su caracterización, cuestionamiento, crítica, verificación e identificación en pro de la determinación de su pertinencia, veracidad, función, y rango de alcance (Gallardo, 2013).</w:t>
      </w:r>
    </w:p>
    <w:p w14:paraId="208E15EC" w14:textId="77777777" w:rsidR="001A3E86" w:rsidRPr="00A74C35" w:rsidRDefault="001A3E86" w:rsidP="001A3E86">
      <w:pPr>
        <w:pStyle w:val="NoSpacing"/>
        <w:spacing w:line="360" w:lineRule="auto"/>
        <w:ind w:firstLine="567"/>
        <w:jc w:val="both"/>
        <w:rPr>
          <w:rFonts w:ascii="Times New Roman" w:hAnsi="Times New Roman" w:cs="Times New Roman"/>
          <w:sz w:val="24"/>
          <w:szCs w:val="24"/>
          <w:lang w:val="es-MX"/>
        </w:rPr>
      </w:pPr>
      <w:r w:rsidRPr="004F609D">
        <w:rPr>
          <w:rFonts w:ascii="Times New Roman" w:hAnsi="Times New Roman" w:cs="Times New Roman"/>
          <w:sz w:val="24"/>
          <w:szCs w:val="24"/>
          <w:lang w:val="es-CR"/>
        </w:rPr>
        <w:t>Meta coherente con el Milieu teológico propuesto por Quirce-Balma:</w:t>
      </w:r>
    </w:p>
    <w:p w14:paraId="05EBD3DB" w14:textId="77777777" w:rsidR="001A3E86" w:rsidRPr="004F609D" w:rsidRDefault="001A3E86" w:rsidP="001A3E86">
      <w:pPr>
        <w:spacing w:after="0" w:line="360" w:lineRule="auto"/>
        <w:ind w:right="-496"/>
        <w:jc w:val="both"/>
        <w:rPr>
          <w:rFonts w:ascii="Arial" w:hAnsi="Arial" w:cs="Arial"/>
          <w:sz w:val="24"/>
          <w:szCs w:val="24"/>
          <w:lang w:val="es-CR"/>
        </w:rPr>
      </w:pPr>
    </w:p>
    <w:p w14:paraId="432B3939" w14:textId="77777777" w:rsidR="001A3E86" w:rsidRPr="004F609D" w:rsidRDefault="001A3E86" w:rsidP="001A3E86">
      <w:pPr>
        <w:spacing w:after="0" w:line="240" w:lineRule="auto"/>
        <w:ind w:left="567" w:right="567"/>
        <w:jc w:val="both"/>
        <w:rPr>
          <w:rFonts w:ascii="Times New Roman" w:hAnsi="Times New Roman" w:cs="Times New Roman"/>
          <w:lang w:val="es-CR"/>
        </w:rPr>
      </w:pPr>
      <w:r w:rsidRPr="004F609D">
        <w:rPr>
          <w:rFonts w:ascii="Times New Roman" w:hAnsi="Times New Roman" w:cs="Times New Roman"/>
          <w:lang w:val="es-CR"/>
        </w:rPr>
        <w:t xml:space="preserve">El punto fundamental de todo esto es que una época materialista está siempre orientada a afectar el cuestionamiento de la validez de la vida y una época teológica no lo está. El nihilismo fraguado en la época empresarial intenta reducir los tiempos y espacios teológicos del ser humano, al establecer lo mudo en sustitución a la conversación viva del hombre para con Dios. El milieu materialista de una forma o de la otra llevará siempre a las personas a una soledad tremenda.” “El milieu teológico permite conversar sobre nuestra existencia y su propósito y no meramente aceptar lo existente como lo irreversible sin cuestionamiento o trascendencia.” Si el milieu materialista nos aísla con soledad, el milieu teológico nos une en esperanza. El milieu teológico como época que glorifica al hombre y a su relación con Dios, crea personas más sanas y equilibradas que las épocas materialistas. (Quirce-Balma, C., </w:t>
      </w:r>
      <w:r w:rsidRPr="004F609D">
        <w:rPr>
          <w:rStyle w:val="created"/>
          <w:rFonts w:ascii="Times New Roman" w:hAnsi="Times New Roman" w:cs="Times New Roman"/>
          <w:lang w:val="es-CR"/>
        </w:rPr>
        <w:t>2 de agosto de 2011)</w:t>
      </w:r>
    </w:p>
    <w:p w14:paraId="6C3F102D" w14:textId="77777777" w:rsidR="001A3E86" w:rsidRPr="00A74C35" w:rsidRDefault="001A3E86" w:rsidP="001A3E86">
      <w:pPr>
        <w:spacing w:line="360" w:lineRule="auto"/>
        <w:jc w:val="both"/>
        <w:rPr>
          <w:rFonts w:ascii="Times New Roman" w:hAnsi="Times New Roman" w:cs="Times New Roman"/>
          <w:sz w:val="24"/>
          <w:szCs w:val="24"/>
          <w:lang w:val="es-CR"/>
        </w:rPr>
      </w:pPr>
    </w:p>
    <w:p w14:paraId="4A5C91B2" w14:textId="77777777" w:rsidR="001A3E86" w:rsidRPr="00A74C35" w:rsidRDefault="001A3E86" w:rsidP="001A3E86">
      <w:pPr>
        <w:pStyle w:val="Heading2"/>
        <w:jc w:val="both"/>
        <w:rPr>
          <w:rFonts w:ascii="Times New Roman" w:hAnsi="Times New Roman"/>
          <w:color w:val="auto"/>
          <w:sz w:val="24"/>
          <w:szCs w:val="24"/>
        </w:rPr>
      </w:pPr>
      <w:bookmarkStart w:id="6" w:name="_Toc474090207"/>
      <w:r w:rsidRPr="00A74C35">
        <w:rPr>
          <w:rFonts w:ascii="Times New Roman" w:hAnsi="Times New Roman"/>
          <w:color w:val="auto"/>
          <w:sz w:val="24"/>
          <w:szCs w:val="24"/>
        </w:rPr>
        <w:t>iii. Antecedentes</w:t>
      </w:r>
      <w:bookmarkEnd w:id="6"/>
    </w:p>
    <w:p w14:paraId="5C4E4389" w14:textId="77777777" w:rsidR="001A3E86" w:rsidRPr="00A87FBE" w:rsidRDefault="001A3E86" w:rsidP="001A3E86">
      <w:pPr>
        <w:spacing w:line="360" w:lineRule="auto"/>
        <w:rPr>
          <w:lang w:val="es-CR"/>
        </w:rPr>
      </w:pPr>
    </w:p>
    <w:p w14:paraId="4181D1DC"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En el caso de la presente investigación es sencillo hacer un seguimiento que lleve al antecedente de su concepción. Consiste en el trabajo que se coordinara con el Doctor Quirce-Balma en años anteriores, culminando en la publicación de un artículo en el año 2012. Artículo donde se comparan los aportes de Teilhard de Chardin y Quirce-Balma. Se Resaltan sus propuestas teóricas para solucionar los problemas de la cultura actual (Vargas-Carranza, 2013).</w:t>
      </w:r>
    </w:p>
    <w:p w14:paraId="2C5CBEC3" w14:textId="77777777" w:rsidR="001A3E86" w:rsidRPr="00A74C35"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Seguidamente</w:t>
      </w:r>
      <w:r w:rsidRPr="00A74C35">
        <w:rPr>
          <w:rFonts w:ascii="Times New Roman" w:hAnsi="Times New Roman" w:cs="Times New Roman"/>
          <w:sz w:val="24"/>
          <w:szCs w:val="24"/>
          <w:lang w:val="es-CR"/>
        </w:rPr>
        <w:t xml:space="preserve">, se abordan los estudios nacionales e internacionales sobre el tema en estudio. Las investigaciones presentadas aquí se refieren en su mayoría a aspectos en relación con la teología, los Estados Alterados de Conciencia (EAC) y la espiritualidad; así como la etnopsicofarmacología, la psicología y la religión. </w:t>
      </w:r>
      <w:r>
        <w:rPr>
          <w:rFonts w:ascii="Times New Roman" w:hAnsi="Times New Roman" w:cs="Times New Roman"/>
          <w:sz w:val="24"/>
          <w:szCs w:val="24"/>
          <w:lang w:val="es-CR"/>
        </w:rPr>
        <w:t>Se pretende</w:t>
      </w:r>
      <w:r w:rsidRPr="00A74C35">
        <w:rPr>
          <w:rFonts w:ascii="Times New Roman" w:hAnsi="Times New Roman" w:cs="Times New Roman"/>
          <w:sz w:val="24"/>
          <w:szCs w:val="24"/>
          <w:lang w:val="es-CR"/>
        </w:rPr>
        <w:t xml:space="preserve"> responder a las preguntas: ¿qué se ha hecho en teología y qué se ha hecho en otras disciplinas?, y ¿qué se ha hecho en teología y qué no se ha hecho?</w:t>
      </w:r>
    </w:p>
    <w:p w14:paraId="7D0F1082" w14:textId="77777777" w:rsidR="001A3E86" w:rsidRPr="00A74C35" w:rsidRDefault="001A3E86" w:rsidP="001A3E86">
      <w:pPr>
        <w:pStyle w:val="Heading3"/>
        <w:numPr>
          <w:ilvl w:val="0"/>
          <w:numId w:val="6"/>
        </w:numPr>
        <w:jc w:val="both"/>
        <w:rPr>
          <w:rFonts w:ascii="Times New Roman" w:hAnsi="Times New Roman"/>
          <w:sz w:val="24"/>
          <w:szCs w:val="24"/>
        </w:rPr>
      </w:pPr>
      <w:bookmarkStart w:id="7" w:name="_Toc474090208"/>
      <w:r w:rsidRPr="00A74C35">
        <w:rPr>
          <w:rFonts w:ascii="Times New Roman" w:hAnsi="Times New Roman"/>
          <w:sz w:val="24"/>
          <w:szCs w:val="24"/>
        </w:rPr>
        <w:t>Directos.</w:t>
      </w:r>
      <w:bookmarkEnd w:id="7"/>
    </w:p>
    <w:p w14:paraId="45F94AFB" w14:textId="77777777" w:rsidR="001A3E86" w:rsidRPr="0036116D" w:rsidRDefault="001A3E86" w:rsidP="001A3E86">
      <w:pPr>
        <w:pStyle w:val="NoSpacing"/>
        <w:spacing w:line="360" w:lineRule="auto"/>
        <w:ind w:firstLine="720"/>
        <w:jc w:val="both"/>
        <w:rPr>
          <w:rFonts w:ascii="Times New Roman" w:hAnsi="Times New Roman" w:cs="Times New Roman"/>
          <w:sz w:val="24"/>
          <w:szCs w:val="24"/>
          <w:lang w:val="es-CR"/>
        </w:rPr>
      </w:pPr>
      <w:r w:rsidRPr="0036116D">
        <w:rPr>
          <w:rFonts w:ascii="Times New Roman" w:hAnsi="Times New Roman" w:cs="Times New Roman"/>
          <w:sz w:val="24"/>
          <w:szCs w:val="24"/>
          <w:lang w:val="es-CR"/>
        </w:rPr>
        <w:t xml:space="preserve">De forma directa, cabe destacar una entrevista </w:t>
      </w:r>
      <w:r w:rsidRPr="0036116D">
        <w:rPr>
          <w:rFonts w:ascii="Times New Roman" w:hAnsi="Times New Roman" w:cs="Times New Roman"/>
          <w:i/>
          <w:sz w:val="24"/>
          <w:szCs w:val="24"/>
          <w:lang w:val="es-CR"/>
        </w:rPr>
        <w:t>Sobre el pensamiento de Teilhard de Chardin</w:t>
      </w:r>
      <w:r w:rsidRPr="0036116D">
        <w:rPr>
          <w:rFonts w:ascii="Times New Roman" w:hAnsi="Times New Roman" w:cs="Times New Roman"/>
          <w:sz w:val="24"/>
          <w:szCs w:val="24"/>
          <w:lang w:val="es-CR"/>
        </w:rPr>
        <w:t xml:space="preserve">, </w:t>
      </w:r>
      <w:r>
        <w:rPr>
          <w:rFonts w:ascii="Times New Roman" w:hAnsi="Times New Roman" w:cs="Times New Roman"/>
          <w:sz w:val="24"/>
          <w:szCs w:val="24"/>
          <w:lang w:val="es-CR"/>
        </w:rPr>
        <w:t xml:space="preserve">que realizó el proponente a Quirce-Balma </w:t>
      </w:r>
      <w:r w:rsidRPr="0036116D">
        <w:rPr>
          <w:rFonts w:ascii="Times New Roman" w:hAnsi="Times New Roman" w:cs="Times New Roman"/>
          <w:sz w:val="24"/>
          <w:szCs w:val="24"/>
          <w:lang w:val="es-CR"/>
        </w:rPr>
        <w:t xml:space="preserve">el 11 de setiembre de 2011 en el Laboratorio de Estrés y Neuropsicofarmacología de la Facultad de Farmacia de la Universidad de Costa Rica, en la que destaca el papel de los estados propiciados por la meditación y la farmacología para establecer una conexión con lo trascendente, ello desde un diálogo entre la ciencia y la religión. En esta línea se encuentra el indicado artículo, </w:t>
      </w:r>
      <w:r w:rsidRPr="0036116D">
        <w:rPr>
          <w:rFonts w:ascii="Times New Roman" w:hAnsi="Times New Roman" w:cs="Times New Roman"/>
          <w:sz w:val="24"/>
          <w:szCs w:val="24"/>
          <w:lang w:val="es-CR"/>
        </w:rPr>
        <w:lastRenderedPageBreak/>
        <w:t xml:space="preserve">también del proponente, con el título </w:t>
      </w:r>
      <w:r w:rsidRPr="0036116D">
        <w:rPr>
          <w:rFonts w:ascii="Times New Roman" w:hAnsi="Times New Roman" w:cs="Times New Roman"/>
          <w:i/>
          <w:sz w:val="24"/>
          <w:szCs w:val="24"/>
          <w:lang w:val="es-CR"/>
        </w:rPr>
        <w:t>Los aportes de la pneumociencia de Teilhard de Chardin y de Quirce-Balma para el actual problema de desespiritualización vivido en Occidente</w:t>
      </w:r>
      <w:r>
        <w:rPr>
          <w:rFonts w:ascii="Times New Roman" w:hAnsi="Times New Roman" w:cs="Times New Roman"/>
          <w:i/>
          <w:sz w:val="24"/>
          <w:szCs w:val="24"/>
          <w:lang w:val="es-CR"/>
        </w:rPr>
        <w:t xml:space="preserve"> </w:t>
      </w:r>
      <w:r>
        <w:rPr>
          <w:rFonts w:ascii="Times New Roman" w:hAnsi="Times New Roman" w:cs="Times New Roman"/>
          <w:sz w:val="24"/>
          <w:szCs w:val="24"/>
          <w:lang w:val="es-CR"/>
        </w:rPr>
        <w:t>(2012)</w:t>
      </w:r>
      <w:r w:rsidRPr="0036116D">
        <w:rPr>
          <w:rFonts w:ascii="Times New Roman" w:hAnsi="Times New Roman" w:cs="Times New Roman"/>
          <w:sz w:val="24"/>
          <w:szCs w:val="24"/>
          <w:lang w:val="es-CR"/>
        </w:rPr>
        <w:t>, publicado en la Revista Siwô de la Escuela de Teología de la Universidad Nacional, en el que se sostiene, desde la continuidad del pensamiento teilhardiano en la obra de Quirce</w:t>
      </w:r>
      <w:r>
        <w:rPr>
          <w:rFonts w:ascii="Times New Roman" w:hAnsi="Times New Roman" w:cs="Times New Roman"/>
          <w:sz w:val="24"/>
          <w:szCs w:val="24"/>
          <w:lang w:val="es-CR"/>
        </w:rPr>
        <w:t>-</w:t>
      </w:r>
      <w:r w:rsidRPr="0036116D">
        <w:rPr>
          <w:rFonts w:ascii="Times New Roman" w:hAnsi="Times New Roman" w:cs="Times New Roman"/>
          <w:sz w:val="24"/>
          <w:szCs w:val="24"/>
          <w:lang w:val="es-CR"/>
        </w:rPr>
        <w:t xml:space="preserve">Balma, la necesidad histórica de llegar a un Milieu teológico caracterizado por los EAC. </w:t>
      </w:r>
    </w:p>
    <w:p w14:paraId="07BE4D7D" w14:textId="77777777" w:rsidR="001A3E86" w:rsidRPr="0036116D" w:rsidRDefault="001A3E86" w:rsidP="001A3E86">
      <w:pPr>
        <w:pStyle w:val="NoSpacing"/>
        <w:spacing w:line="360" w:lineRule="auto"/>
        <w:ind w:firstLine="720"/>
        <w:jc w:val="both"/>
        <w:rPr>
          <w:rFonts w:ascii="Times New Roman" w:hAnsi="Times New Roman" w:cs="Times New Roman"/>
          <w:sz w:val="24"/>
          <w:szCs w:val="24"/>
          <w:lang w:val="es-CR"/>
        </w:rPr>
      </w:pPr>
      <w:r w:rsidRPr="0036116D">
        <w:rPr>
          <w:rFonts w:ascii="Times New Roman" w:hAnsi="Times New Roman" w:cs="Times New Roman"/>
          <w:sz w:val="24"/>
          <w:szCs w:val="24"/>
          <w:lang w:val="es-CR"/>
        </w:rPr>
        <w:t>También destaca un artículo del investigador José Manu</w:t>
      </w:r>
      <w:r>
        <w:rPr>
          <w:rFonts w:ascii="Times New Roman" w:hAnsi="Times New Roman" w:cs="Times New Roman"/>
          <w:sz w:val="24"/>
          <w:szCs w:val="24"/>
          <w:lang w:val="es-CR"/>
        </w:rPr>
        <w:t xml:space="preserve">el Rodríguez Arce, asistente de </w:t>
      </w:r>
      <w:r w:rsidRPr="0036116D">
        <w:rPr>
          <w:rFonts w:ascii="Times New Roman" w:hAnsi="Times New Roman" w:cs="Times New Roman"/>
          <w:sz w:val="24"/>
          <w:szCs w:val="24"/>
          <w:lang w:val="es-CR"/>
        </w:rPr>
        <w:t>Quirce-Balma</w:t>
      </w:r>
      <w:r>
        <w:rPr>
          <w:rFonts w:ascii="Times New Roman" w:hAnsi="Times New Roman" w:cs="Times New Roman"/>
          <w:sz w:val="24"/>
          <w:szCs w:val="24"/>
          <w:lang w:val="es-CR"/>
        </w:rPr>
        <w:t>, que inicia</w:t>
      </w:r>
      <w:r w:rsidRPr="0036116D">
        <w:rPr>
          <w:rFonts w:ascii="Times New Roman" w:hAnsi="Times New Roman" w:cs="Times New Roman"/>
          <w:sz w:val="24"/>
          <w:szCs w:val="24"/>
          <w:lang w:val="es-CR"/>
        </w:rPr>
        <w:t xml:space="preserve"> un estudio que culmina en la publicación de </w:t>
      </w:r>
      <w:r w:rsidRPr="0036116D">
        <w:rPr>
          <w:rFonts w:ascii="Times New Roman" w:hAnsi="Times New Roman" w:cs="Times New Roman"/>
          <w:i/>
          <w:sz w:val="24"/>
          <w:szCs w:val="24"/>
          <w:lang w:val="es-CR"/>
        </w:rPr>
        <w:t>Las plantas y los hongos alucinógenos: Reflexiones preliminares sobre su rol en la evolución huma</w:t>
      </w:r>
      <w:r>
        <w:rPr>
          <w:rFonts w:ascii="Times New Roman" w:hAnsi="Times New Roman" w:cs="Times New Roman"/>
          <w:i/>
          <w:sz w:val="24"/>
          <w:szCs w:val="24"/>
          <w:lang w:val="es-CR"/>
        </w:rPr>
        <w:t xml:space="preserve">na </w:t>
      </w:r>
      <w:r>
        <w:rPr>
          <w:rFonts w:ascii="Times New Roman" w:hAnsi="Times New Roman" w:cs="Times New Roman"/>
          <w:sz w:val="24"/>
          <w:szCs w:val="24"/>
          <w:lang w:val="es-CR"/>
        </w:rPr>
        <w:t>(2012)</w:t>
      </w:r>
      <w:r w:rsidRPr="0036116D">
        <w:rPr>
          <w:rFonts w:ascii="Times New Roman" w:hAnsi="Times New Roman" w:cs="Times New Roman"/>
          <w:sz w:val="24"/>
          <w:szCs w:val="24"/>
          <w:lang w:val="es-CR"/>
        </w:rPr>
        <w:t xml:space="preserve">, artículo publicado luego del fallecimiento de Quirce-Balma en la Revista Reflexiones de la Facultad de Ciencias Sociales de la Universidad de Costa Rica. </w:t>
      </w:r>
    </w:p>
    <w:p w14:paraId="2AAF60C5" w14:textId="77777777" w:rsidR="001A3E86" w:rsidRPr="0036116D" w:rsidRDefault="001A3E86" w:rsidP="001A3E86">
      <w:pPr>
        <w:pStyle w:val="Heading3"/>
        <w:numPr>
          <w:ilvl w:val="0"/>
          <w:numId w:val="6"/>
        </w:numPr>
        <w:jc w:val="both"/>
        <w:rPr>
          <w:rFonts w:ascii="Times New Roman" w:hAnsi="Times New Roman"/>
          <w:sz w:val="24"/>
          <w:szCs w:val="24"/>
          <w:lang w:val="es-CR"/>
        </w:rPr>
      </w:pPr>
      <w:bookmarkStart w:id="8" w:name="_Toc474090209"/>
      <w:r w:rsidRPr="0036116D">
        <w:rPr>
          <w:rFonts w:ascii="Times New Roman" w:hAnsi="Times New Roman"/>
          <w:sz w:val="24"/>
          <w:szCs w:val="24"/>
        </w:rPr>
        <w:t>Indirectos</w:t>
      </w:r>
      <w:r w:rsidRPr="0036116D">
        <w:rPr>
          <w:rFonts w:ascii="Times New Roman" w:hAnsi="Times New Roman"/>
          <w:sz w:val="24"/>
          <w:szCs w:val="24"/>
          <w:lang w:val="es-CR"/>
        </w:rPr>
        <w:t>.</w:t>
      </w:r>
      <w:bookmarkEnd w:id="8"/>
    </w:p>
    <w:p w14:paraId="25202D6D" w14:textId="77777777" w:rsidR="001A3E86" w:rsidRPr="0036116D" w:rsidRDefault="001A3E86" w:rsidP="001A3E86">
      <w:pPr>
        <w:pStyle w:val="NoSpacing"/>
        <w:spacing w:line="360" w:lineRule="auto"/>
        <w:ind w:firstLine="720"/>
        <w:jc w:val="both"/>
        <w:rPr>
          <w:rFonts w:ascii="Times New Roman" w:hAnsi="Times New Roman" w:cs="Times New Roman"/>
          <w:sz w:val="24"/>
          <w:szCs w:val="24"/>
          <w:lang w:val="es-CR"/>
        </w:rPr>
      </w:pPr>
      <w:r w:rsidRPr="0036116D">
        <w:rPr>
          <w:rFonts w:ascii="Times New Roman" w:hAnsi="Times New Roman" w:cs="Times New Roman"/>
          <w:sz w:val="24"/>
          <w:szCs w:val="24"/>
          <w:lang w:val="es-CR"/>
        </w:rPr>
        <w:t xml:space="preserve">De forma indirecta se ha aludido al objeto de estudio de Quirce-Balma por parte de Armando Robles Robles (2010) en su libro </w:t>
      </w:r>
      <w:r w:rsidRPr="0036116D">
        <w:rPr>
          <w:rFonts w:ascii="Times New Roman" w:hAnsi="Times New Roman" w:cs="Times New Roman"/>
          <w:i/>
          <w:sz w:val="24"/>
          <w:szCs w:val="24"/>
          <w:lang w:val="es-CR"/>
        </w:rPr>
        <w:t>Hombre y mujer de conocimiento. La propuesta de Juan Matus y Carlos Castañeda</w:t>
      </w:r>
      <w:r w:rsidRPr="0036116D">
        <w:rPr>
          <w:rFonts w:ascii="Times New Roman" w:hAnsi="Times New Roman" w:cs="Times New Roman"/>
          <w:sz w:val="24"/>
          <w:szCs w:val="24"/>
          <w:lang w:val="es-CR"/>
        </w:rPr>
        <w:t xml:space="preserve">, que presenta una espiritualidad laica que privilegia el espíritu vivido de forma experiencial. Ello de conformidad con los escritos de Carlos Castañeda, a través de los cuales el estudio se acerca al chamanismo de Juan Matus, en el que están presentes el consumo de fármacos botánicos y experiencias místicas. En la </w:t>
      </w:r>
      <w:r w:rsidRPr="0036116D">
        <w:rPr>
          <w:rFonts w:ascii="Times New Roman" w:eastAsia="Times New Roman" w:hAnsi="Times New Roman" w:cs="Times New Roman"/>
          <w:sz w:val="24"/>
          <w:szCs w:val="24"/>
          <w:lang w:val="es-CR" w:eastAsia="es-MX"/>
        </w:rPr>
        <w:t>propuesta que hace Carlos Castaneda se descubre que todo el legado cultural que siempre se buscó en Oriente, también se encuentra en Occidente.</w:t>
      </w:r>
    </w:p>
    <w:p w14:paraId="5E7B697D" w14:textId="77777777" w:rsidR="001A3E86" w:rsidRPr="0036116D"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MX"/>
        </w:rPr>
      </w:pPr>
      <w:r w:rsidRPr="0036116D">
        <w:rPr>
          <w:rFonts w:ascii="Times New Roman" w:eastAsia="Times New Roman" w:hAnsi="Times New Roman" w:cs="Times New Roman"/>
          <w:sz w:val="24"/>
          <w:szCs w:val="24"/>
          <w:lang w:val="es-CR" w:eastAsia="es-MX"/>
        </w:rPr>
        <w:t xml:space="preserve">El autor empieza por indicar que la propuesta de Castaneda es totalmente laica, y la define como la espiritualidad que se puede hacer hoy; una espiritualidad laica, pero no religiosa; y aunque la propuesta de Robles (2010) es amplia y profunda, es en su capítulo dos, acerca de la espiritualidad, donde se encuentra una relación de importancia con el tema tratado en la presente investigación. </w:t>
      </w:r>
    </w:p>
    <w:p w14:paraId="3F8AD7C5" w14:textId="77777777" w:rsidR="001A3E86" w:rsidRPr="0036116D"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MX"/>
        </w:rPr>
      </w:pPr>
      <w:r w:rsidRPr="0036116D">
        <w:rPr>
          <w:rFonts w:ascii="Times New Roman" w:eastAsia="Times New Roman" w:hAnsi="Times New Roman" w:cs="Times New Roman"/>
          <w:sz w:val="24"/>
          <w:szCs w:val="24"/>
          <w:lang w:val="es-CR" w:eastAsia="es-MX"/>
        </w:rPr>
        <w:t>La espiritualidad, según Robles (2010), retomando la propuesta desde Castaneda, implica la capacidad del humano de ser desinteresado y una desengocentración total del ser, esta espiritualidad no se confunde nunca con espiritualidades similares, “…es un fin en sí misma, nunca un medio…”  (p. 43).</w:t>
      </w:r>
    </w:p>
    <w:p w14:paraId="4C8487F8" w14:textId="77777777" w:rsidR="001A3E86" w:rsidRPr="0036116D"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MX"/>
        </w:rPr>
      </w:pPr>
      <w:r w:rsidRPr="0036116D">
        <w:rPr>
          <w:rFonts w:ascii="Times New Roman" w:eastAsia="Times New Roman" w:hAnsi="Times New Roman" w:cs="Times New Roman"/>
          <w:sz w:val="24"/>
          <w:szCs w:val="24"/>
          <w:lang w:val="es-CR" w:eastAsia="es-MX"/>
        </w:rPr>
        <w:t xml:space="preserve">Para Robles (2010) dos características importantes de este tipo de espiritualidad son lo inexpresable y lo laica. Además, justifica el interés en la propuesta de Castaneda por ser </w:t>
      </w:r>
      <w:r w:rsidRPr="0036116D">
        <w:rPr>
          <w:rFonts w:ascii="Times New Roman" w:eastAsia="Times New Roman" w:hAnsi="Times New Roman" w:cs="Times New Roman"/>
          <w:sz w:val="24"/>
          <w:szCs w:val="24"/>
          <w:lang w:val="es-CR" w:eastAsia="es-MX"/>
        </w:rPr>
        <w:lastRenderedPageBreak/>
        <w:t>una propuesta acorde con la</w:t>
      </w:r>
      <w:r>
        <w:rPr>
          <w:rFonts w:ascii="Times New Roman" w:eastAsia="Times New Roman" w:hAnsi="Times New Roman" w:cs="Times New Roman"/>
          <w:sz w:val="24"/>
          <w:szCs w:val="24"/>
          <w:lang w:val="es-CR" w:eastAsia="es-MX"/>
        </w:rPr>
        <w:t>s necesidades del ser humano</w:t>
      </w:r>
      <w:r w:rsidRPr="0036116D">
        <w:rPr>
          <w:rFonts w:ascii="Times New Roman" w:eastAsia="Times New Roman" w:hAnsi="Times New Roman" w:cs="Times New Roman"/>
          <w:sz w:val="24"/>
          <w:szCs w:val="24"/>
          <w:lang w:val="es-CR" w:eastAsia="es-MX"/>
        </w:rPr>
        <w:t xml:space="preserve"> de hoy, una propuesta </w:t>
      </w:r>
      <w:r>
        <w:rPr>
          <w:rFonts w:ascii="Times New Roman" w:eastAsia="Times New Roman" w:hAnsi="Times New Roman" w:cs="Times New Roman"/>
          <w:sz w:val="24"/>
          <w:szCs w:val="24"/>
          <w:lang w:val="es-CR" w:eastAsia="es-MX"/>
        </w:rPr>
        <w:t>de conocimiento</w:t>
      </w:r>
      <w:r w:rsidRPr="0036116D">
        <w:rPr>
          <w:rFonts w:ascii="Times New Roman" w:eastAsia="Times New Roman" w:hAnsi="Times New Roman" w:cs="Times New Roman"/>
          <w:sz w:val="24"/>
          <w:szCs w:val="24"/>
          <w:lang w:val="es-CR" w:eastAsia="es-MX"/>
        </w:rPr>
        <w:t>.</w:t>
      </w:r>
    </w:p>
    <w:p w14:paraId="1361020C" w14:textId="77777777" w:rsidR="001A3E86" w:rsidRPr="0036116D" w:rsidRDefault="001A3E86" w:rsidP="001A3E86">
      <w:pPr>
        <w:pStyle w:val="NoSpacing"/>
        <w:spacing w:line="360" w:lineRule="auto"/>
        <w:ind w:firstLine="720"/>
        <w:jc w:val="both"/>
        <w:rPr>
          <w:rFonts w:ascii="Times New Roman" w:hAnsi="Times New Roman" w:cs="Times New Roman"/>
          <w:sz w:val="24"/>
          <w:szCs w:val="24"/>
          <w:lang w:val="es-CR"/>
        </w:rPr>
      </w:pPr>
      <w:r w:rsidRPr="0036116D">
        <w:rPr>
          <w:rFonts w:ascii="Times New Roman" w:hAnsi="Times New Roman" w:cs="Times New Roman"/>
          <w:sz w:val="24"/>
          <w:szCs w:val="24"/>
          <w:lang w:val="es-CR"/>
        </w:rPr>
        <w:t xml:space="preserve">Si bien es cierto que se aborda el mismo objeto de Quirce-Balma, resulta en una aproximación que pondera una experiencia subjetiva enteogénica, distinta </w:t>
      </w:r>
      <w:r>
        <w:rPr>
          <w:rFonts w:ascii="Times New Roman" w:hAnsi="Times New Roman" w:cs="Times New Roman"/>
          <w:sz w:val="24"/>
          <w:szCs w:val="24"/>
          <w:lang w:val="es-CR"/>
        </w:rPr>
        <w:t>a la de Quirce-Balma que recurre</w:t>
      </w:r>
      <w:r w:rsidRPr="0036116D">
        <w:rPr>
          <w:rFonts w:ascii="Times New Roman" w:hAnsi="Times New Roman" w:cs="Times New Roman"/>
          <w:sz w:val="24"/>
          <w:szCs w:val="24"/>
          <w:lang w:val="es-CR"/>
        </w:rPr>
        <w:t xml:space="preserve"> a una instrumentalización de las ciencias exactas para estudiar y explicar la experiencia enteogénica en el cerebro.</w:t>
      </w:r>
    </w:p>
    <w:p w14:paraId="0B984EBE" w14:textId="77777777" w:rsidR="001A3E86" w:rsidRPr="0036116D" w:rsidRDefault="001A3E86" w:rsidP="001A3E86">
      <w:pPr>
        <w:pStyle w:val="NoSpacing"/>
        <w:spacing w:line="360" w:lineRule="auto"/>
        <w:ind w:firstLine="720"/>
        <w:jc w:val="both"/>
        <w:rPr>
          <w:rFonts w:ascii="Times New Roman" w:hAnsi="Times New Roman" w:cs="Times New Roman"/>
          <w:sz w:val="24"/>
          <w:szCs w:val="24"/>
          <w:lang w:val="es-CR"/>
        </w:rPr>
      </w:pPr>
      <w:r w:rsidRPr="0036116D">
        <w:rPr>
          <w:rFonts w:ascii="Times New Roman" w:hAnsi="Times New Roman" w:cs="Times New Roman"/>
          <w:sz w:val="24"/>
          <w:szCs w:val="24"/>
          <w:lang w:val="es-CR"/>
        </w:rPr>
        <w:t>También existe un acercamiento al fenómeno religioso desde una perspectiva p</w:t>
      </w:r>
      <w:r>
        <w:rPr>
          <w:rFonts w:ascii="Times New Roman" w:hAnsi="Times New Roman" w:cs="Times New Roman"/>
          <w:sz w:val="24"/>
          <w:szCs w:val="24"/>
          <w:lang w:val="es-CR"/>
        </w:rPr>
        <w:t>sicológica por parte de</w:t>
      </w:r>
      <w:r w:rsidRPr="0036116D">
        <w:rPr>
          <w:rFonts w:ascii="Times New Roman" w:hAnsi="Times New Roman" w:cs="Times New Roman"/>
          <w:sz w:val="24"/>
          <w:szCs w:val="24"/>
          <w:lang w:val="es-CR"/>
        </w:rPr>
        <w:t xml:space="preserve"> Tapia (1993), en su tesis de grado</w:t>
      </w:r>
      <w:r w:rsidRPr="0036116D">
        <w:rPr>
          <w:rFonts w:ascii="Times New Roman" w:hAnsi="Times New Roman" w:cs="Times New Roman"/>
          <w:i/>
          <w:sz w:val="24"/>
          <w:szCs w:val="24"/>
          <w:lang w:val="es-CR"/>
        </w:rPr>
        <w:t xml:space="preserve"> Psicología de la religión: aproximación teórica-reconstructiva a un modelo de investigación desde Costa Rica</w:t>
      </w:r>
      <w:r w:rsidRPr="0036116D">
        <w:rPr>
          <w:rFonts w:ascii="Times New Roman" w:hAnsi="Times New Roman" w:cs="Times New Roman"/>
          <w:sz w:val="24"/>
          <w:szCs w:val="24"/>
          <w:lang w:val="es-CR"/>
        </w:rPr>
        <w:t>, trabajo en el que el objeto es lo psicoreligioso desde las dimensiones numinosa-trascendente y sociopersonal. Particularmente la dimensión numinosa-trascendente no es concebida como un discurso sobre Dios (papel de la teología) o un discurso sobre la fundamentación última de la posibilidad de Dios (papel de la filosofía), sino como la vivencia psíquica de los sujetos en relación a Dios, a lo numinoso-trascendente, lo numinoso entendido como lo santo y lo sagrado, que supone una estructura fenómenica conformadora del psiquismo del sujeto. Si bien este último particular mantiene relación con el objeto de estudio de Quirce-Balma, lo cierto es que el análisis no entra en las particularidades biológicas del fenómeno desde la que Quirce-Balma extrae sus resultados.</w:t>
      </w:r>
    </w:p>
    <w:p w14:paraId="6D119454" w14:textId="77777777" w:rsidR="001A3E86" w:rsidRPr="0036116D" w:rsidRDefault="001A3E86" w:rsidP="001A3E86">
      <w:pPr>
        <w:pStyle w:val="NoSpacing"/>
        <w:spacing w:line="360" w:lineRule="auto"/>
        <w:ind w:firstLine="720"/>
        <w:jc w:val="both"/>
        <w:rPr>
          <w:rFonts w:ascii="Times New Roman" w:hAnsi="Times New Roman" w:cs="Times New Roman"/>
          <w:sz w:val="24"/>
          <w:szCs w:val="24"/>
          <w:lang w:val="es-CR"/>
        </w:rPr>
      </w:pPr>
      <w:r w:rsidRPr="0036116D">
        <w:rPr>
          <w:rFonts w:ascii="Times New Roman" w:hAnsi="Times New Roman" w:cs="Times New Roman"/>
          <w:sz w:val="24"/>
          <w:szCs w:val="24"/>
          <w:lang w:val="es-CR"/>
        </w:rPr>
        <w:t>En el campo de las ciencias cognitivas, en Costa R</w:t>
      </w:r>
      <w:r>
        <w:rPr>
          <w:rFonts w:ascii="Times New Roman" w:hAnsi="Times New Roman" w:cs="Times New Roman"/>
          <w:sz w:val="24"/>
          <w:szCs w:val="24"/>
          <w:lang w:val="es-CR"/>
        </w:rPr>
        <w:t>ica destaca el trabajo de Arce Arenales (2010), que</w:t>
      </w:r>
      <w:r w:rsidRPr="0036116D">
        <w:rPr>
          <w:rFonts w:ascii="Times New Roman" w:hAnsi="Times New Roman" w:cs="Times New Roman"/>
          <w:sz w:val="24"/>
          <w:szCs w:val="24"/>
          <w:lang w:val="es-CR"/>
        </w:rPr>
        <w:t xml:space="preserve"> en el artículo </w:t>
      </w:r>
      <w:r w:rsidRPr="0036116D">
        <w:rPr>
          <w:rFonts w:ascii="Times New Roman" w:hAnsi="Times New Roman" w:cs="Times New Roman"/>
          <w:i/>
          <w:sz w:val="24"/>
          <w:szCs w:val="24"/>
          <w:lang w:val="es-CR"/>
        </w:rPr>
        <w:t>Algunos principios de la Teoría de Dinámica de Tropas</w:t>
      </w:r>
      <w:r w:rsidRPr="0036116D">
        <w:rPr>
          <w:rFonts w:ascii="Times New Roman" w:hAnsi="Times New Roman" w:cs="Times New Roman"/>
          <w:sz w:val="24"/>
          <w:szCs w:val="24"/>
          <w:lang w:val="es-CR"/>
        </w:rPr>
        <w:t>, alude desde esta teoría gestada por él a la religión y al idioma como características subsecuentes de una Hiper Tropa, en donde grandes poblaciones tuvieron que recurrir a formas simbólicas cargada</w:t>
      </w:r>
      <w:r>
        <w:rPr>
          <w:rFonts w:ascii="Times New Roman" w:hAnsi="Times New Roman" w:cs="Times New Roman"/>
          <w:sz w:val="24"/>
          <w:szCs w:val="24"/>
          <w:lang w:val="es-CR"/>
        </w:rPr>
        <w:t>s afectivamente (emocionalmente)</w:t>
      </w:r>
      <w:r w:rsidRPr="0036116D">
        <w:rPr>
          <w:rFonts w:ascii="Times New Roman" w:hAnsi="Times New Roman" w:cs="Times New Roman"/>
          <w:sz w:val="24"/>
          <w:szCs w:val="24"/>
          <w:lang w:val="es-CR"/>
        </w:rPr>
        <w:t xml:space="preserve"> para sustituir la vida en tropa</w:t>
      </w:r>
      <w:r>
        <w:rPr>
          <w:rFonts w:ascii="Times New Roman" w:hAnsi="Times New Roman" w:cs="Times New Roman"/>
          <w:sz w:val="24"/>
          <w:szCs w:val="24"/>
          <w:lang w:val="es-CR"/>
        </w:rPr>
        <w:t>.</w:t>
      </w:r>
      <w:r w:rsidRPr="0036116D">
        <w:rPr>
          <w:rFonts w:ascii="Times New Roman" w:hAnsi="Times New Roman" w:cs="Times New Roman"/>
          <w:sz w:val="24"/>
          <w:szCs w:val="24"/>
          <w:lang w:val="es-CR"/>
        </w:rPr>
        <w:t xml:space="preserve"> También, este mismo autor abordara el fenómeno de la religión en La </w:t>
      </w:r>
      <w:r w:rsidRPr="0036116D">
        <w:rPr>
          <w:rFonts w:ascii="Times New Roman" w:hAnsi="Times New Roman" w:cs="Times New Roman"/>
          <w:i/>
          <w:sz w:val="24"/>
          <w:szCs w:val="24"/>
          <w:lang w:val="es-CR"/>
        </w:rPr>
        <w:t>Esfinge y el espejo, Occidente y sus orígenes</w:t>
      </w:r>
      <w:r>
        <w:rPr>
          <w:rFonts w:ascii="Times New Roman" w:hAnsi="Times New Roman" w:cs="Times New Roman"/>
          <w:i/>
          <w:sz w:val="24"/>
          <w:szCs w:val="24"/>
          <w:lang w:val="es-CR"/>
        </w:rPr>
        <w:t xml:space="preserve"> </w:t>
      </w:r>
      <w:r w:rsidRPr="00C25F93">
        <w:rPr>
          <w:rFonts w:ascii="Times New Roman" w:hAnsi="Times New Roman" w:cs="Times New Roman"/>
          <w:sz w:val="24"/>
          <w:szCs w:val="24"/>
          <w:lang w:val="es-CR"/>
        </w:rPr>
        <w:t>(2010)</w:t>
      </w:r>
      <w:r w:rsidRPr="0036116D">
        <w:rPr>
          <w:rFonts w:ascii="Times New Roman" w:hAnsi="Times New Roman" w:cs="Times New Roman"/>
          <w:sz w:val="24"/>
          <w:szCs w:val="24"/>
          <w:lang w:val="es-CR"/>
        </w:rPr>
        <w:t>, como una visión interpretativa desde Centroamérica sobre la cultura euroasiática occidental traslapada a América, especialmente en la p</w:t>
      </w:r>
      <w:r>
        <w:rPr>
          <w:rFonts w:ascii="Times New Roman" w:hAnsi="Times New Roman" w:cs="Times New Roman"/>
          <w:sz w:val="24"/>
          <w:szCs w:val="24"/>
          <w:lang w:val="es-CR"/>
        </w:rPr>
        <w:t>enínsula ibérica y la británica.</w:t>
      </w:r>
      <w:r w:rsidRPr="0036116D">
        <w:rPr>
          <w:rFonts w:ascii="Times New Roman" w:hAnsi="Times New Roman" w:cs="Times New Roman"/>
          <w:sz w:val="24"/>
          <w:szCs w:val="24"/>
          <w:lang w:val="es-CR"/>
        </w:rPr>
        <w:t xml:space="preserve"> </w:t>
      </w:r>
    </w:p>
    <w:p w14:paraId="56745B64" w14:textId="77777777" w:rsidR="001A3E86" w:rsidRPr="0036116D" w:rsidRDefault="001A3E86" w:rsidP="001A3E86">
      <w:pPr>
        <w:pStyle w:val="NoSpacing"/>
        <w:spacing w:line="360" w:lineRule="auto"/>
        <w:ind w:firstLine="720"/>
        <w:jc w:val="both"/>
        <w:rPr>
          <w:rFonts w:ascii="Times New Roman" w:hAnsi="Times New Roman" w:cs="Times New Roman"/>
          <w:sz w:val="24"/>
          <w:szCs w:val="24"/>
          <w:lang w:val="es-CR"/>
        </w:rPr>
      </w:pPr>
      <w:r w:rsidRPr="0036116D">
        <w:rPr>
          <w:rFonts w:ascii="Times New Roman" w:hAnsi="Times New Roman" w:cs="Times New Roman"/>
          <w:sz w:val="24"/>
          <w:szCs w:val="24"/>
          <w:lang w:val="es-CR"/>
        </w:rPr>
        <w:t xml:space="preserve">La etnopsicofarmacología de Quirce-Balma comparte con Arce-Arenales </w:t>
      </w:r>
      <w:r>
        <w:rPr>
          <w:rFonts w:ascii="Times New Roman" w:hAnsi="Times New Roman" w:cs="Times New Roman"/>
          <w:sz w:val="24"/>
          <w:szCs w:val="24"/>
          <w:lang w:val="es-CR"/>
        </w:rPr>
        <w:t xml:space="preserve">(2008) </w:t>
      </w:r>
      <w:r w:rsidRPr="0036116D">
        <w:rPr>
          <w:rFonts w:ascii="Times New Roman" w:hAnsi="Times New Roman" w:cs="Times New Roman"/>
          <w:sz w:val="24"/>
          <w:szCs w:val="24"/>
          <w:lang w:val="es-CR"/>
        </w:rPr>
        <w:t xml:space="preserve">el hecho de ser un pensamiento situado, en el contexto en que se desarrolla, aunque el abordaje de Quirce-Balma es diferente en cuanto a la interpretación del fenómeno </w:t>
      </w:r>
      <w:r w:rsidRPr="0036116D">
        <w:rPr>
          <w:rFonts w:ascii="Times New Roman" w:hAnsi="Times New Roman" w:cs="Times New Roman"/>
          <w:sz w:val="24"/>
          <w:szCs w:val="24"/>
          <w:lang w:val="es-CR"/>
        </w:rPr>
        <w:lastRenderedPageBreak/>
        <w:t>espiritual, que responde a la ontopraxis; mientras que Arce-Arenales, lo vincula a la Teoría Dinámica de Tropas o lo considera repensand</w:t>
      </w:r>
      <w:r>
        <w:rPr>
          <w:rFonts w:ascii="Times New Roman" w:hAnsi="Times New Roman" w:cs="Times New Roman"/>
          <w:sz w:val="24"/>
          <w:szCs w:val="24"/>
          <w:lang w:val="es-CR"/>
        </w:rPr>
        <w:t>o la historia.</w:t>
      </w:r>
    </w:p>
    <w:p w14:paraId="48E2F55A" w14:textId="77777777" w:rsidR="001A3E86" w:rsidRPr="0036116D" w:rsidRDefault="001A3E86" w:rsidP="001A3E86">
      <w:pPr>
        <w:pStyle w:val="NoSpacing"/>
        <w:spacing w:line="360" w:lineRule="auto"/>
        <w:ind w:firstLine="720"/>
        <w:jc w:val="both"/>
        <w:rPr>
          <w:rFonts w:ascii="Times New Roman" w:hAnsi="Times New Roman" w:cs="Times New Roman"/>
          <w:sz w:val="24"/>
          <w:szCs w:val="24"/>
          <w:lang w:val="es-CR"/>
        </w:rPr>
      </w:pPr>
      <w:r w:rsidRPr="0036116D">
        <w:rPr>
          <w:rFonts w:ascii="Times New Roman" w:hAnsi="Times New Roman" w:cs="Times New Roman"/>
          <w:sz w:val="24"/>
          <w:szCs w:val="24"/>
          <w:lang w:val="es-CR"/>
        </w:rPr>
        <w:t>Expuestos los antecedentes nacionales directos e indirectos, que recopilan la poca, pero importante información sobre el presente trabajo de investigación, se presentan a continuación los antecedentes internacionales.</w:t>
      </w:r>
    </w:p>
    <w:p w14:paraId="45EB585C" w14:textId="77777777" w:rsidR="001A3E86" w:rsidRPr="004F609D" w:rsidRDefault="001A3E86" w:rsidP="001A3E86">
      <w:pPr>
        <w:pStyle w:val="BodyText"/>
        <w:spacing w:after="0" w:line="360" w:lineRule="auto"/>
        <w:jc w:val="both"/>
        <w:rPr>
          <w:rFonts w:ascii="Arial" w:hAnsi="Arial" w:cs="Arial"/>
          <w:sz w:val="24"/>
          <w:szCs w:val="24"/>
          <w:lang w:val="es-CR"/>
        </w:rPr>
      </w:pPr>
    </w:p>
    <w:p w14:paraId="70A99304" w14:textId="77777777" w:rsidR="001A3E86" w:rsidRPr="0036116D" w:rsidRDefault="001A3E86" w:rsidP="001A3E86">
      <w:pPr>
        <w:pStyle w:val="Heading2"/>
        <w:jc w:val="both"/>
        <w:rPr>
          <w:rFonts w:ascii="Times New Roman" w:hAnsi="Times New Roman"/>
          <w:color w:val="auto"/>
          <w:sz w:val="24"/>
          <w:szCs w:val="24"/>
          <w:lang w:eastAsia="es-MX"/>
        </w:rPr>
      </w:pPr>
      <w:bookmarkStart w:id="9" w:name="_Toc474090210"/>
      <w:r w:rsidRPr="0036116D">
        <w:rPr>
          <w:rFonts w:ascii="Times New Roman" w:hAnsi="Times New Roman"/>
          <w:color w:val="auto"/>
          <w:sz w:val="24"/>
          <w:szCs w:val="24"/>
          <w:lang w:eastAsia="es-MX"/>
        </w:rPr>
        <w:t>b) Antecedentes internacionales</w:t>
      </w:r>
      <w:bookmarkEnd w:id="9"/>
    </w:p>
    <w:p w14:paraId="3479F93D" w14:textId="77777777" w:rsidR="001A3E86" w:rsidRPr="00A87FBE" w:rsidRDefault="001A3E86" w:rsidP="001A3E86">
      <w:pPr>
        <w:rPr>
          <w:lang w:val="es-CR" w:eastAsia="es-MX"/>
        </w:rPr>
      </w:pPr>
    </w:p>
    <w:p w14:paraId="465B6B82"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36116D">
        <w:rPr>
          <w:rFonts w:ascii="Times New Roman" w:hAnsi="Times New Roman" w:cs="Times New Roman"/>
          <w:sz w:val="24"/>
          <w:szCs w:val="24"/>
          <w:lang w:val="es-CR"/>
        </w:rPr>
        <w:t>A nivel internacional, la teología tradicional no ahonda en el carácter espiritual de las</w:t>
      </w:r>
      <w:r>
        <w:rPr>
          <w:rFonts w:ascii="Times New Roman" w:hAnsi="Times New Roman" w:cs="Times New Roman"/>
          <w:sz w:val="24"/>
          <w:szCs w:val="24"/>
          <w:lang w:val="es-CR"/>
        </w:rPr>
        <w:t xml:space="preserve"> sustancias psicoactivas, a principios del s. XXI</w:t>
      </w:r>
      <w:r w:rsidRPr="0036116D">
        <w:rPr>
          <w:rFonts w:ascii="Times New Roman" w:hAnsi="Times New Roman" w:cs="Times New Roman"/>
          <w:sz w:val="24"/>
          <w:szCs w:val="24"/>
          <w:lang w:val="es-CR"/>
        </w:rPr>
        <w:t xml:space="preserve"> la posición teológica respecto a las drogas es mayoritariamente negativa, asociada a la adicción y al narcotráfico</w:t>
      </w:r>
      <w:r>
        <w:rPr>
          <w:rFonts w:ascii="Times New Roman" w:hAnsi="Times New Roman" w:cs="Times New Roman"/>
          <w:sz w:val="24"/>
          <w:szCs w:val="24"/>
          <w:lang w:val="es-CR"/>
        </w:rPr>
        <w:t xml:space="preserve">, tal es el caso </w:t>
      </w:r>
      <w:r w:rsidRPr="0036116D">
        <w:rPr>
          <w:rFonts w:ascii="Times New Roman" w:hAnsi="Times New Roman" w:cs="Times New Roman"/>
          <w:sz w:val="24"/>
          <w:szCs w:val="24"/>
          <w:lang w:val="es-CR"/>
        </w:rPr>
        <w:t xml:space="preserve">del Manual católico </w:t>
      </w:r>
      <w:r w:rsidRPr="0036116D">
        <w:rPr>
          <w:rFonts w:ascii="Times New Roman" w:hAnsi="Times New Roman" w:cs="Times New Roman"/>
          <w:i/>
          <w:sz w:val="24"/>
          <w:szCs w:val="24"/>
          <w:lang w:val="es-CR"/>
        </w:rPr>
        <w:t xml:space="preserve">Iglesia, Droga y Toxicomanía </w:t>
      </w:r>
      <w:r w:rsidRPr="0036116D">
        <w:rPr>
          <w:rFonts w:ascii="Times New Roman" w:hAnsi="Times New Roman" w:cs="Times New Roman"/>
          <w:sz w:val="24"/>
          <w:szCs w:val="24"/>
          <w:lang w:val="es-CR"/>
        </w:rPr>
        <w:t>del Pontificio Consejo para</w:t>
      </w:r>
      <w:r>
        <w:rPr>
          <w:rFonts w:ascii="Times New Roman" w:hAnsi="Times New Roman" w:cs="Times New Roman"/>
          <w:sz w:val="24"/>
          <w:szCs w:val="24"/>
          <w:lang w:val="es-CR"/>
        </w:rPr>
        <w:t xml:space="preserve"> la Pastoral de la Salud (2001), que</w:t>
      </w:r>
      <w:r w:rsidRPr="0036116D">
        <w:rPr>
          <w:rFonts w:ascii="Times New Roman" w:hAnsi="Times New Roman" w:cs="Times New Roman"/>
          <w:sz w:val="24"/>
          <w:szCs w:val="24"/>
          <w:lang w:val="es-CR"/>
        </w:rPr>
        <w:t xml:space="preserve"> </w:t>
      </w:r>
      <w:r>
        <w:rPr>
          <w:rFonts w:ascii="Times New Roman" w:hAnsi="Times New Roman" w:cs="Times New Roman"/>
          <w:sz w:val="24"/>
          <w:szCs w:val="24"/>
          <w:lang w:val="es-CR"/>
        </w:rPr>
        <w:t>s</w:t>
      </w:r>
      <w:r w:rsidRPr="004F609D">
        <w:rPr>
          <w:rFonts w:ascii="Times New Roman" w:hAnsi="Times New Roman" w:cs="Times New Roman"/>
          <w:sz w:val="24"/>
          <w:szCs w:val="24"/>
          <w:lang w:val="es-CR"/>
        </w:rPr>
        <w:t>alvo escasas valoraciones teológicas, como la de Boff (2016), respecto a la eucaristía y la ayahuasca en la Doctrina de Santo Daime, indica lo siguiente:</w:t>
      </w:r>
    </w:p>
    <w:p w14:paraId="3C38259B" w14:textId="77777777" w:rsidR="001A3E86" w:rsidRPr="004F609D" w:rsidRDefault="001A3E86" w:rsidP="001A3E86">
      <w:pPr>
        <w:spacing w:after="0" w:line="360" w:lineRule="auto"/>
        <w:ind w:left="567" w:right="567"/>
        <w:jc w:val="both"/>
        <w:rPr>
          <w:rFonts w:ascii="Arial" w:hAnsi="Arial" w:cs="Arial"/>
          <w:sz w:val="24"/>
          <w:szCs w:val="24"/>
          <w:lang w:val="es-CR"/>
        </w:rPr>
      </w:pPr>
    </w:p>
    <w:p w14:paraId="51077ACF" w14:textId="77777777" w:rsidR="001A3E86" w:rsidRPr="00951EDB" w:rsidRDefault="001A3E86" w:rsidP="001A3E86">
      <w:pPr>
        <w:spacing w:after="0" w:line="240" w:lineRule="auto"/>
        <w:ind w:left="567" w:right="567"/>
        <w:jc w:val="both"/>
        <w:rPr>
          <w:rFonts w:ascii="Times New Roman" w:hAnsi="Times New Roman" w:cs="Times New Roman"/>
          <w:lang w:val="es-CR"/>
        </w:rPr>
      </w:pPr>
      <w:r w:rsidRPr="004F609D">
        <w:rPr>
          <w:rFonts w:ascii="Times New Roman" w:hAnsi="Times New Roman" w:cs="Times New Roman"/>
          <w:lang w:val="es-CR"/>
        </w:rPr>
        <w:t xml:space="preserve">Santo Daime es un camino espiritual nacido en Brasil a partir de los pueblos de la foresta amazónica. Es una creación en la cual confluyen muchos aportes, sea del cristianismo oficial, del cristianismo popular, de las creencias indígenas y de los pueblos mestizos de la región amazónica. En sus celebraciones toman Santo Daime. Lo toman ritualmente como nosotros cristianos tomamos el vino-sangre y el pan-cuerpo del Señor. No se trata de forma alguna de una droga, sino de una bevanda ritual. Y así debe de ser entendida. (s.p.) </w:t>
      </w:r>
    </w:p>
    <w:p w14:paraId="26FF2653" w14:textId="77777777" w:rsidR="001A3E86" w:rsidRDefault="001A3E86" w:rsidP="001A3E86">
      <w:pPr>
        <w:pStyle w:val="NoSpacing"/>
        <w:spacing w:line="360" w:lineRule="auto"/>
        <w:jc w:val="both"/>
        <w:rPr>
          <w:rFonts w:ascii="Times New Roman" w:hAnsi="Times New Roman" w:cs="Times New Roman"/>
          <w:sz w:val="24"/>
          <w:szCs w:val="24"/>
          <w:lang w:val="es-CR" w:eastAsia="es-MX"/>
        </w:rPr>
      </w:pPr>
    </w:p>
    <w:p w14:paraId="256E10CD"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 xml:space="preserve">Sin embargo, más allá de la teología, se encuentran numerosos estudios que guardan relación con </w:t>
      </w:r>
      <w:r>
        <w:rPr>
          <w:rFonts w:ascii="Times New Roman" w:hAnsi="Times New Roman" w:cs="Times New Roman"/>
          <w:sz w:val="24"/>
          <w:szCs w:val="24"/>
          <w:lang w:val="es-CR" w:eastAsia="es-MX"/>
        </w:rPr>
        <w:t>la presente investigación, entre ellos</w:t>
      </w:r>
      <w:r w:rsidRPr="00951EDB">
        <w:rPr>
          <w:rFonts w:ascii="Times New Roman" w:hAnsi="Times New Roman" w:cs="Times New Roman"/>
          <w:sz w:val="24"/>
          <w:szCs w:val="24"/>
          <w:lang w:val="es-CR" w:eastAsia="es-MX"/>
        </w:rPr>
        <w:t xml:space="preserve">: </w:t>
      </w:r>
    </w:p>
    <w:p w14:paraId="0A87495D" w14:textId="77777777" w:rsidR="001A3E86" w:rsidRDefault="001A3E86" w:rsidP="001A3E86">
      <w:pPr>
        <w:pStyle w:val="NoSpacing"/>
        <w:spacing w:line="360" w:lineRule="auto"/>
        <w:ind w:firstLine="720"/>
        <w:jc w:val="both"/>
        <w:rPr>
          <w:rFonts w:ascii="Times New Roman" w:hAnsi="Times New Roman" w:cs="Times New Roman"/>
          <w:sz w:val="24"/>
          <w:szCs w:val="24"/>
          <w:lang w:val="es-CR" w:eastAsia="es-MX"/>
        </w:rPr>
      </w:pPr>
    </w:p>
    <w:p w14:paraId="031633CE"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 xml:space="preserve">Winkelman (2004) propone que la neuroteología proporciona un importante enlace entre las perspectivas religiosas y científicas. </w:t>
      </w:r>
      <w:r w:rsidRPr="004F609D">
        <w:rPr>
          <w:rFonts w:ascii="Times New Roman" w:hAnsi="Times New Roman" w:cs="Times New Roman"/>
          <w:sz w:val="24"/>
          <w:szCs w:val="24"/>
          <w:lang w:val="es-CR" w:eastAsia="es-MX"/>
        </w:rPr>
        <w:t>S</w:t>
      </w:r>
      <w:r w:rsidRPr="00951EDB">
        <w:rPr>
          <w:rFonts w:ascii="Times New Roman" w:hAnsi="Times New Roman" w:cs="Times New Roman"/>
          <w:sz w:val="24"/>
          <w:szCs w:val="24"/>
          <w:lang w:val="es-CR" w:eastAsia="es-MX"/>
        </w:rPr>
        <w:t xml:space="preserve">in embargo, destaca que en esta práctica no se han </w:t>
      </w:r>
      <w:r>
        <w:rPr>
          <w:rFonts w:ascii="Times New Roman" w:hAnsi="Times New Roman" w:cs="Times New Roman"/>
          <w:sz w:val="24"/>
          <w:szCs w:val="24"/>
          <w:lang w:val="es-CR" w:eastAsia="es-MX"/>
        </w:rPr>
        <w:t>valorado lo suficiente</w:t>
      </w:r>
      <w:r w:rsidRPr="00951EDB">
        <w:rPr>
          <w:rFonts w:ascii="Times New Roman" w:hAnsi="Times New Roman" w:cs="Times New Roman"/>
          <w:sz w:val="24"/>
          <w:szCs w:val="24"/>
          <w:lang w:val="es-CR" w:eastAsia="es-MX"/>
        </w:rPr>
        <w:t xml:space="preserve"> las implicaciones de una forma de sanación primordial, como lo es la espiritual-chamánica.</w:t>
      </w:r>
    </w:p>
    <w:p w14:paraId="05CE1019"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Señala que el papel de las funciones cerebrales en las experiencias espirituales se ha puesto, cada vez más, en evidencia en diferente</w:t>
      </w:r>
      <w:r>
        <w:rPr>
          <w:rFonts w:ascii="Times New Roman" w:hAnsi="Times New Roman" w:cs="Times New Roman"/>
          <w:sz w:val="24"/>
          <w:szCs w:val="24"/>
          <w:lang w:val="es-CR" w:eastAsia="es-MX"/>
        </w:rPr>
        <w:t>s estudios alrededor del mundo.</w:t>
      </w:r>
      <w:r w:rsidRPr="00951EDB">
        <w:rPr>
          <w:rFonts w:ascii="Times New Roman" w:hAnsi="Times New Roman" w:cs="Times New Roman"/>
          <w:sz w:val="24"/>
          <w:szCs w:val="24"/>
          <w:lang w:val="es-CR" w:eastAsia="es-MX"/>
        </w:rPr>
        <w:t xml:space="preserve"> Los principios universales del chamanismo han puesto en la mira una serie de procesos neurológicos subyacentes y proporcionan una base para una teología evolutiva; además </w:t>
      </w:r>
      <w:r w:rsidRPr="00951EDB">
        <w:rPr>
          <w:rFonts w:ascii="Times New Roman" w:hAnsi="Times New Roman" w:cs="Times New Roman"/>
          <w:sz w:val="24"/>
          <w:szCs w:val="24"/>
          <w:lang w:val="es-CR" w:eastAsia="es-MX"/>
        </w:rPr>
        <w:lastRenderedPageBreak/>
        <w:t>revelan que enfoques del chamanismo como el animismo, el totemismo, el vuelo del alma, los espíritus animales, y la muerte-y-renacimiento, son todas experiencias que contienen operaciones cere</w:t>
      </w:r>
      <w:r>
        <w:rPr>
          <w:rFonts w:ascii="Times New Roman" w:hAnsi="Times New Roman" w:cs="Times New Roman"/>
          <w:sz w:val="24"/>
          <w:szCs w:val="24"/>
          <w:lang w:val="es-CR" w:eastAsia="es-MX"/>
        </w:rPr>
        <w:t>brales fundamentales (Winkelman,</w:t>
      </w:r>
      <w:r w:rsidRPr="00951EDB">
        <w:rPr>
          <w:rFonts w:ascii="Times New Roman" w:hAnsi="Times New Roman" w:cs="Times New Roman"/>
          <w:sz w:val="24"/>
          <w:szCs w:val="24"/>
          <w:lang w:val="es-CR" w:eastAsia="es-MX"/>
        </w:rPr>
        <w:t xml:space="preserve"> 2004).</w:t>
      </w:r>
    </w:p>
    <w:p w14:paraId="4D4C53A5"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Las terapias chamánicas implican mecanismos biológicos para la transformación de la salud de la persona, mejorando el placebo</w:t>
      </w:r>
      <w:r>
        <w:rPr>
          <w:rFonts w:ascii="Times New Roman" w:hAnsi="Times New Roman" w:cs="Times New Roman"/>
          <w:sz w:val="24"/>
          <w:szCs w:val="24"/>
          <w:lang w:val="es-CR" w:eastAsia="es-MX"/>
        </w:rPr>
        <w:t xml:space="preserve"> y otros efectos psicosomáticos;</w:t>
      </w:r>
      <w:r w:rsidRPr="00951EDB">
        <w:rPr>
          <w:rFonts w:ascii="Times New Roman" w:hAnsi="Times New Roman" w:cs="Times New Roman"/>
          <w:sz w:val="24"/>
          <w:szCs w:val="24"/>
          <w:lang w:val="es-CR" w:eastAsia="es-MX"/>
        </w:rPr>
        <w:t xml:space="preserve"> el chamanismo coloca las circunstancias del paciente dentro del más amplio contexto de la mitología cultural y manipula ritualmen</w:t>
      </w:r>
      <w:r>
        <w:rPr>
          <w:rFonts w:ascii="Times New Roman" w:hAnsi="Times New Roman" w:cs="Times New Roman"/>
          <w:sz w:val="24"/>
          <w:szCs w:val="24"/>
          <w:lang w:val="es-CR" w:eastAsia="es-MX"/>
        </w:rPr>
        <w:t>te las relaciones, que transforman</w:t>
      </w:r>
      <w:r w:rsidRPr="00951EDB">
        <w:rPr>
          <w:rFonts w:ascii="Times New Roman" w:hAnsi="Times New Roman" w:cs="Times New Roman"/>
          <w:sz w:val="24"/>
          <w:szCs w:val="24"/>
          <w:lang w:val="es-CR" w:eastAsia="es-MX"/>
        </w:rPr>
        <w:t xml:space="preserve"> emocionalmente al paciente; estos rituales en los que se manipulan las estructuras psicológicas y fisiológicas inconscientes, permiten a los curanderos chamánicos evocar respuestas cognitivas y emocionales que pueden llevar a cambios fisiol</w:t>
      </w:r>
      <w:r>
        <w:rPr>
          <w:rFonts w:ascii="Times New Roman" w:hAnsi="Times New Roman" w:cs="Times New Roman"/>
          <w:sz w:val="24"/>
          <w:szCs w:val="24"/>
          <w:lang w:val="es-CR" w:eastAsia="es-MX"/>
        </w:rPr>
        <w:t>ógicos en la persona (Winkelman,</w:t>
      </w:r>
      <w:r w:rsidRPr="00951EDB">
        <w:rPr>
          <w:rFonts w:ascii="Times New Roman" w:hAnsi="Times New Roman" w:cs="Times New Roman"/>
          <w:sz w:val="24"/>
          <w:szCs w:val="24"/>
          <w:lang w:val="es-CR" w:eastAsia="es-MX"/>
        </w:rPr>
        <w:t xml:space="preserve"> 2004).</w:t>
      </w:r>
    </w:p>
    <w:p w14:paraId="0431B322"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 xml:space="preserve">El autor describe el paradigma chamánico de la neuroteología y el chamanismo en las bases de la evolución cognitiva humana y la experiencia espiritual. </w:t>
      </w:r>
      <w:r w:rsidRPr="004F609D">
        <w:rPr>
          <w:rFonts w:ascii="Times New Roman" w:hAnsi="Times New Roman" w:cs="Times New Roman"/>
          <w:sz w:val="24"/>
          <w:szCs w:val="24"/>
          <w:lang w:val="es-CR" w:eastAsia="es-MX"/>
        </w:rPr>
        <w:t>L</w:t>
      </w:r>
      <w:r w:rsidRPr="00951EDB">
        <w:rPr>
          <w:rFonts w:ascii="Times New Roman" w:hAnsi="Times New Roman" w:cs="Times New Roman"/>
          <w:sz w:val="24"/>
          <w:szCs w:val="24"/>
          <w:lang w:val="es-CR" w:eastAsia="es-MX"/>
        </w:rPr>
        <w:t xml:space="preserve">as practicas chamánicas intensifican las conexiones entre el sistema límbico y las estructuras cerebrales más bajas. Estas dinámicas mejoran la atención, la conciencia de sí mismo, el aprendizaje, la memoria y los mecanismos </w:t>
      </w:r>
      <w:r w:rsidRPr="004F609D">
        <w:rPr>
          <w:rFonts w:ascii="Times New Roman" w:hAnsi="Times New Roman" w:cs="Times New Roman"/>
          <w:sz w:val="24"/>
          <w:szCs w:val="24"/>
          <w:lang w:val="es-CR" w:eastAsia="es-MX"/>
        </w:rPr>
        <w:t>internos de cada quien</w:t>
      </w:r>
      <w:r>
        <w:rPr>
          <w:rFonts w:ascii="Times New Roman" w:hAnsi="Times New Roman" w:cs="Times New Roman"/>
          <w:sz w:val="24"/>
          <w:szCs w:val="24"/>
          <w:lang w:val="es-CR" w:eastAsia="es-MX"/>
        </w:rPr>
        <w:t xml:space="preserve"> (Winkelman,</w:t>
      </w:r>
      <w:r w:rsidRPr="00951EDB">
        <w:rPr>
          <w:rFonts w:ascii="Times New Roman" w:hAnsi="Times New Roman" w:cs="Times New Roman"/>
          <w:sz w:val="24"/>
          <w:szCs w:val="24"/>
          <w:lang w:val="es-CR" w:eastAsia="es-MX"/>
        </w:rPr>
        <w:t xml:space="preserve"> 2004).</w:t>
      </w:r>
    </w:p>
    <w:p w14:paraId="01B1CD83"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Quirce-Balma (2010) comparte con Winkelman (2004) las premisas sobre el chamanismo y el recurrir al es</w:t>
      </w:r>
      <w:r>
        <w:rPr>
          <w:rFonts w:ascii="Times New Roman" w:hAnsi="Times New Roman" w:cs="Times New Roman"/>
          <w:sz w:val="24"/>
          <w:szCs w:val="24"/>
          <w:lang w:val="es-CR" w:eastAsia="es-MX"/>
        </w:rPr>
        <w:t>tudio de la espiritualidad con</w:t>
      </w:r>
      <w:r w:rsidRPr="00951EDB">
        <w:rPr>
          <w:rFonts w:ascii="Times New Roman" w:hAnsi="Times New Roman" w:cs="Times New Roman"/>
          <w:sz w:val="24"/>
          <w:szCs w:val="24"/>
          <w:lang w:val="es-CR" w:eastAsia="es-MX"/>
        </w:rPr>
        <w:t xml:space="preserve"> rigor científico, lo que para Winkelman vendría a ser la neuroteología. Esta posición de diálogo interdisciplinario es sobre la que versa el trabajo de Quirce-Balma, objeto de esta investigación.</w:t>
      </w:r>
    </w:p>
    <w:p w14:paraId="1D25C9DF"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 xml:space="preserve">Los alcances de Winkelman </w:t>
      </w:r>
      <w:r>
        <w:rPr>
          <w:rFonts w:ascii="Times New Roman" w:hAnsi="Times New Roman" w:cs="Times New Roman"/>
          <w:sz w:val="24"/>
          <w:szCs w:val="24"/>
          <w:lang w:val="es-CR" w:eastAsia="es-MX"/>
        </w:rPr>
        <w:t xml:space="preserve">(2004) </w:t>
      </w:r>
      <w:r w:rsidRPr="00951EDB">
        <w:rPr>
          <w:rFonts w:ascii="Times New Roman" w:hAnsi="Times New Roman" w:cs="Times New Roman"/>
          <w:sz w:val="24"/>
          <w:szCs w:val="24"/>
          <w:lang w:val="es-CR" w:eastAsia="es-MX"/>
        </w:rPr>
        <w:t>en cuanto a la espiritualidad chamánica y el valor medicinal son puntos que destaca Quirce-Ba</w:t>
      </w:r>
      <w:r>
        <w:rPr>
          <w:rFonts w:ascii="Times New Roman" w:hAnsi="Times New Roman" w:cs="Times New Roman"/>
          <w:sz w:val="24"/>
          <w:szCs w:val="24"/>
          <w:lang w:val="es-CR" w:eastAsia="es-MX"/>
        </w:rPr>
        <w:t>lma (2011), d</w:t>
      </w:r>
      <w:r w:rsidRPr="00951EDB">
        <w:rPr>
          <w:rFonts w:ascii="Times New Roman" w:hAnsi="Times New Roman" w:cs="Times New Roman"/>
          <w:sz w:val="24"/>
          <w:szCs w:val="24"/>
          <w:lang w:val="es-CR" w:eastAsia="es-MX"/>
        </w:rPr>
        <w:t>icho autor mira en la facilidad de sincronización ínter hemisférica y el desarrollo de rituales exitosos, así como en el encuentro con plantas que producen estados superiores de conciencia que denominaríamos enteogénicos y estados alterados de conciencia que se necesitan enteogenizar, como las causas fundamentales de las capacidades cha</w:t>
      </w:r>
      <w:r>
        <w:rPr>
          <w:rFonts w:ascii="Times New Roman" w:hAnsi="Times New Roman" w:cs="Times New Roman"/>
          <w:sz w:val="24"/>
          <w:szCs w:val="24"/>
          <w:lang w:val="es-CR" w:eastAsia="es-MX"/>
        </w:rPr>
        <w:t>mánicas</w:t>
      </w:r>
      <w:r w:rsidRPr="00951EDB">
        <w:rPr>
          <w:rFonts w:ascii="Times New Roman" w:hAnsi="Times New Roman" w:cs="Times New Roman"/>
          <w:sz w:val="24"/>
          <w:szCs w:val="24"/>
          <w:lang w:val="es-CR" w:eastAsia="es-MX"/>
        </w:rPr>
        <w:t>.</w:t>
      </w:r>
    </w:p>
    <w:p w14:paraId="4DBE3B17"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Pr>
          <w:rFonts w:ascii="Times New Roman" w:hAnsi="Times New Roman" w:cs="Times New Roman"/>
          <w:sz w:val="24"/>
          <w:szCs w:val="24"/>
          <w:lang w:val="es-CR" w:eastAsia="es-MX"/>
        </w:rPr>
        <w:t>Por otra parte, Newberg y</w:t>
      </w:r>
      <w:r w:rsidRPr="00951EDB">
        <w:rPr>
          <w:rFonts w:ascii="Times New Roman" w:hAnsi="Times New Roman" w:cs="Times New Roman"/>
          <w:sz w:val="24"/>
          <w:szCs w:val="24"/>
          <w:lang w:val="es-CR" w:eastAsia="es-MX"/>
        </w:rPr>
        <w:t xml:space="preserve"> </w:t>
      </w:r>
      <w:r>
        <w:rPr>
          <w:rFonts w:ascii="Times New Roman" w:hAnsi="Times New Roman" w:cs="Times New Roman"/>
          <w:sz w:val="24"/>
          <w:szCs w:val="24"/>
          <w:lang w:val="es-CR" w:eastAsia="es-MX"/>
        </w:rPr>
        <w:t>Newberg (2005) estudian</w:t>
      </w:r>
      <w:r w:rsidRPr="00951EDB">
        <w:rPr>
          <w:rFonts w:ascii="Times New Roman" w:hAnsi="Times New Roman" w:cs="Times New Roman"/>
          <w:sz w:val="24"/>
          <w:szCs w:val="24"/>
          <w:lang w:val="es-CR" w:eastAsia="es-MX"/>
        </w:rPr>
        <w:t xml:space="preserve"> la neuropsicología de la religiosidad y las experiencias espirituales, </w:t>
      </w:r>
      <w:r>
        <w:rPr>
          <w:rFonts w:ascii="Times New Roman" w:hAnsi="Times New Roman" w:cs="Times New Roman"/>
          <w:sz w:val="24"/>
          <w:szCs w:val="24"/>
          <w:lang w:val="es-CR" w:eastAsia="es-MX"/>
        </w:rPr>
        <w:t>e indican que la religiosidad,</w:t>
      </w:r>
      <w:r w:rsidRPr="00951EDB">
        <w:rPr>
          <w:rFonts w:ascii="Times New Roman" w:hAnsi="Times New Roman" w:cs="Times New Roman"/>
          <w:sz w:val="24"/>
          <w:szCs w:val="24"/>
          <w:lang w:val="es-CR" w:eastAsia="es-MX"/>
        </w:rPr>
        <w:t xml:space="preserve"> la espiritualidad, la oración y los rituales dentro de la meditación, han sido ampliamente descritos desde los campos de la biomedicina, psicología, antropología y literatura religiosa, desde hace muchos miles de años. </w:t>
      </w:r>
    </w:p>
    <w:p w14:paraId="15EDD25A"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Pr>
          <w:rFonts w:ascii="Times New Roman" w:hAnsi="Times New Roman" w:cs="Times New Roman"/>
          <w:sz w:val="24"/>
          <w:szCs w:val="24"/>
          <w:lang w:val="es-CR" w:eastAsia="es-MX"/>
        </w:rPr>
        <w:lastRenderedPageBreak/>
        <w:t>Sostiene</w:t>
      </w:r>
      <w:r w:rsidRPr="00951EDB">
        <w:rPr>
          <w:rFonts w:ascii="Times New Roman" w:hAnsi="Times New Roman" w:cs="Times New Roman"/>
          <w:sz w:val="24"/>
          <w:szCs w:val="24"/>
          <w:lang w:val="es-CR" w:eastAsia="es-MX"/>
        </w:rPr>
        <w:t>n que recientemente han aumentado los estudios de la neuropsicología y psicología que investigan la correlación entre las experiencias de religiosidad y espiritualidad, con experiencias como las mencionadas anteriormente. En este sentido han sido un campo temático de la neurobiología y la neuropsicolo</w:t>
      </w:r>
      <w:r>
        <w:rPr>
          <w:rFonts w:ascii="Times New Roman" w:hAnsi="Times New Roman" w:cs="Times New Roman"/>
          <w:sz w:val="24"/>
          <w:szCs w:val="24"/>
          <w:lang w:val="es-CR" w:eastAsia="es-MX"/>
        </w:rPr>
        <w:t>gía (Newberg y</w:t>
      </w:r>
      <w:r w:rsidRPr="00951EDB">
        <w:rPr>
          <w:rFonts w:ascii="Times New Roman" w:hAnsi="Times New Roman" w:cs="Times New Roman"/>
          <w:sz w:val="24"/>
          <w:szCs w:val="24"/>
          <w:lang w:val="es-CR" w:eastAsia="es-MX"/>
        </w:rPr>
        <w:t xml:space="preserve"> Newberg, 2005).</w:t>
      </w:r>
    </w:p>
    <w:p w14:paraId="5FAB76DF"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Los autores exponen que existe una relación entre lo cognitivo, el sistema nervioso autónomo y el endocrino. En esta relación se dan estados inspi</w:t>
      </w:r>
      <w:r>
        <w:rPr>
          <w:rFonts w:ascii="Times New Roman" w:hAnsi="Times New Roman" w:cs="Times New Roman"/>
          <w:sz w:val="24"/>
          <w:szCs w:val="24"/>
          <w:lang w:val="es-CR" w:eastAsia="es-MX"/>
        </w:rPr>
        <w:t>radores e intensamente místicos,</w:t>
      </w:r>
      <w:r w:rsidRPr="00951EDB">
        <w:rPr>
          <w:rFonts w:ascii="Times New Roman" w:hAnsi="Times New Roman" w:cs="Times New Roman"/>
          <w:sz w:val="24"/>
          <w:szCs w:val="24"/>
          <w:lang w:val="es-CR" w:eastAsia="es-MX"/>
        </w:rPr>
        <w:t xml:space="preserve"> donde el rango de las experiencias religiosas y espirituales va desde algo que simplemente inspira a una persona</w:t>
      </w:r>
      <w:r>
        <w:rPr>
          <w:rFonts w:ascii="Times New Roman" w:hAnsi="Times New Roman" w:cs="Times New Roman"/>
          <w:sz w:val="24"/>
          <w:szCs w:val="24"/>
          <w:lang w:val="es-CR" w:eastAsia="es-MX"/>
        </w:rPr>
        <w:t>, hasta el</w:t>
      </w:r>
      <w:r w:rsidRPr="00951EDB">
        <w:rPr>
          <w:rFonts w:ascii="Times New Roman" w:hAnsi="Times New Roman" w:cs="Times New Roman"/>
          <w:sz w:val="24"/>
          <w:szCs w:val="24"/>
          <w:lang w:val="es-CR" w:eastAsia="es-MX"/>
        </w:rPr>
        <w:t xml:space="preserve"> extremo de </w:t>
      </w:r>
      <w:r>
        <w:rPr>
          <w:rFonts w:ascii="Times New Roman" w:hAnsi="Times New Roman" w:cs="Times New Roman"/>
          <w:sz w:val="24"/>
          <w:szCs w:val="24"/>
          <w:lang w:val="es-CR" w:eastAsia="es-MX"/>
        </w:rPr>
        <w:t>creer en algo místico (Newberg &amp;</w:t>
      </w:r>
      <w:r w:rsidRPr="00951EDB">
        <w:rPr>
          <w:rFonts w:ascii="Times New Roman" w:hAnsi="Times New Roman" w:cs="Times New Roman"/>
          <w:sz w:val="24"/>
          <w:szCs w:val="24"/>
          <w:lang w:val="es-CR" w:eastAsia="es-MX"/>
        </w:rPr>
        <w:t xml:space="preserve"> Newberg, 2005).</w:t>
      </w:r>
    </w:p>
    <w:p w14:paraId="4FFC4159"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Respecto al desarrollo del cerebro y la e</w:t>
      </w:r>
      <w:r>
        <w:rPr>
          <w:rFonts w:ascii="Times New Roman" w:hAnsi="Times New Roman" w:cs="Times New Roman"/>
          <w:sz w:val="24"/>
          <w:szCs w:val="24"/>
          <w:lang w:val="es-CR" w:eastAsia="es-MX"/>
        </w:rPr>
        <w:t>xperiencia espiritual, señalan</w:t>
      </w:r>
      <w:r w:rsidRPr="00951EDB">
        <w:rPr>
          <w:rFonts w:ascii="Times New Roman" w:hAnsi="Times New Roman" w:cs="Times New Roman"/>
          <w:sz w:val="24"/>
          <w:szCs w:val="24"/>
          <w:lang w:val="es-CR" w:eastAsia="es-MX"/>
        </w:rPr>
        <w:t xml:space="preserve"> que esta última ha repercutido en la evolución, pues ha permitido una red de conexiones importantes en el cerebro, donde las estructuras más evolucionadas se han conectado a las estructuras más primitivas como el sistema límbico (Ne</w:t>
      </w:r>
      <w:r>
        <w:rPr>
          <w:rFonts w:ascii="Times New Roman" w:hAnsi="Times New Roman" w:cs="Times New Roman"/>
          <w:sz w:val="24"/>
          <w:szCs w:val="24"/>
          <w:lang w:val="es-CR" w:eastAsia="es-MX"/>
        </w:rPr>
        <w:t>wberg &amp;</w:t>
      </w:r>
      <w:r w:rsidRPr="00951EDB">
        <w:rPr>
          <w:rFonts w:ascii="Times New Roman" w:hAnsi="Times New Roman" w:cs="Times New Roman"/>
          <w:sz w:val="24"/>
          <w:szCs w:val="24"/>
          <w:lang w:val="es-CR" w:eastAsia="es-MX"/>
        </w:rPr>
        <w:t xml:space="preserve"> Newberg, 2005). </w:t>
      </w:r>
    </w:p>
    <w:p w14:paraId="1B63C23C"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Sobre esta línea, el cerebro puede ser dividido funcionalmente en funciones cognitiva</w:t>
      </w:r>
      <w:r w:rsidRPr="004F609D">
        <w:rPr>
          <w:rFonts w:ascii="Times New Roman" w:hAnsi="Times New Roman" w:cs="Times New Roman"/>
          <w:sz w:val="24"/>
          <w:szCs w:val="24"/>
          <w:lang w:val="es-CR" w:eastAsia="es-MX"/>
        </w:rPr>
        <w:t>s</w:t>
      </w:r>
      <w:r w:rsidRPr="00951EDB">
        <w:rPr>
          <w:rFonts w:ascii="Times New Roman" w:hAnsi="Times New Roman" w:cs="Times New Roman"/>
          <w:sz w:val="24"/>
          <w:szCs w:val="24"/>
          <w:lang w:val="es-CR" w:eastAsia="es-MX"/>
        </w:rPr>
        <w:t xml:space="preserve"> del cerebro</w:t>
      </w:r>
      <w:r w:rsidRPr="004F609D">
        <w:rPr>
          <w:rFonts w:ascii="Times New Roman" w:hAnsi="Times New Roman" w:cs="Times New Roman"/>
          <w:sz w:val="24"/>
          <w:szCs w:val="24"/>
          <w:lang w:val="es-CR" w:eastAsia="es-MX"/>
        </w:rPr>
        <w:t>,</w:t>
      </w:r>
      <w:r w:rsidRPr="00951EDB">
        <w:rPr>
          <w:rFonts w:ascii="Times New Roman" w:hAnsi="Times New Roman" w:cs="Times New Roman"/>
          <w:sz w:val="24"/>
          <w:szCs w:val="24"/>
          <w:lang w:val="es-CR" w:eastAsia="es-MX"/>
        </w:rPr>
        <w:t xml:space="preserve"> con “operadores cognitivos” y experiencias terrenales, que se estudian por medio de los "operadores causales". El operador causal provee una </w:t>
      </w:r>
      <w:r>
        <w:rPr>
          <w:rFonts w:ascii="Times New Roman" w:hAnsi="Times New Roman" w:cs="Times New Roman"/>
          <w:sz w:val="24"/>
          <w:szCs w:val="24"/>
          <w:lang w:val="es-CR" w:eastAsia="es-MX"/>
        </w:rPr>
        <w:t>secuencia de</w:t>
      </w:r>
      <w:r w:rsidRPr="00951EDB">
        <w:rPr>
          <w:rFonts w:ascii="Times New Roman" w:hAnsi="Times New Roman" w:cs="Times New Roman"/>
          <w:sz w:val="24"/>
          <w:szCs w:val="24"/>
          <w:lang w:val="es-CR" w:eastAsia="es-MX"/>
        </w:rPr>
        <w:t xml:space="preserve"> eventos de la realidad, en cuanto a tiempo o espacio, abstrayendo las percepciones de los sentidos, ordenando los eventos en “bandas”, pero si el evento que se encuentra tratando de organizar no tiene una causa lógica, el op</w:t>
      </w:r>
      <w:r>
        <w:rPr>
          <w:rFonts w:ascii="Times New Roman" w:hAnsi="Times New Roman" w:cs="Times New Roman"/>
          <w:sz w:val="24"/>
          <w:szCs w:val="24"/>
          <w:lang w:val="es-CR" w:eastAsia="es-MX"/>
        </w:rPr>
        <w:t>erador causal automáticamente</w:t>
      </w:r>
      <w:r w:rsidRPr="00951EDB">
        <w:rPr>
          <w:rFonts w:ascii="Times New Roman" w:hAnsi="Times New Roman" w:cs="Times New Roman"/>
          <w:sz w:val="24"/>
          <w:szCs w:val="24"/>
          <w:lang w:val="es-CR" w:eastAsia="es-MX"/>
        </w:rPr>
        <w:t xml:space="preserve"> va a generar un inicio o </w:t>
      </w:r>
      <w:r>
        <w:rPr>
          <w:rFonts w:ascii="Times New Roman" w:hAnsi="Times New Roman" w:cs="Times New Roman"/>
          <w:sz w:val="24"/>
          <w:szCs w:val="24"/>
          <w:lang w:val="es-CR" w:eastAsia="es-MX"/>
        </w:rPr>
        <w:t>una causa asociado a d</w:t>
      </w:r>
      <w:r w:rsidRPr="00951EDB">
        <w:rPr>
          <w:rFonts w:ascii="Times New Roman" w:hAnsi="Times New Roman" w:cs="Times New Roman"/>
          <w:sz w:val="24"/>
          <w:szCs w:val="24"/>
          <w:lang w:val="es-CR" w:eastAsia="es-MX"/>
        </w:rPr>
        <w:t>ioses, poderes o espíritus (Newberg &amp; Newberg, 2005).</w:t>
      </w:r>
    </w:p>
    <w:p w14:paraId="5D1F3589"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Además, se da</w:t>
      </w:r>
      <w:r>
        <w:rPr>
          <w:rFonts w:ascii="Times New Roman" w:hAnsi="Times New Roman" w:cs="Times New Roman"/>
          <w:sz w:val="24"/>
          <w:szCs w:val="24"/>
          <w:lang w:val="es-CR" w:eastAsia="es-MX"/>
        </w:rPr>
        <w:t xml:space="preserve"> que</w:t>
      </w:r>
      <w:r w:rsidRPr="00951EDB">
        <w:rPr>
          <w:rFonts w:ascii="Times New Roman" w:hAnsi="Times New Roman" w:cs="Times New Roman"/>
          <w:sz w:val="24"/>
          <w:szCs w:val="24"/>
          <w:lang w:val="es-CR" w:eastAsia="es-MX"/>
        </w:rPr>
        <w:t xml:space="preserve"> el operador holístico</w:t>
      </w:r>
      <w:r>
        <w:rPr>
          <w:rFonts w:ascii="Times New Roman" w:hAnsi="Times New Roman" w:cs="Times New Roman"/>
          <w:sz w:val="24"/>
          <w:szCs w:val="24"/>
          <w:lang w:val="es-CR" w:eastAsia="es-MX"/>
        </w:rPr>
        <w:t>,</w:t>
      </w:r>
      <w:r w:rsidRPr="00951EDB">
        <w:rPr>
          <w:rFonts w:ascii="Times New Roman" w:hAnsi="Times New Roman" w:cs="Times New Roman"/>
          <w:sz w:val="24"/>
          <w:szCs w:val="24"/>
          <w:lang w:val="es-CR" w:eastAsia="es-MX"/>
        </w:rPr>
        <w:t xml:space="preserve"> que se encuentra en el lado derecho </w:t>
      </w:r>
      <w:r>
        <w:rPr>
          <w:rFonts w:ascii="Times New Roman" w:hAnsi="Times New Roman" w:cs="Times New Roman"/>
          <w:sz w:val="24"/>
          <w:szCs w:val="24"/>
          <w:lang w:val="es-CR" w:eastAsia="es-MX"/>
        </w:rPr>
        <w:t>del cerebro (lóbulo parietal),</w:t>
      </w:r>
      <w:r w:rsidRPr="00951EDB">
        <w:rPr>
          <w:rFonts w:ascii="Times New Roman" w:hAnsi="Times New Roman" w:cs="Times New Roman"/>
          <w:sz w:val="24"/>
          <w:szCs w:val="24"/>
          <w:lang w:val="es-CR" w:eastAsia="es-MX"/>
        </w:rPr>
        <w:t xml:space="preserve"> permite que la realidad sea vista como un todo o “gestalt”, sus funciones generan el entendimiento del todo, la percepción sensorial y la abstracción de conceptos (Newberg &amp; Newberg, 2005).</w:t>
      </w:r>
    </w:p>
    <w:p w14:paraId="1155BC63"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Quirce-Balma (2010) con respecto a Newberg &amp; Newberg (2005) mantiene una cercanía de forma similar a Winkelman</w:t>
      </w:r>
      <w:r>
        <w:rPr>
          <w:rFonts w:ascii="Times New Roman" w:hAnsi="Times New Roman" w:cs="Times New Roman"/>
          <w:sz w:val="24"/>
          <w:szCs w:val="24"/>
          <w:lang w:val="es-CR" w:eastAsia="es-MX"/>
        </w:rPr>
        <w:t xml:space="preserve"> (2004)</w:t>
      </w:r>
      <w:r w:rsidRPr="00951EDB">
        <w:rPr>
          <w:rFonts w:ascii="Times New Roman" w:hAnsi="Times New Roman" w:cs="Times New Roman"/>
          <w:sz w:val="24"/>
          <w:szCs w:val="24"/>
          <w:lang w:val="es-CR" w:eastAsia="es-MX"/>
        </w:rPr>
        <w:t>, en tanto a la interdisciplinariedad entre ciencias como neurobiología y neuropsicología en el estudio del fenómeno religioso, aunque en las categorías de análisis de Quirce-Balma (2009) no aparecen los conceptos de operadores causales y cognitivos, pues Quirce-Balma como se ha indicado</w:t>
      </w:r>
      <w:r>
        <w:rPr>
          <w:rFonts w:ascii="Times New Roman" w:hAnsi="Times New Roman" w:cs="Times New Roman"/>
          <w:sz w:val="24"/>
          <w:szCs w:val="24"/>
          <w:lang w:val="es-CR" w:eastAsia="es-MX"/>
        </w:rPr>
        <w:t>,</w:t>
      </w:r>
      <w:r w:rsidRPr="00951EDB">
        <w:rPr>
          <w:rFonts w:ascii="Times New Roman" w:hAnsi="Times New Roman" w:cs="Times New Roman"/>
          <w:sz w:val="24"/>
          <w:szCs w:val="24"/>
          <w:lang w:val="es-CR" w:eastAsia="es-MX"/>
        </w:rPr>
        <w:t xml:space="preserve"> utiliza el concepto de EAC.</w:t>
      </w:r>
    </w:p>
    <w:p w14:paraId="2128DFDC" w14:textId="77777777" w:rsidR="001A3E86" w:rsidRPr="00AE6A9C" w:rsidRDefault="001A3E86" w:rsidP="001A3E86">
      <w:pPr>
        <w:pStyle w:val="NoSpacing"/>
        <w:spacing w:line="360" w:lineRule="auto"/>
        <w:jc w:val="both"/>
        <w:rPr>
          <w:rFonts w:ascii="Times New Roman" w:hAnsi="Times New Roman" w:cs="Times New Roman"/>
          <w:sz w:val="24"/>
          <w:szCs w:val="24"/>
          <w:lang w:val="es-ES" w:eastAsia="es-MX"/>
        </w:rPr>
      </w:pPr>
      <w:r w:rsidRPr="00AE6A9C">
        <w:rPr>
          <w:rFonts w:ascii="Times New Roman" w:hAnsi="Times New Roman" w:cs="Times New Roman"/>
          <w:sz w:val="24"/>
          <w:szCs w:val="24"/>
          <w:lang w:val="es-ES" w:eastAsia="es-MX"/>
        </w:rPr>
        <w:lastRenderedPageBreak/>
        <w:tab/>
        <w:t xml:space="preserve">En cuanto a las fuentes de los estados superiores de conciencia, se encuentra el estudio de Taylor (2005), quien toma como punto de partida la cuestión del cómo y el porqué de los estados superiores de conciencia, que nunca han tenido una respuesta clara; dándose intentos de explicación desde la neurología y la neuropsicología. Taylor remite a Fischer (1971), quien proponía </w:t>
      </w:r>
      <w:r>
        <w:rPr>
          <w:rFonts w:ascii="Times New Roman" w:hAnsi="Times New Roman" w:cs="Times New Roman"/>
          <w:sz w:val="24"/>
          <w:szCs w:val="24"/>
          <w:lang w:val="es-ES" w:eastAsia="es-MX"/>
        </w:rPr>
        <w:t>que existían estados “ergotrópicos</w:t>
      </w:r>
      <w:r w:rsidRPr="00AE6A9C">
        <w:rPr>
          <w:rFonts w:ascii="Times New Roman" w:hAnsi="Times New Roman" w:cs="Times New Roman"/>
          <w:sz w:val="24"/>
          <w:szCs w:val="24"/>
          <w:lang w:val="es-ES" w:eastAsia="es-MX"/>
        </w:rPr>
        <w:t xml:space="preserve">” o estados superiores de conciencia o “alta </w:t>
      </w:r>
      <w:r>
        <w:rPr>
          <w:rFonts w:ascii="Times New Roman" w:hAnsi="Times New Roman" w:cs="Times New Roman"/>
          <w:sz w:val="24"/>
          <w:szCs w:val="24"/>
          <w:lang w:val="es-ES" w:eastAsia="es-MX"/>
        </w:rPr>
        <w:t>activación</w:t>
      </w:r>
      <w:r w:rsidRPr="00AE6A9C">
        <w:rPr>
          <w:rFonts w:ascii="Times New Roman" w:hAnsi="Times New Roman" w:cs="Times New Roman"/>
          <w:sz w:val="24"/>
          <w:szCs w:val="24"/>
          <w:lang w:val="es-ES" w:eastAsia="es-MX"/>
        </w:rPr>
        <w:t>” y “trofotrópico” o estados de “experiencias pasiv</w:t>
      </w:r>
      <w:r>
        <w:rPr>
          <w:rFonts w:ascii="Times New Roman" w:hAnsi="Times New Roman" w:cs="Times New Roman"/>
          <w:sz w:val="24"/>
          <w:szCs w:val="24"/>
          <w:lang w:val="es-ES" w:eastAsia="es-MX"/>
        </w:rPr>
        <w:t>as y serenas de activación</w:t>
      </w:r>
      <w:r w:rsidRPr="00AE6A9C">
        <w:rPr>
          <w:rFonts w:ascii="Times New Roman" w:hAnsi="Times New Roman" w:cs="Times New Roman"/>
          <w:sz w:val="24"/>
          <w:szCs w:val="24"/>
          <w:lang w:val="es-ES" w:eastAsia="es-MX"/>
        </w:rPr>
        <w:t xml:space="preserve">”. Los estados de alta excitación se encuentran relacionadas con factores desencadenantes tales como las drogas, el baile, el ayuno y el control de la respiración, mientras que los estados de baja excitación se relacionan con factores desencadenantes como la meditación y la relajación. </w:t>
      </w:r>
    </w:p>
    <w:p w14:paraId="3820AFBF" w14:textId="77777777" w:rsidR="001A3E86" w:rsidRDefault="001A3E86" w:rsidP="001A3E86">
      <w:pPr>
        <w:pStyle w:val="NoSpacing"/>
        <w:spacing w:line="360" w:lineRule="auto"/>
        <w:jc w:val="both"/>
        <w:rPr>
          <w:rFonts w:ascii="Times New Roman" w:hAnsi="Times New Roman" w:cs="Times New Roman"/>
          <w:sz w:val="24"/>
          <w:szCs w:val="24"/>
          <w:lang w:val="es-ES" w:eastAsia="es-MX"/>
        </w:rPr>
      </w:pPr>
      <w:r w:rsidRPr="00AE6A9C">
        <w:rPr>
          <w:rFonts w:ascii="Arial" w:hAnsi="Arial" w:cs="Arial"/>
          <w:lang w:val="es-ES" w:eastAsia="es-MX"/>
        </w:rPr>
        <w:tab/>
      </w:r>
      <w:r w:rsidRPr="00AE6A9C">
        <w:rPr>
          <w:rFonts w:ascii="Times New Roman" w:hAnsi="Times New Roman" w:cs="Times New Roman"/>
          <w:sz w:val="24"/>
          <w:szCs w:val="24"/>
          <w:lang w:val="es-ES" w:eastAsia="es-MX"/>
        </w:rPr>
        <w:t>Ahora bien, Taylor (2005) viene a sugerir que estos dos tipos de experiencia mística</w:t>
      </w:r>
      <w:r>
        <w:rPr>
          <w:rFonts w:ascii="Times New Roman" w:hAnsi="Times New Roman" w:cs="Times New Roman"/>
          <w:sz w:val="24"/>
          <w:szCs w:val="24"/>
          <w:lang w:val="es-ES" w:eastAsia="es-MX"/>
        </w:rPr>
        <w:t xml:space="preserve"> (de alta activación y de baja activación)</w:t>
      </w:r>
      <w:r w:rsidRPr="00AE6A9C">
        <w:rPr>
          <w:rFonts w:ascii="Times New Roman" w:hAnsi="Times New Roman" w:cs="Times New Roman"/>
          <w:sz w:val="24"/>
          <w:szCs w:val="24"/>
          <w:lang w:val="es-ES" w:eastAsia="es-MX"/>
        </w:rPr>
        <w:t xml:space="preserve"> se desprenden de dos fuentes distintas. </w:t>
      </w:r>
      <w:r>
        <w:rPr>
          <w:rFonts w:ascii="Times New Roman" w:hAnsi="Times New Roman" w:cs="Times New Roman"/>
          <w:sz w:val="24"/>
          <w:szCs w:val="24"/>
          <w:lang w:val="es-ES" w:eastAsia="es-MX"/>
        </w:rPr>
        <w:t>E</w:t>
      </w:r>
      <w:r w:rsidRPr="00AE6A9C">
        <w:rPr>
          <w:rFonts w:ascii="Times New Roman" w:hAnsi="Times New Roman" w:cs="Times New Roman"/>
          <w:sz w:val="24"/>
          <w:szCs w:val="24"/>
          <w:lang w:val="es-ES" w:eastAsia="es-MX"/>
        </w:rPr>
        <w:t xml:space="preserve">ruditos, místicos y </w:t>
      </w:r>
      <w:r>
        <w:rPr>
          <w:rFonts w:ascii="Times New Roman" w:hAnsi="Times New Roman" w:cs="Times New Roman"/>
          <w:sz w:val="24"/>
          <w:szCs w:val="24"/>
          <w:lang w:val="es-ES" w:eastAsia="es-MX"/>
        </w:rPr>
        <w:t>guías</w:t>
      </w:r>
      <w:r w:rsidRPr="00AE6A9C">
        <w:rPr>
          <w:rFonts w:ascii="Times New Roman" w:hAnsi="Times New Roman" w:cs="Times New Roman"/>
          <w:sz w:val="24"/>
          <w:szCs w:val="24"/>
          <w:lang w:val="es-ES" w:eastAsia="es-MX"/>
        </w:rPr>
        <w:t xml:space="preserve"> espirituales en general, están de acuerdo en que la experiencia mística/espiritual tiene una serie de características fundamentales, como una percepción i</w:t>
      </w:r>
      <w:r w:rsidR="00E43407">
        <w:rPr>
          <w:rFonts w:ascii="Times New Roman" w:hAnsi="Times New Roman" w:cs="Times New Roman"/>
          <w:sz w:val="24"/>
          <w:szCs w:val="24"/>
          <w:lang w:val="es-ES" w:eastAsia="es-MX"/>
        </w:rPr>
        <w:t>ntensificada del</w:t>
      </w:r>
      <w:r>
        <w:rPr>
          <w:rFonts w:ascii="Times New Roman" w:hAnsi="Times New Roman" w:cs="Times New Roman"/>
          <w:sz w:val="24"/>
          <w:szCs w:val="24"/>
          <w:lang w:val="es-ES" w:eastAsia="es-MX"/>
        </w:rPr>
        <w:t xml:space="preserve"> mundo fenomenológico</w:t>
      </w:r>
      <w:r w:rsidRPr="00AE6A9C">
        <w:rPr>
          <w:rFonts w:ascii="Times New Roman" w:hAnsi="Times New Roman" w:cs="Times New Roman"/>
          <w:sz w:val="24"/>
          <w:szCs w:val="24"/>
          <w:lang w:val="es-ES" w:eastAsia="es-MX"/>
        </w:rPr>
        <w:t xml:space="preserve">, una sensación de paz y plenitud interior, una sensación de unidad con el mundo manifiesto (o un </w:t>
      </w:r>
      <w:r>
        <w:rPr>
          <w:rFonts w:ascii="Times New Roman" w:hAnsi="Times New Roman" w:cs="Times New Roman"/>
          <w:sz w:val="24"/>
          <w:szCs w:val="24"/>
          <w:lang w:val="es-ES" w:eastAsia="es-MX"/>
        </w:rPr>
        <w:t>sentido de trascender límites) y un sentido de lograr un sí mismo más profundo y más verdadero. Sin embargo, no todas estas características son comunes en ambos tipos de altos estados alterados de concienca (p. 49).</w:t>
      </w:r>
    </w:p>
    <w:p w14:paraId="59030E66" w14:textId="77777777" w:rsidR="001A3E86" w:rsidRPr="00AE6A9C" w:rsidRDefault="001A3E86" w:rsidP="001A3E86">
      <w:pPr>
        <w:pStyle w:val="NoSpacing"/>
        <w:spacing w:line="360" w:lineRule="auto"/>
        <w:jc w:val="both"/>
        <w:rPr>
          <w:rFonts w:ascii="Times New Roman" w:hAnsi="Times New Roman" w:cs="Times New Roman"/>
          <w:sz w:val="24"/>
          <w:szCs w:val="24"/>
          <w:lang w:val="es-ES" w:eastAsia="es-MX"/>
        </w:rPr>
      </w:pPr>
      <w:r w:rsidRPr="00AE6A9C">
        <w:rPr>
          <w:rFonts w:ascii="Times New Roman" w:hAnsi="Times New Roman" w:cs="Times New Roman"/>
          <w:sz w:val="24"/>
          <w:szCs w:val="24"/>
          <w:lang w:val="es-ES" w:eastAsia="es-MX"/>
        </w:rPr>
        <w:tab/>
        <w:t xml:space="preserve">Argumenta que las denominadas “experiencias místicas” pueden tener su causa en dos aspectos: una alteración de la homeostasis normal del organismo humano (HD) o una intensificación de la “conciencia-energía” (ICE) que constituye el ser (Taylor, 2005). </w:t>
      </w:r>
    </w:p>
    <w:p w14:paraId="654C3AFD" w14:textId="77777777" w:rsidR="001A3E86" w:rsidRPr="00AE6A9C" w:rsidRDefault="001A3E86" w:rsidP="001A3E86">
      <w:pPr>
        <w:pStyle w:val="NoSpacing"/>
        <w:spacing w:line="360" w:lineRule="auto"/>
        <w:jc w:val="both"/>
        <w:rPr>
          <w:rFonts w:ascii="Times New Roman" w:hAnsi="Times New Roman" w:cs="Times New Roman"/>
          <w:sz w:val="24"/>
          <w:szCs w:val="24"/>
          <w:lang w:val="es-ES" w:eastAsia="es-MX"/>
        </w:rPr>
      </w:pPr>
      <w:r w:rsidRPr="00AE6A9C">
        <w:rPr>
          <w:rFonts w:ascii="Times New Roman" w:hAnsi="Times New Roman" w:cs="Times New Roman"/>
          <w:sz w:val="24"/>
          <w:szCs w:val="24"/>
          <w:lang w:val="es-ES" w:eastAsia="es-MX"/>
        </w:rPr>
        <w:tab/>
        <w:t>La homeostasis vendría a ser la condición óptima de funcionamiento biológico del cuerpo, que incluye factores como temperatura corporal, sangre, azúcar, concentración de sal, entre otros. El mantenimiento de todas estas condiciones es a la vez voluntaria e involuntaria; y cuando no se logra este equilibrio, se está expuesto a enfermedad o muerte; aunque la interrupción de la homeóstasis puede también, ser utilizada como una “tecnología de la experiencia espiritual”; ya que menores niveles de glucosa en sangre, altos niveles de insulina y un cuerpo con temperatura inferior, parecen abrir la puerta de estados superiores a la conciencia ordinaria (Taylor, 2005).</w:t>
      </w:r>
    </w:p>
    <w:p w14:paraId="387FF73E" w14:textId="77777777" w:rsidR="001A3E86" w:rsidRPr="00AE6A9C" w:rsidRDefault="001A3E86" w:rsidP="001A3E86">
      <w:pPr>
        <w:pStyle w:val="NoSpacing"/>
        <w:spacing w:line="360" w:lineRule="auto"/>
        <w:jc w:val="both"/>
        <w:rPr>
          <w:rFonts w:ascii="Times New Roman" w:hAnsi="Times New Roman" w:cs="Times New Roman"/>
          <w:sz w:val="24"/>
          <w:szCs w:val="24"/>
          <w:lang w:val="es-ES" w:eastAsia="es-MX"/>
        </w:rPr>
      </w:pPr>
      <w:r w:rsidRPr="00AE6A9C">
        <w:rPr>
          <w:rFonts w:ascii="Times New Roman" w:hAnsi="Times New Roman" w:cs="Times New Roman"/>
          <w:sz w:val="24"/>
          <w:szCs w:val="24"/>
          <w:lang w:val="es-ES" w:eastAsia="es-MX"/>
        </w:rPr>
        <w:tab/>
        <w:t xml:space="preserve">La “conciencia-energía” o “energía psíquica” constituiría el principio activo de la conciencia, la energía que se usa para ser consciente en el acto de percibir el mundo </w:t>
      </w:r>
      <w:r w:rsidRPr="00AE6A9C">
        <w:rPr>
          <w:rFonts w:ascii="Times New Roman" w:hAnsi="Times New Roman" w:cs="Times New Roman"/>
          <w:sz w:val="24"/>
          <w:szCs w:val="24"/>
          <w:lang w:val="es-ES" w:eastAsia="es-MX"/>
        </w:rPr>
        <w:lastRenderedPageBreak/>
        <w:t xml:space="preserve">fenomenal, es parte de la experiencia y del pensar lógica y discursivamente. Taylor (2005) afirma que casi cualquier actividad que implique cierto grado de concentración y tranquilidad, puede resultar en una intensificación y movilización de esta energía vital y podría dar lugar a una experiencia espiritual. </w:t>
      </w:r>
    </w:p>
    <w:p w14:paraId="203CDE9E" w14:textId="77777777" w:rsidR="001A3E86" w:rsidRPr="00AE6A9C" w:rsidRDefault="001A3E86" w:rsidP="001A3E86">
      <w:pPr>
        <w:pStyle w:val="NoSpacing"/>
        <w:spacing w:line="360" w:lineRule="auto"/>
        <w:jc w:val="both"/>
        <w:rPr>
          <w:rFonts w:ascii="Times New Roman" w:hAnsi="Times New Roman" w:cs="Times New Roman"/>
          <w:sz w:val="24"/>
          <w:szCs w:val="24"/>
          <w:lang w:val="es-ES" w:eastAsia="es-MX"/>
        </w:rPr>
      </w:pPr>
      <w:r w:rsidRPr="00AE6A9C">
        <w:rPr>
          <w:lang w:val="es-ES" w:eastAsia="es-MX"/>
        </w:rPr>
        <w:tab/>
      </w:r>
      <w:r w:rsidRPr="00AE6A9C">
        <w:rPr>
          <w:rFonts w:ascii="Times New Roman" w:hAnsi="Times New Roman" w:cs="Times New Roman"/>
          <w:sz w:val="24"/>
          <w:szCs w:val="24"/>
          <w:lang w:val="es-ES" w:eastAsia="es-MX"/>
        </w:rPr>
        <w:t>A esta razón se investigan ambos tipos de experiencia y se comparan y contrastan entre ellos, concluyendo que la intensificación de la “conciencia-energía” es el único estado realmente positivo y que puede ser convertido en un integrado y permanente estado de conciencia superior (Taylor</w:t>
      </w:r>
      <w:r w:rsidR="00E43407">
        <w:rPr>
          <w:rFonts w:ascii="Times New Roman" w:hAnsi="Times New Roman" w:cs="Times New Roman"/>
          <w:sz w:val="24"/>
          <w:szCs w:val="24"/>
          <w:lang w:val="es-ES" w:eastAsia="es-MX"/>
        </w:rPr>
        <w:t>,</w:t>
      </w:r>
      <w:r w:rsidRPr="00AE6A9C">
        <w:rPr>
          <w:rFonts w:ascii="Times New Roman" w:hAnsi="Times New Roman" w:cs="Times New Roman"/>
          <w:sz w:val="24"/>
          <w:szCs w:val="24"/>
          <w:lang w:val="es-ES" w:eastAsia="es-MX"/>
        </w:rPr>
        <w:t xml:space="preserve"> 2005).</w:t>
      </w:r>
    </w:p>
    <w:p w14:paraId="5A3505C0" w14:textId="77777777" w:rsidR="001A3E86" w:rsidRPr="00AE6A9C" w:rsidRDefault="001A3E86" w:rsidP="001A3E86">
      <w:pPr>
        <w:pStyle w:val="NoSpacing"/>
        <w:spacing w:line="360" w:lineRule="auto"/>
        <w:jc w:val="both"/>
        <w:rPr>
          <w:rFonts w:ascii="Times New Roman" w:hAnsi="Times New Roman" w:cs="Times New Roman"/>
          <w:sz w:val="24"/>
          <w:szCs w:val="24"/>
          <w:lang w:val="es-ES" w:eastAsia="es-MX"/>
        </w:rPr>
      </w:pPr>
      <w:r w:rsidRPr="00AE6A9C">
        <w:rPr>
          <w:rFonts w:ascii="Times New Roman" w:hAnsi="Times New Roman" w:cs="Times New Roman"/>
          <w:sz w:val="24"/>
          <w:szCs w:val="24"/>
          <w:lang w:val="es-ES" w:eastAsia="es-MX"/>
        </w:rPr>
        <w:tab/>
        <w:t>Si bien Taylor (2005) guarda un acercamiento con Quirce-Balma (1976) en el abordaje del fenómeno místico, no entra en el nivel de clasificación de los EAC, ni mucho menos alcanza el detalle en el abordaje de la experiencia religiosa psicoactiva a la luz del estudio de dichos EAC (Quirce-Balma, 2009).</w:t>
      </w:r>
    </w:p>
    <w:p w14:paraId="3F2A72FD" w14:textId="77777777" w:rsidR="001A3E86" w:rsidRPr="00951EDB"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MX"/>
        </w:rPr>
      </w:pPr>
      <w:r w:rsidRPr="00951EDB">
        <w:rPr>
          <w:rFonts w:ascii="Times New Roman" w:eastAsia="Times New Roman" w:hAnsi="Times New Roman" w:cs="Times New Roman"/>
          <w:sz w:val="24"/>
          <w:szCs w:val="24"/>
          <w:lang w:val="es-CR" w:eastAsia="es-MX"/>
        </w:rPr>
        <w:t>Por otra parte, Hood (2005) realiza un estudio sobre espiritualidad, misticismo y exp</w:t>
      </w:r>
      <w:r>
        <w:rPr>
          <w:rFonts w:ascii="Times New Roman" w:eastAsia="Times New Roman" w:hAnsi="Times New Roman" w:cs="Times New Roman"/>
          <w:sz w:val="24"/>
          <w:szCs w:val="24"/>
          <w:lang w:val="es-CR" w:eastAsia="es-MX"/>
        </w:rPr>
        <w:t>eriencias religiosas, analiza</w:t>
      </w:r>
      <w:r w:rsidRPr="00951EDB">
        <w:rPr>
          <w:rFonts w:ascii="Times New Roman" w:eastAsia="Times New Roman" w:hAnsi="Times New Roman" w:cs="Times New Roman"/>
          <w:sz w:val="24"/>
          <w:szCs w:val="24"/>
          <w:lang w:val="es-CR" w:eastAsia="es-MX"/>
        </w:rPr>
        <w:t xml:space="preserve"> el debate entre religión y espiritualidad desde la psicología de la religión. Considera necesario identificar cuándo cada uno de estos concep</w:t>
      </w:r>
      <w:r>
        <w:rPr>
          <w:rFonts w:ascii="Times New Roman" w:eastAsia="Times New Roman" w:hAnsi="Times New Roman" w:cs="Times New Roman"/>
          <w:sz w:val="24"/>
          <w:szCs w:val="24"/>
          <w:lang w:val="es-CR" w:eastAsia="es-MX"/>
        </w:rPr>
        <w:t>tos van diferenciados; indica</w:t>
      </w:r>
      <w:r w:rsidRPr="00951EDB">
        <w:rPr>
          <w:rFonts w:ascii="Times New Roman" w:eastAsia="Times New Roman" w:hAnsi="Times New Roman" w:cs="Times New Roman"/>
          <w:sz w:val="24"/>
          <w:szCs w:val="24"/>
          <w:lang w:val="es-CR" w:eastAsia="es-MX"/>
        </w:rPr>
        <w:t xml:space="preserve"> que estas dos significaciones comparten tres aspectos: “sentido de”, “creencia en” y “búsqueda de lo transcendente”.</w:t>
      </w:r>
    </w:p>
    <w:p w14:paraId="5A8A1E63" w14:textId="77777777" w:rsidR="001A3E86" w:rsidRPr="00951EDB"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MX"/>
        </w:rPr>
      </w:pPr>
      <w:r w:rsidRPr="00951EDB">
        <w:rPr>
          <w:rFonts w:ascii="Times New Roman" w:eastAsia="Times New Roman" w:hAnsi="Times New Roman" w:cs="Times New Roman"/>
          <w:sz w:val="24"/>
          <w:szCs w:val="24"/>
          <w:lang w:val="es-CR" w:eastAsia="es-MX"/>
        </w:rPr>
        <w:t>Lo anterior porque</w:t>
      </w:r>
      <w:r>
        <w:rPr>
          <w:rFonts w:ascii="Times New Roman" w:eastAsia="Times New Roman" w:hAnsi="Times New Roman" w:cs="Times New Roman"/>
          <w:sz w:val="24"/>
          <w:szCs w:val="24"/>
          <w:lang w:val="es-CR" w:eastAsia="es-MX"/>
        </w:rPr>
        <w:t>,</w:t>
      </w:r>
      <w:r w:rsidRPr="00951EDB">
        <w:rPr>
          <w:rFonts w:ascii="Times New Roman" w:eastAsia="Times New Roman" w:hAnsi="Times New Roman" w:cs="Times New Roman"/>
          <w:sz w:val="24"/>
          <w:szCs w:val="24"/>
          <w:lang w:val="es-CR" w:eastAsia="es-MX"/>
        </w:rPr>
        <w:t xml:space="preserve"> aunque la mayor parte de las personas religiosas se definen como espirituales, en la actualidad se encuentra un grupo emergente que se define como espiritual, pero no religioso, lo que lleva a que el concepto de espiritualidad siga aún difuso. Por esta razón, indica que estudios previos han identificado que las experiencias religiosas tienen una utilidad en la restricción normativa y en el apoyo social (Hood, 2005).</w:t>
      </w:r>
    </w:p>
    <w:p w14:paraId="7FBCAAEE" w14:textId="77777777" w:rsidR="001A3E86" w:rsidRPr="00951EDB"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MX"/>
        </w:rPr>
      </w:pPr>
      <w:r w:rsidRPr="00951EDB">
        <w:rPr>
          <w:rFonts w:ascii="Times New Roman" w:eastAsia="Times New Roman" w:hAnsi="Times New Roman" w:cs="Times New Roman"/>
          <w:sz w:val="24"/>
          <w:szCs w:val="24"/>
          <w:lang w:val="es-CR" w:eastAsia="es-MX"/>
        </w:rPr>
        <w:t>Hood (2005) realiza un apartado especial sobre psico</w:t>
      </w:r>
      <w:r>
        <w:rPr>
          <w:rFonts w:ascii="Times New Roman" w:eastAsia="Times New Roman" w:hAnsi="Times New Roman" w:cs="Times New Roman"/>
          <w:sz w:val="24"/>
          <w:szCs w:val="24"/>
          <w:lang w:val="es-CR" w:eastAsia="es-MX"/>
        </w:rPr>
        <w:t>trópicos y enteógenos, indica</w:t>
      </w:r>
      <w:r w:rsidRPr="00951EDB">
        <w:rPr>
          <w:rFonts w:ascii="Times New Roman" w:eastAsia="Times New Roman" w:hAnsi="Times New Roman" w:cs="Times New Roman"/>
          <w:sz w:val="24"/>
          <w:szCs w:val="24"/>
          <w:lang w:val="es-CR" w:eastAsia="es-MX"/>
        </w:rPr>
        <w:t xml:space="preserve"> que es un área controversial, ya que algunos argumentan que las drogas pueden facilitar las experiencias religiosas y espirituales y que las sustancias naturales son utilizadas por diferentes religiones para llegar a estados alterados de conciencia. Nace entonces la arquiopsicofarmacología que estudia tantos textos antiguos y arcaicos utensilios como grupos contemporáneos, que usan naturalmente sustancias psicodélicas, dando así una especulación sobre el origen de la religión.</w:t>
      </w:r>
    </w:p>
    <w:p w14:paraId="03F66D0B" w14:textId="77777777" w:rsidR="001A3E86" w:rsidRPr="00951EDB"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MX"/>
        </w:rPr>
      </w:pPr>
      <w:r w:rsidRPr="00951EDB">
        <w:rPr>
          <w:rFonts w:ascii="Times New Roman" w:eastAsia="Times New Roman" w:hAnsi="Times New Roman" w:cs="Times New Roman"/>
          <w:sz w:val="24"/>
          <w:szCs w:val="24"/>
          <w:lang w:val="es-CR" w:eastAsia="es-MX"/>
        </w:rPr>
        <w:t>Râtach (1990)</w:t>
      </w:r>
      <w:r w:rsidRPr="004F609D">
        <w:rPr>
          <w:rFonts w:ascii="Times New Roman" w:eastAsia="Times New Roman" w:hAnsi="Times New Roman" w:cs="Times New Roman"/>
          <w:sz w:val="24"/>
          <w:szCs w:val="24"/>
          <w:lang w:val="es-CR" w:eastAsia="es-MX"/>
        </w:rPr>
        <w:t>,</w:t>
      </w:r>
      <w:r w:rsidRPr="00951EDB">
        <w:rPr>
          <w:rFonts w:ascii="Times New Roman" w:eastAsia="Times New Roman" w:hAnsi="Times New Roman" w:cs="Times New Roman"/>
          <w:sz w:val="24"/>
          <w:szCs w:val="24"/>
          <w:lang w:val="es-CR" w:eastAsia="es-MX"/>
        </w:rPr>
        <w:t xml:space="preserve"> citado por Hood (2005)</w:t>
      </w:r>
      <w:r w:rsidRPr="004F609D">
        <w:rPr>
          <w:rFonts w:ascii="Times New Roman" w:eastAsia="Times New Roman" w:hAnsi="Times New Roman" w:cs="Times New Roman"/>
          <w:sz w:val="24"/>
          <w:szCs w:val="24"/>
          <w:lang w:val="es-CR" w:eastAsia="es-MX"/>
        </w:rPr>
        <w:t>,</w:t>
      </w:r>
      <w:r>
        <w:rPr>
          <w:rFonts w:ascii="Times New Roman" w:eastAsia="Times New Roman" w:hAnsi="Times New Roman" w:cs="Times New Roman"/>
          <w:sz w:val="24"/>
          <w:szCs w:val="24"/>
          <w:lang w:val="es-CR" w:eastAsia="es-MX"/>
        </w:rPr>
        <w:t xml:space="preserve"> indica que desde los años ´70 existe</w:t>
      </w:r>
      <w:r w:rsidRPr="00951EDB">
        <w:rPr>
          <w:rFonts w:ascii="Times New Roman" w:eastAsia="Times New Roman" w:hAnsi="Times New Roman" w:cs="Times New Roman"/>
          <w:sz w:val="24"/>
          <w:szCs w:val="24"/>
          <w:lang w:val="es-CR" w:eastAsia="es-MX"/>
        </w:rPr>
        <w:t xml:space="preserve"> poca investigación en el campo de las sustancias psicodélicas, pero en la actualidad se </w:t>
      </w:r>
      <w:r w:rsidRPr="00951EDB">
        <w:rPr>
          <w:rFonts w:ascii="Times New Roman" w:eastAsia="Times New Roman" w:hAnsi="Times New Roman" w:cs="Times New Roman"/>
          <w:sz w:val="24"/>
          <w:szCs w:val="24"/>
          <w:lang w:val="es-CR" w:eastAsia="es-MX"/>
        </w:rPr>
        <w:lastRenderedPageBreak/>
        <w:t>encuentran en desarrollo estudios de importancia por parte de antropólogos y etnobotánicos</w:t>
      </w:r>
      <w:r w:rsidRPr="004F609D">
        <w:rPr>
          <w:rFonts w:ascii="Times New Roman" w:eastAsia="Times New Roman" w:hAnsi="Times New Roman" w:cs="Times New Roman"/>
          <w:sz w:val="24"/>
          <w:szCs w:val="24"/>
          <w:lang w:val="es-CR" w:eastAsia="es-MX"/>
        </w:rPr>
        <w:t>,</w:t>
      </w:r>
      <w:r w:rsidRPr="00951EDB">
        <w:rPr>
          <w:rFonts w:ascii="Times New Roman" w:eastAsia="Times New Roman" w:hAnsi="Times New Roman" w:cs="Times New Roman"/>
          <w:sz w:val="24"/>
          <w:szCs w:val="24"/>
          <w:lang w:val="es-CR" w:eastAsia="es-MX"/>
        </w:rPr>
        <w:t xml:space="preserve"> con sustancias naturales y enteógenos</w:t>
      </w:r>
      <w:r w:rsidRPr="004F609D">
        <w:rPr>
          <w:rFonts w:ascii="Times New Roman" w:eastAsia="Times New Roman" w:hAnsi="Times New Roman" w:cs="Times New Roman"/>
          <w:sz w:val="24"/>
          <w:szCs w:val="24"/>
          <w:lang w:val="es-CR" w:eastAsia="es-MX"/>
        </w:rPr>
        <w:t>,</w:t>
      </w:r>
      <w:r w:rsidRPr="00951EDB">
        <w:rPr>
          <w:rFonts w:ascii="Times New Roman" w:eastAsia="Times New Roman" w:hAnsi="Times New Roman" w:cs="Times New Roman"/>
          <w:sz w:val="24"/>
          <w:szCs w:val="24"/>
          <w:lang w:val="es-CR" w:eastAsia="es-MX"/>
        </w:rPr>
        <w:t xml:space="preserve"> en países europeos donde hay mayor flexibilidad en la legislación.</w:t>
      </w:r>
    </w:p>
    <w:p w14:paraId="1FC1E6C9"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 xml:space="preserve">Para finalizar, el autor hace mención a que dentro del llamado movimiento psicodélico se ha fallado en la aceptación de las drogas dentro del marco religioso para uso sacramental, pero se pueden encontrar dos excepciones, la iglesia nativa americana en Estados Unidos y la iglesia de Santo Daime en Brazil (Hood, 2005). </w:t>
      </w:r>
    </w:p>
    <w:p w14:paraId="6CBF71CD"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Por otra parte, realiza un análisis y presentación de las principales tesis comunes en el estudio d</w:t>
      </w:r>
      <w:r>
        <w:rPr>
          <w:rFonts w:ascii="Times New Roman" w:hAnsi="Times New Roman" w:cs="Times New Roman"/>
          <w:sz w:val="24"/>
          <w:szCs w:val="24"/>
          <w:lang w:val="es-CR" w:eastAsia="es-MX"/>
        </w:rPr>
        <w:t>e la mística, menciona</w:t>
      </w:r>
      <w:r w:rsidRPr="00951EDB">
        <w:rPr>
          <w:rFonts w:ascii="Times New Roman" w:hAnsi="Times New Roman" w:cs="Times New Roman"/>
          <w:sz w:val="24"/>
          <w:szCs w:val="24"/>
          <w:lang w:val="es-CR" w:eastAsia="es-MX"/>
        </w:rPr>
        <w:t xml:space="preserve"> </w:t>
      </w:r>
      <w:r>
        <w:rPr>
          <w:rFonts w:ascii="Times New Roman" w:hAnsi="Times New Roman" w:cs="Times New Roman"/>
          <w:sz w:val="24"/>
          <w:szCs w:val="24"/>
          <w:lang w:val="es-CR" w:eastAsia="es-MX"/>
        </w:rPr>
        <w:t>que existen dos polos</w:t>
      </w:r>
      <w:r w:rsidRPr="00951EDB">
        <w:rPr>
          <w:rFonts w:ascii="Times New Roman" w:hAnsi="Times New Roman" w:cs="Times New Roman"/>
          <w:sz w:val="24"/>
          <w:szCs w:val="24"/>
          <w:lang w:val="es-CR" w:eastAsia="es-MX"/>
        </w:rPr>
        <w:t xml:space="preserve"> que han definido la psicología de la religión desde sus inicios. </w:t>
      </w:r>
      <w:r w:rsidRPr="004F609D">
        <w:rPr>
          <w:rFonts w:ascii="Times New Roman" w:hAnsi="Times New Roman" w:cs="Times New Roman"/>
          <w:sz w:val="24"/>
          <w:szCs w:val="24"/>
          <w:lang w:val="es-CR" w:eastAsia="es-MX"/>
        </w:rPr>
        <w:t>E</w:t>
      </w:r>
      <w:r>
        <w:rPr>
          <w:rFonts w:ascii="Times New Roman" w:hAnsi="Times New Roman" w:cs="Times New Roman"/>
          <w:sz w:val="24"/>
          <w:szCs w:val="24"/>
          <w:lang w:val="es-CR" w:eastAsia="es-MX"/>
        </w:rPr>
        <w:t>n un polo</w:t>
      </w:r>
      <w:r w:rsidRPr="00951EDB">
        <w:rPr>
          <w:rFonts w:ascii="Times New Roman" w:hAnsi="Times New Roman" w:cs="Times New Roman"/>
          <w:sz w:val="24"/>
          <w:szCs w:val="24"/>
          <w:lang w:val="es-CR" w:eastAsia="es-MX"/>
        </w:rPr>
        <w:t xml:space="preserve"> se encuentra</w:t>
      </w:r>
      <w:r>
        <w:rPr>
          <w:rFonts w:ascii="Times New Roman" w:hAnsi="Times New Roman" w:cs="Times New Roman"/>
          <w:sz w:val="24"/>
          <w:szCs w:val="24"/>
          <w:lang w:val="es-CR" w:eastAsia="es-MX"/>
        </w:rPr>
        <w:t>n</w:t>
      </w:r>
      <w:r w:rsidRPr="00951EDB">
        <w:rPr>
          <w:rFonts w:ascii="Times New Roman" w:hAnsi="Times New Roman" w:cs="Times New Roman"/>
          <w:sz w:val="24"/>
          <w:szCs w:val="24"/>
          <w:lang w:val="es-CR" w:eastAsia="es-MX"/>
        </w:rPr>
        <w:t xml:space="preserve"> los psicólogos como Freud, convencidos de la falsedad de </w:t>
      </w:r>
      <w:r>
        <w:rPr>
          <w:rFonts w:ascii="Times New Roman" w:hAnsi="Times New Roman" w:cs="Times New Roman"/>
          <w:sz w:val="24"/>
          <w:szCs w:val="24"/>
          <w:lang w:val="es-CR" w:eastAsia="es-MX"/>
        </w:rPr>
        <w:t>las creencias religiosas, que dan</w:t>
      </w:r>
      <w:r w:rsidRPr="00951EDB">
        <w:rPr>
          <w:rFonts w:ascii="Times New Roman" w:hAnsi="Times New Roman" w:cs="Times New Roman"/>
          <w:sz w:val="24"/>
          <w:szCs w:val="24"/>
          <w:lang w:val="es-CR" w:eastAsia="es-MX"/>
        </w:rPr>
        <w:t xml:space="preserve"> una interpretación reduccionista-naturalista de los fenómeno</w:t>
      </w:r>
      <w:r>
        <w:rPr>
          <w:rFonts w:ascii="Times New Roman" w:hAnsi="Times New Roman" w:cs="Times New Roman"/>
          <w:sz w:val="24"/>
          <w:szCs w:val="24"/>
          <w:lang w:val="es-CR" w:eastAsia="es-MX"/>
        </w:rPr>
        <w:t>s religiosos; en el otro polo están</w:t>
      </w:r>
      <w:r w:rsidRPr="00951EDB">
        <w:rPr>
          <w:rFonts w:ascii="Times New Roman" w:hAnsi="Times New Roman" w:cs="Times New Roman"/>
          <w:sz w:val="24"/>
          <w:szCs w:val="24"/>
          <w:lang w:val="es-CR" w:eastAsia="es-MX"/>
        </w:rPr>
        <w:t xml:space="preserve"> aquellos psicólogos comprometidos con una cosmovisión religiosa, quienes buscan defender los reclamos ontológicos de la religión (Hood, 2006). </w:t>
      </w:r>
    </w:p>
    <w:p w14:paraId="077DBBF0"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 xml:space="preserve">Hood (2006) identifica seis supuestos focos del debate filosófico acerca del núcleo común del misticismo, el primero refiere a la experiencia religiosa como personal, que tiene "su raíz y centro en los estados místicos" (James, 1902, p. 301, citado en Hood, 2006). El segundo se desglosa del anterior y se refiere </w:t>
      </w:r>
      <w:r>
        <w:rPr>
          <w:rFonts w:ascii="Times New Roman" w:hAnsi="Times New Roman" w:cs="Times New Roman"/>
          <w:sz w:val="24"/>
          <w:szCs w:val="24"/>
          <w:lang w:val="es-CR" w:eastAsia="es-MX"/>
        </w:rPr>
        <w:t xml:space="preserve">a </w:t>
      </w:r>
      <w:r w:rsidRPr="00951EDB">
        <w:rPr>
          <w:rFonts w:ascii="Times New Roman" w:hAnsi="Times New Roman" w:cs="Times New Roman"/>
          <w:sz w:val="24"/>
          <w:szCs w:val="24"/>
          <w:lang w:val="es-CR" w:eastAsia="es-MX"/>
        </w:rPr>
        <w:t>las ortodoxias, que se desprenden de una interpretación de una experiencia más que en la propia experiencia. El tercer supuesto versa sobre lo inefable de las experiencias místicas, aunque irónicamente los místicos escriben grandes tesis acerca del tema, por lo que estos escritos no deberían tomarse como descripciones literarias de la experiencia. El cuarto supuesto propone que las experiencias místicas no son simplemente estados emotivos, ni recuerdos cognitivos de verdades que se encuentran a disposición del intelecto. Mientras el quinto supuesto plantea que</w:t>
      </w:r>
      <w:r>
        <w:rPr>
          <w:rFonts w:ascii="Times New Roman" w:hAnsi="Times New Roman" w:cs="Times New Roman"/>
          <w:sz w:val="24"/>
          <w:szCs w:val="24"/>
          <w:lang w:val="es-CR" w:eastAsia="es-MX"/>
        </w:rPr>
        <w:t>,</w:t>
      </w:r>
      <w:r w:rsidRPr="00951EDB">
        <w:rPr>
          <w:rFonts w:ascii="Times New Roman" w:hAnsi="Times New Roman" w:cs="Times New Roman"/>
          <w:sz w:val="24"/>
          <w:szCs w:val="24"/>
          <w:lang w:val="es-CR" w:eastAsia="es-MX"/>
        </w:rPr>
        <w:t xml:space="preserve"> para la exploración adecuada de la experiencia mística, se deben incluir métodos fenomenológicos. El sexto y último supuesto se denomina "indiferencia causal", y lo que trata es de incluir todas las experiencias místicas independientemente del contexto o condiciones en las que se da. La polémica surge en el hecho de que los llamados psicodélicos pueden llevar a experiencias místicas (Hood, 2006). </w:t>
      </w:r>
    </w:p>
    <w:p w14:paraId="7D9FA067"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 xml:space="preserve">Hood (2006) concluye que este análisis permite un acercamiento a una tesis básica común, donde las religiones son mucho más que esfuerzos por hacer frente a la experiencia </w:t>
      </w:r>
      <w:r w:rsidRPr="00951EDB">
        <w:rPr>
          <w:rFonts w:ascii="Times New Roman" w:hAnsi="Times New Roman" w:cs="Times New Roman"/>
          <w:sz w:val="24"/>
          <w:szCs w:val="24"/>
          <w:lang w:val="es-CR" w:eastAsia="es-MX"/>
        </w:rPr>
        <w:lastRenderedPageBreak/>
        <w:t xml:space="preserve">mística. Las experiencias místicas comparten un núcleo común, estas pueden provocar un sentido de miedo que lleve de cierta forma a una explicación religiosa; es allí donde los místicos presentan indiferencia u hostilidad hacia las religiones, y se identifican únicamente con la espiritualidad (Hood, 2006). </w:t>
      </w:r>
    </w:p>
    <w:p w14:paraId="6FD994CA"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 xml:space="preserve">El punto de encuentro en Quirce-Balma (2009) y Hood (2006) se inscribe en el análisis del fenómeno enteogénico, fuera de ello las categorías de análisis son bastantes distintas, pues como se ha indicado, los EAC constituyen un tema central del estudio </w:t>
      </w:r>
      <w:r>
        <w:rPr>
          <w:rFonts w:ascii="Times New Roman" w:hAnsi="Times New Roman" w:cs="Times New Roman"/>
          <w:sz w:val="24"/>
          <w:szCs w:val="24"/>
          <w:lang w:val="es-CR" w:eastAsia="es-MX"/>
        </w:rPr>
        <w:t>etnopsicofarmacológico (Quirce-Balma, 1976; Quirce-Balma,</w:t>
      </w:r>
      <w:r w:rsidRPr="00951EDB">
        <w:rPr>
          <w:rFonts w:ascii="Times New Roman" w:hAnsi="Times New Roman" w:cs="Times New Roman"/>
          <w:sz w:val="24"/>
          <w:szCs w:val="24"/>
          <w:lang w:val="es-CR" w:eastAsia="es-MX"/>
        </w:rPr>
        <w:t xml:space="preserve"> 2009).</w:t>
      </w:r>
    </w:p>
    <w:p w14:paraId="092DEF84"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Otro de los estudiosos que se refiere al uso de sustancias con carácter sagrado es Ochoa (2010), quien destaca el uso de sustancias con capacidad de curar y dañar, siendo, las mismas, parte fundamental de las prendas-ngangas-enquisos, medio fundamental en ritos del Palo, que es una espiritualidad ligada a la muerte y a la comunicación con los muertos en Cuba. Sin embargo, no existe mayor detalle respecto a la composición química de tales sustancias, pues el estudio se centra en la experiencia de los rituales, de este modo se da una diferencia considerable con Quirce-Balma, quien se centra más en dicha composición y sus efectos.</w:t>
      </w:r>
    </w:p>
    <w:p w14:paraId="424A3E3F" w14:textId="77777777" w:rsidR="001A3E86" w:rsidRPr="00951EDB"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951EDB">
        <w:rPr>
          <w:rFonts w:ascii="Times New Roman" w:hAnsi="Times New Roman" w:cs="Times New Roman"/>
          <w:sz w:val="24"/>
          <w:szCs w:val="24"/>
          <w:lang w:val="es-CR" w:eastAsia="es-MX"/>
        </w:rPr>
        <w:t>Por otra parte, en 2006, Nichols &amp; Chemel estudian la neurofarmacología de la e</w:t>
      </w:r>
      <w:r>
        <w:rPr>
          <w:rFonts w:ascii="Times New Roman" w:hAnsi="Times New Roman" w:cs="Times New Roman"/>
          <w:sz w:val="24"/>
          <w:szCs w:val="24"/>
          <w:lang w:val="es-CR" w:eastAsia="es-MX"/>
        </w:rPr>
        <w:t>xperiencia religiosa, realizan</w:t>
      </w:r>
      <w:r w:rsidRPr="00951EDB">
        <w:rPr>
          <w:rFonts w:ascii="Times New Roman" w:hAnsi="Times New Roman" w:cs="Times New Roman"/>
          <w:sz w:val="24"/>
          <w:szCs w:val="24"/>
          <w:lang w:val="es-CR" w:eastAsia="es-MX"/>
        </w:rPr>
        <w:t xml:space="preserve"> un análisis de los alucinógenos y la experiencia</w:t>
      </w:r>
      <w:r>
        <w:rPr>
          <w:rFonts w:ascii="Times New Roman" w:hAnsi="Times New Roman" w:cs="Times New Roman"/>
          <w:sz w:val="24"/>
          <w:szCs w:val="24"/>
          <w:lang w:val="es-CR" w:eastAsia="es-MX"/>
        </w:rPr>
        <w:t xml:space="preserve"> divina, e inician </w:t>
      </w:r>
      <w:r w:rsidRPr="00951EDB">
        <w:rPr>
          <w:rFonts w:ascii="Times New Roman" w:hAnsi="Times New Roman" w:cs="Times New Roman"/>
          <w:sz w:val="24"/>
          <w:szCs w:val="24"/>
          <w:lang w:val="es-CR" w:eastAsia="es-MX"/>
        </w:rPr>
        <w:t xml:space="preserve">una exposición acerca de la </w:t>
      </w:r>
      <w:r>
        <w:rPr>
          <w:rFonts w:ascii="Times New Roman" w:hAnsi="Times New Roman" w:cs="Times New Roman"/>
          <w:sz w:val="24"/>
          <w:szCs w:val="24"/>
          <w:lang w:val="es-CR" w:eastAsia="es-MX"/>
        </w:rPr>
        <w:t>ciencia y la religión, indican</w:t>
      </w:r>
      <w:r w:rsidRPr="00951EDB">
        <w:rPr>
          <w:rFonts w:ascii="Times New Roman" w:hAnsi="Times New Roman" w:cs="Times New Roman"/>
          <w:sz w:val="24"/>
          <w:szCs w:val="24"/>
          <w:lang w:val="es-CR" w:eastAsia="es-MX"/>
        </w:rPr>
        <w:t xml:space="preserve"> que estas dos tienen su punto de encuentro en la mente humana, ya que la neurociencia actual considera que todo el espectro de la conciencia humana es el resultado de una complejidad de acontecimientos dentro del sistema nervioso.</w:t>
      </w:r>
    </w:p>
    <w:p w14:paraId="3542BF91"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En este marco se comienza a definir lo que se entiende por agente psicodélico/alucinógeno, el cual</w:t>
      </w:r>
      <w:r>
        <w:rPr>
          <w:rFonts w:ascii="Times New Roman" w:hAnsi="Times New Roman" w:cs="Times New Roman"/>
          <w:sz w:val="24"/>
          <w:szCs w:val="24"/>
          <w:lang w:val="es-CR" w:eastAsia="es-MX"/>
        </w:rPr>
        <w:t xml:space="preserve"> se caracteriza por producir </w:t>
      </w:r>
      <w:r w:rsidRPr="00204F74">
        <w:rPr>
          <w:rFonts w:ascii="Times New Roman" w:hAnsi="Times New Roman" w:cs="Times New Roman"/>
          <w:sz w:val="24"/>
          <w:szCs w:val="24"/>
          <w:lang w:val="es-CR" w:eastAsia="es-MX"/>
        </w:rPr>
        <w:t>estado</w:t>
      </w:r>
      <w:r>
        <w:rPr>
          <w:rFonts w:ascii="Times New Roman" w:hAnsi="Times New Roman" w:cs="Times New Roman"/>
          <w:sz w:val="24"/>
          <w:szCs w:val="24"/>
          <w:lang w:val="es-CR" w:eastAsia="es-MX"/>
        </w:rPr>
        <w:t>s</w:t>
      </w:r>
      <w:r w:rsidRPr="00204F74">
        <w:rPr>
          <w:rFonts w:ascii="Times New Roman" w:hAnsi="Times New Roman" w:cs="Times New Roman"/>
          <w:sz w:val="24"/>
          <w:szCs w:val="24"/>
          <w:lang w:val="es-CR" w:eastAsia="es-MX"/>
        </w:rPr>
        <w:t xml:space="preserve"> de percepción, pensamiento y</w:t>
      </w:r>
      <w:r>
        <w:rPr>
          <w:rFonts w:ascii="Times New Roman" w:hAnsi="Times New Roman" w:cs="Times New Roman"/>
          <w:sz w:val="24"/>
          <w:szCs w:val="24"/>
          <w:lang w:val="es-CR" w:eastAsia="es-MX"/>
        </w:rPr>
        <w:t xml:space="preserve"> sensación alterados</w:t>
      </w:r>
      <w:r w:rsidRPr="00204F74">
        <w:rPr>
          <w:rFonts w:ascii="Times New Roman" w:hAnsi="Times New Roman" w:cs="Times New Roman"/>
          <w:sz w:val="24"/>
          <w:szCs w:val="24"/>
          <w:lang w:val="es-CR" w:eastAsia="es-MX"/>
        </w:rPr>
        <w:t>. Ahora bien, acerca del impacto de los agentes psicodélicos sobre el pensamiento religioso, resaltan que, a lo largo de la historia el ser humano ha ingerido materiales psicoactivos, principalmente en f</w:t>
      </w:r>
      <w:r>
        <w:rPr>
          <w:rFonts w:ascii="Times New Roman" w:hAnsi="Times New Roman" w:cs="Times New Roman"/>
          <w:sz w:val="24"/>
          <w:szCs w:val="24"/>
          <w:lang w:val="es-CR" w:eastAsia="es-MX"/>
        </w:rPr>
        <w:t>orma de plantas y extractos de é</w:t>
      </w:r>
      <w:r w:rsidRPr="00204F74">
        <w:rPr>
          <w:rFonts w:ascii="Times New Roman" w:hAnsi="Times New Roman" w:cs="Times New Roman"/>
          <w:sz w:val="24"/>
          <w:szCs w:val="24"/>
          <w:lang w:val="es-CR" w:eastAsia="es-MX"/>
        </w:rPr>
        <w:t>stas, por medio de los cuales han tenido estados alterados de conciencia (Nichols &amp;</w:t>
      </w:r>
      <w:r>
        <w:rPr>
          <w:rFonts w:ascii="Times New Roman" w:hAnsi="Times New Roman" w:cs="Times New Roman"/>
          <w:sz w:val="24"/>
          <w:szCs w:val="24"/>
          <w:lang w:val="es-CR" w:eastAsia="es-MX"/>
        </w:rPr>
        <w:t xml:space="preserve"> Chemel,</w:t>
      </w:r>
      <w:r w:rsidRPr="00204F74">
        <w:rPr>
          <w:rFonts w:ascii="Times New Roman" w:hAnsi="Times New Roman" w:cs="Times New Roman"/>
          <w:sz w:val="24"/>
          <w:szCs w:val="24"/>
          <w:lang w:val="es-CR" w:eastAsia="es-MX"/>
        </w:rPr>
        <w:t xml:space="preserve"> 2006).</w:t>
      </w:r>
    </w:p>
    <w:p w14:paraId="5CBBFEDB"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 xml:space="preserve">En cuanto a la neurofarmacología de los alucinógenos, la investigación destaca que los mismos pueden clasificarse en tres grupos estructurales: triptaminas, fenetilaminas y </w:t>
      </w:r>
      <w:r w:rsidRPr="00204F74">
        <w:rPr>
          <w:rFonts w:ascii="Times New Roman" w:hAnsi="Times New Roman" w:cs="Times New Roman"/>
          <w:sz w:val="24"/>
          <w:szCs w:val="24"/>
          <w:lang w:val="es-CR" w:eastAsia="es-MX"/>
        </w:rPr>
        <w:lastRenderedPageBreak/>
        <w:t>ergolinas. Sin embargo, los alucinógenos no pueden ser utilizados fácilmente en la investigación y por ellos la base neuroquímica de la conciencia aún no ha sido aclarada (Nichols &amp; Chemel, 2006).</w:t>
      </w:r>
    </w:p>
    <w:p w14:paraId="332D07F4" w14:textId="77777777" w:rsidR="001A3E86" w:rsidRPr="00204F74" w:rsidRDefault="001A3E86" w:rsidP="00E43407">
      <w:pPr>
        <w:pStyle w:val="NoSpacing"/>
        <w:spacing w:line="360" w:lineRule="auto"/>
        <w:ind w:firstLine="708"/>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Nichols &amp; C</w:t>
      </w:r>
      <w:r>
        <w:rPr>
          <w:rFonts w:ascii="Times New Roman" w:hAnsi="Times New Roman" w:cs="Times New Roman"/>
          <w:sz w:val="24"/>
          <w:szCs w:val="24"/>
          <w:lang w:val="es-CR" w:eastAsia="es-MX"/>
        </w:rPr>
        <w:t>hemel (2006) concluyen</w:t>
      </w:r>
      <w:r w:rsidRPr="00204F74">
        <w:rPr>
          <w:rFonts w:ascii="Times New Roman" w:hAnsi="Times New Roman" w:cs="Times New Roman"/>
          <w:sz w:val="24"/>
          <w:szCs w:val="24"/>
          <w:lang w:val="es-CR" w:eastAsia="es-MX"/>
        </w:rPr>
        <w:t xml:space="preserve"> que el uso de sustancias no debe ser basado en miedos e intimidaciones irracionales; sino más bien, </w:t>
      </w:r>
      <w:r>
        <w:rPr>
          <w:rFonts w:ascii="Times New Roman" w:hAnsi="Times New Roman" w:cs="Times New Roman"/>
          <w:sz w:val="24"/>
          <w:szCs w:val="24"/>
          <w:lang w:val="es-CR" w:eastAsia="es-MX"/>
        </w:rPr>
        <w:t xml:space="preserve">que </w:t>
      </w:r>
      <w:r w:rsidRPr="00204F74">
        <w:rPr>
          <w:rFonts w:ascii="Times New Roman" w:hAnsi="Times New Roman" w:cs="Times New Roman"/>
          <w:sz w:val="24"/>
          <w:szCs w:val="24"/>
          <w:lang w:val="es-CR" w:eastAsia="es-MX"/>
        </w:rPr>
        <w:t>se debe apreciar su valor por medio de información veraz y libre de distorsiones, aceptando que estas sustan</w:t>
      </w:r>
      <w:r>
        <w:rPr>
          <w:rFonts w:ascii="Times New Roman" w:hAnsi="Times New Roman" w:cs="Times New Roman"/>
          <w:sz w:val="24"/>
          <w:szCs w:val="24"/>
          <w:lang w:val="es-CR" w:eastAsia="es-MX"/>
        </w:rPr>
        <w:t>cias tienen sus orígenes en la A</w:t>
      </w:r>
      <w:r w:rsidRPr="00204F74">
        <w:rPr>
          <w:rFonts w:ascii="Times New Roman" w:hAnsi="Times New Roman" w:cs="Times New Roman"/>
          <w:sz w:val="24"/>
          <w:szCs w:val="24"/>
          <w:lang w:val="es-CR" w:eastAsia="es-MX"/>
        </w:rPr>
        <w:t>ntigüedad y que tienen mucho por enseñar a la humanidad.</w:t>
      </w:r>
    </w:p>
    <w:p w14:paraId="6196E0CC"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Nichols &amp; Chemel (2006) mantienen cercanía con Quirce-Balma (2009), en tanto el estudio de los alucinógenos a nivel del neurológico es una de los fuertes de la Teoría del Gating de Quirce-Balma. Incluso Nichols es considerado con otra investigación en el estudio de los alucinógenos (Quirce-Balma, 2009). Sin embargo, el concepto de EAC Nichols &amp; Chemel (2006) no conforma la base de sus categorí</w:t>
      </w:r>
      <w:r>
        <w:rPr>
          <w:rFonts w:ascii="Times New Roman" w:hAnsi="Times New Roman" w:cs="Times New Roman"/>
          <w:sz w:val="24"/>
          <w:szCs w:val="24"/>
          <w:lang w:val="es-CR" w:eastAsia="es-MX"/>
        </w:rPr>
        <w:t>as de análisis, como en Quirce-</w:t>
      </w:r>
      <w:r w:rsidRPr="00204F74">
        <w:rPr>
          <w:rFonts w:ascii="Times New Roman" w:hAnsi="Times New Roman" w:cs="Times New Roman"/>
          <w:sz w:val="24"/>
          <w:szCs w:val="24"/>
          <w:lang w:val="es-CR" w:eastAsia="es-MX"/>
        </w:rPr>
        <w:t>Balma (1976) y Quirce-Balma (2009).</w:t>
      </w:r>
    </w:p>
    <w:p w14:paraId="743AE50C"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En 2006</w:t>
      </w:r>
      <w:r w:rsidRPr="004F609D">
        <w:rPr>
          <w:rFonts w:ascii="Times New Roman" w:hAnsi="Times New Roman" w:cs="Times New Roman"/>
          <w:sz w:val="24"/>
          <w:szCs w:val="24"/>
          <w:lang w:val="es-CR" w:eastAsia="es-MX"/>
        </w:rPr>
        <w:t>,</w:t>
      </w:r>
      <w:r w:rsidRPr="00204F74">
        <w:rPr>
          <w:rFonts w:ascii="Times New Roman" w:hAnsi="Times New Roman" w:cs="Times New Roman"/>
          <w:sz w:val="24"/>
          <w:szCs w:val="24"/>
          <w:lang w:val="es-CR" w:eastAsia="es-MX"/>
        </w:rPr>
        <w:t xml:space="preserve"> Winkelman resume estudios transculturales sobre el carácter intercultural del chamanismo y la distribución universal de los curanderos chamánicos, en la búsqueda de las raíces biológicas del chamanismo; tomando en cuenta que la definición del término "chamán" ha sido difícil y se ha utilizado para indicar diferentes practicas mágico-religiosas en general. </w:t>
      </w:r>
    </w:p>
    <w:p w14:paraId="1271EFA1"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 xml:space="preserve">Menciona así las bases biológicas universales del chamanismo; cuyos aspectos centrales implican raíces biogenéticas y funcionales del ritual como parte de una comunicación y un sistema </w:t>
      </w:r>
      <w:r>
        <w:rPr>
          <w:rFonts w:ascii="Times New Roman" w:hAnsi="Times New Roman" w:cs="Times New Roman"/>
          <w:sz w:val="24"/>
          <w:szCs w:val="24"/>
          <w:lang w:val="es-CR" w:eastAsia="es-MX"/>
        </w:rPr>
        <w:t xml:space="preserve">de </w:t>
      </w:r>
      <w:r w:rsidRPr="00204F74">
        <w:rPr>
          <w:rFonts w:ascii="Times New Roman" w:hAnsi="Times New Roman" w:cs="Times New Roman"/>
          <w:sz w:val="24"/>
          <w:szCs w:val="24"/>
          <w:lang w:val="es-CR" w:eastAsia="es-MX"/>
        </w:rPr>
        <w:t xml:space="preserve">coordinación social; </w:t>
      </w:r>
      <w:r>
        <w:rPr>
          <w:rFonts w:ascii="Times New Roman" w:hAnsi="Times New Roman" w:cs="Times New Roman"/>
          <w:sz w:val="24"/>
          <w:szCs w:val="24"/>
          <w:lang w:val="es-CR" w:eastAsia="es-MX"/>
        </w:rPr>
        <w:t xml:space="preserve">también indica </w:t>
      </w:r>
      <w:r w:rsidRPr="00204F74">
        <w:rPr>
          <w:rFonts w:ascii="Times New Roman" w:hAnsi="Times New Roman" w:cs="Times New Roman"/>
          <w:sz w:val="24"/>
          <w:szCs w:val="24"/>
          <w:lang w:val="es-CR" w:eastAsia="es-MX"/>
        </w:rPr>
        <w:t>los estados alterados de conciencia que producen un modo de integración de las potencialidades del cerebro, la manipulación de módulos de representación innatos u operados cognitivos, que se encuentran relacionados con la auto-conciencia y la identidad social, así como formas de pensami</w:t>
      </w:r>
      <w:r>
        <w:rPr>
          <w:rFonts w:ascii="Times New Roman" w:hAnsi="Times New Roman" w:cs="Times New Roman"/>
          <w:sz w:val="24"/>
          <w:szCs w:val="24"/>
          <w:lang w:val="es-CR" w:eastAsia="es-MX"/>
        </w:rPr>
        <w:t>ento integradoras basadas en un</w:t>
      </w:r>
      <w:r w:rsidRPr="00204F74">
        <w:rPr>
          <w:rFonts w:ascii="Times New Roman" w:hAnsi="Times New Roman" w:cs="Times New Roman"/>
          <w:sz w:val="24"/>
          <w:szCs w:val="24"/>
          <w:lang w:val="es-CR" w:eastAsia="es-MX"/>
        </w:rPr>
        <w:t xml:space="preserve"> sistema de representación análoga (Winkelman, 2006).</w:t>
      </w:r>
    </w:p>
    <w:p w14:paraId="3802A71D"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 xml:space="preserve">Ahora bien, se concluye que, si bien no todas las religiones se basan en el chamanismo y los estados alterados de conciencia, la mayor parte de las sociedades han basado las prácticas religiosas en la curación chamánica, y las raíces biológicas del chamanismo muestran el uso de los estados alterados de conciencia para la curación, ello para obtener un contacto con el mundo espiritual (Winkelman, 2006). </w:t>
      </w:r>
    </w:p>
    <w:p w14:paraId="58D1E324"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lastRenderedPageBreak/>
        <w:t>Para Quirce</w:t>
      </w:r>
      <w:r>
        <w:rPr>
          <w:rFonts w:ascii="Times New Roman" w:hAnsi="Times New Roman" w:cs="Times New Roman"/>
          <w:sz w:val="24"/>
          <w:szCs w:val="24"/>
          <w:lang w:val="es-CR" w:eastAsia="es-MX"/>
        </w:rPr>
        <w:t>-Balma</w:t>
      </w:r>
      <w:r w:rsidRPr="00204F74">
        <w:rPr>
          <w:rFonts w:ascii="Times New Roman" w:hAnsi="Times New Roman" w:cs="Times New Roman"/>
          <w:sz w:val="24"/>
          <w:szCs w:val="24"/>
          <w:lang w:val="es-CR" w:eastAsia="es-MX"/>
        </w:rPr>
        <w:t xml:space="preserve"> (2010), considerando a Winkelman (2006) y otras investigaciones posteriores de este mismo autor, las personas que desarrollan rasgos chamánicos han tenido largos periodos de una tecnología de la conciencia de tipo meditativo, contemplativo, de oración, ayunos y dietas inteligentemente di</w:t>
      </w:r>
      <w:r>
        <w:rPr>
          <w:rFonts w:ascii="Times New Roman" w:hAnsi="Times New Roman" w:cs="Times New Roman"/>
          <w:sz w:val="24"/>
          <w:szCs w:val="24"/>
          <w:lang w:val="es-CR" w:eastAsia="es-MX"/>
        </w:rPr>
        <w:t>señadas, repetición de mantras,</w:t>
      </w:r>
      <w:r w:rsidRPr="00204F74">
        <w:rPr>
          <w:rFonts w:ascii="Times New Roman" w:hAnsi="Times New Roman" w:cs="Times New Roman"/>
          <w:sz w:val="24"/>
          <w:szCs w:val="24"/>
          <w:lang w:val="es-CR" w:eastAsia="es-MX"/>
        </w:rPr>
        <w:t xml:space="preserve"> uso de mándalas, lecturas de tipo enaltecedor, reflexiones filosóficas y teológicas, uso inteligente de la herbología y uso igualmente inteligente </w:t>
      </w:r>
      <w:r>
        <w:rPr>
          <w:rFonts w:ascii="Times New Roman" w:hAnsi="Times New Roman" w:cs="Times New Roman"/>
          <w:sz w:val="24"/>
          <w:szCs w:val="24"/>
          <w:lang w:val="es-CR" w:eastAsia="es-MX"/>
        </w:rPr>
        <w:t>de sustancias alucinatorias, entre otras</w:t>
      </w:r>
      <w:r w:rsidRPr="00204F74">
        <w:rPr>
          <w:rFonts w:ascii="Times New Roman" w:hAnsi="Times New Roman" w:cs="Times New Roman"/>
          <w:sz w:val="24"/>
          <w:szCs w:val="24"/>
          <w:lang w:val="es-CR" w:eastAsia="es-MX"/>
        </w:rPr>
        <w:t>. Dichas perso</w:t>
      </w:r>
      <w:r>
        <w:rPr>
          <w:rFonts w:ascii="Times New Roman" w:hAnsi="Times New Roman" w:cs="Times New Roman"/>
          <w:sz w:val="24"/>
          <w:szCs w:val="24"/>
          <w:lang w:val="es-CR" w:eastAsia="es-MX"/>
        </w:rPr>
        <w:t>nas son más sensibles, ma</w:t>
      </w:r>
      <w:r w:rsidRPr="00204F74">
        <w:rPr>
          <w:rFonts w:ascii="Times New Roman" w:hAnsi="Times New Roman" w:cs="Times New Roman"/>
          <w:sz w:val="24"/>
          <w:szCs w:val="24"/>
          <w:lang w:val="es-CR" w:eastAsia="es-MX"/>
        </w:rPr>
        <w:t>s, el uso</w:t>
      </w:r>
      <w:r>
        <w:rPr>
          <w:rFonts w:ascii="Times New Roman" w:hAnsi="Times New Roman" w:cs="Times New Roman"/>
          <w:sz w:val="24"/>
          <w:szCs w:val="24"/>
          <w:lang w:val="es-CR" w:eastAsia="es-MX"/>
        </w:rPr>
        <w:t xml:space="preserve"> de dichas metodologías aumenta</w:t>
      </w:r>
      <w:r w:rsidRPr="00204F74">
        <w:rPr>
          <w:rFonts w:ascii="Times New Roman" w:hAnsi="Times New Roman" w:cs="Times New Roman"/>
          <w:sz w:val="24"/>
          <w:szCs w:val="24"/>
          <w:lang w:val="es-CR" w:eastAsia="es-MX"/>
        </w:rPr>
        <w:t xml:space="preserve"> la sincronización entre el hemisferio izquierdo y el derecho del cerebro. Para Winkelman, dicha sincronización eventualmente llega a establecer nuevos rasgos entre los cuales está la capacidad de curar a otr</w:t>
      </w:r>
      <w:r>
        <w:rPr>
          <w:rFonts w:ascii="Times New Roman" w:hAnsi="Times New Roman" w:cs="Times New Roman"/>
          <w:sz w:val="24"/>
          <w:szCs w:val="24"/>
          <w:lang w:val="es-CR" w:eastAsia="es-MX"/>
        </w:rPr>
        <w:t>as personas (Quirce-Balma, 2010</w:t>
      </w:r>
      <w:r w:rsidRPr="00204F74">
        <w:rPr>
          <w:rFonts w:ascii="Times New Roman" w:hAnsi="Times New Roman" w:cs="Times New Roman"/>
          <w:sz w:val="24"/>
          <w:szCs w:val="24"/>
          <w:lang w:val="es-CR" w:eastAsia="es-MX"/>
        </w:rPr>
        <w:t>).</w:t>
      </w:r>
    </w:p>
    <w:p w14:paraId="0703D398"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Por otro lado, Rogers &amp; Paloutzian (2006) presenta</w:t>
      </w:r>
      <w:r>
        <w:rPr>
          <w:rFonts w:ascii="Times New Roman" w:hAnsi="Times New Roman" w:cs="Times New Roman"/>
          <w:sz w:val="24"/>
          <w:szCs w:val="24"/>
          <w:lang w:val="es-CR" w:eastAsia="es-MX"/>
        </w:rPr>
        <w:t>n</w:t>
      </w:r>
      <w:r w:rsidRPr="00204F74">
        <w:rPr>
          <w:rFonts w:ascii="Times New Roman" w:hAnsi="Times New Roman" w:cs="Times New Roman"/>
          <w:sz w:val="24"/>
          <w:szCs w:val="24"/>
          <w:lang w:val="es-CR" w:eastAsia="es-MX"/>
        </w:rPr>
        <w:t xml:space="preserve"> un análisis de la neurología de la esqui</w:t>
      </w:r>
      <w:r>
        <w:rPr>
          <w:rFonts w:ascii="Times New Roman" w:hAnsi="Times New Roman" w:cs="Times New Roman"/>
          <w:sz w:val="24"/>
          <w:szCs w:val="24"/>
          <w:lang w:val="es-CR" w:eastAsia="es-MX"/>
        </w:rPr>
        <w:t>zofrenia y la religión, tratan</w:t>
      </w:r>
      <w:r w:rsidRPr="00204F74">
        <w:rPr>
          <w:rFonts w:ascii="Times New Roman" w:hAnsi="Times New Roman" w:cs="Times New Roman"/>
          <w:sz w:val="24"/>
          <w:szCs w:val="24"/>
          <w:lang w:val="es-CR" w:eastAsia="es-MX"/>
        </w:rPr>
        <w:t xml:space="preserve"> de responder a la pregunta acerca de qué es lo que distingue las experiencias religiosas de quienes tienen esquizofrenia de las experiencias de quienes no la tienen. Indican que las personas con este trastorno tienen la capacidad de experimentar alucinaciones, delirios y experiencias perceptuales diferentes, sería esta la contribución social única de la esquizofrenia. </w:t>
      </w:r>
    </w:p>
    <w:p w14:paraId="38D916D5"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La tesis de Rogers &amp; Paloutzian (2006) se podría dividir en tres fases. La primera referida a los aspecto</w:t>
      </w:r>
      <w:r>
        <w:rPr>
          <w:rFonts w:ascii="Times New Roman" w:hAnsi="Times New Roman" w:cs="Times New Roman"/>
          <w:sz w:val="24"/>
          <w:szCs w:val="24"/>
          <w:lang w:val="es-CR" w:eastAsia="es-MX"/>
        </w:rPr>
        <w:t>s biológicos, neurológicos y</w:t>
      </w:r>
      <w:r w:rsidRPr="00204F74">
        <w:rPr>
          <w:rFonts w:ascii="Times New Roman" w:hAnsi="Times New Roman" w:cs="Times New Roman"/>
          <w:sz w:val="24"/>
          <w:szCs w:val="24"/>
          <w:lang w:val="es-CR" w:eastAsia="es-MX"/>
        </w:rPr>
        <w:t xml:space="preserve"> sustratos clínicos de la esquizofrenia. La segunda sobre la relación entre la esquizo</w:t>
      </w:r>
      <w:r>
        <w:rPr>
          <w:rFonts w:ascii="Times New Roman" w:hAnsi="Times New Roman" w:cs="Times New Roman"/>
          <w:sz w:val="24"/>
          <w:szCs w:val="24"/>
          <w:lang w:val="es-CR" w:eastAsia="es-MX"/>
        </w:rPr>
        <w:t>frenia y la religión, donde analizan</w:t>
      </w:r>
      <w:r w:rsidRPr="00204F74">
        <w:rPr>
          <w:rFonts w:ascii="Times New Roman" w:hAnsi="Times New Roman" w:cs="Times New Roman"/>
          <w:sz w:val="24"/>
          <w:szCs w:val="24"/>
          <w:lang w:val="es-CR" w:eastAsia="es-MX"/>
        </w:rPr>
        <w:t xml:space="preserve"> el papel de los sistemas frontales y las estructurales temporolímbicas en los</w:t>
      </w:r>
      <w:r>
        <w:rPr>
          <w:rFonts w:ascii="Times New Roman" w:hAnsi="Times New Roman" w:cs="Times New Roman"/>
          <w:sz w:val="24"/>
          <w:szCs w:val="24"/>
          <w:lang w:val="es-CR" w:eastAsia="es-MX"/>
        </w:rPr>
        <w:t xml:space="preserve"> delirios religiosos. La tercera es</w:t>
      </w:r>
      <w:r w:rsidRPr="00204F74">
        <w:rPr>
          <w:rFonts w:ascii="Times New Roman" w:hAnsi="Times New Roman" w:cs="Times New Roman"/>
          <w:sz w:val="24"/>
          <w:szCs w:val="24"/>
          <w:lang w:val="es-CR" w:eastAsia="es-MX"/>
        </w:rPr>
        <w:t xml:space="preserve"> sobre las implicaciones para la biología de los delirios religiosos y la esquizofrenia, desde la evolución y la psicología de la religió</w:t>
      </w:r>
      <w:r>
        <w:rPr>
          <w:rFonts w:ascii="Times New Roman" w:hAnsi="Times New Roman" w:cs="Times New Roman"/>
          <w:sz w:val="24"/>
          <w:szCs w:val="24"/>
          <w:lang w:val="es-CR" w:eastAsia="es-MX"/>
        </w:rPr>
        <w:t>n</w:t>
      </w:r>
      <w:r w:rsidRPr="00204F74">
        <w:rPr>
          <w:rFonts w:ascii="Times New Roman" w:hAnsi="Times New Roman" w:cs="Times New Roman"/>
          <w:sz w:val="24"/>
          <w:szCs w:val="24"/>
          <w:lang w:val="es-CR" w:eastAsia="es-MX"/>
        </w:rPr>
        <w:t>.</w:t>
      </w:r>
    </w:p>
    <w:p w14:paraId="7B4DAE16"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La esquizofrenia y la religión abren un importante debate en la actualidad, ya que quienes creen en los puntos de vista de Sigmund Freud o Albert Ellis consideran que las creencias religiosas son innecesarias, cuando hay una buena salud mental y perjudicial cuando no la hay. Sin embargo, las personas con esquizofrenia, en muchas ocasiones, ven la religión y la espiritualidad como aspectos de importancia destacada en su afrontamiento y funcionamiento cotidiano, la religión representa para ellos un recurso importante para hacer frente a su condición (Rogers &amp; Paloutzian, 2006).</w:t>
      </w:r>
    </w:p>
    <w:p w14:paraId="6E1C717C"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 xml:space="preserve">Dada esta importancia que se le atribuye por los pacientes a la religión, no es tan sorprendente que mucha de la sintomatología, como alucinaciones y delirios, tengan un </w:t>
      </w:r>
      <w:r w:rsidRPr="00204F74">
        <w:rPr>
          <w:rFonts w:ascii="Times New Roman" w:hAnsi="Times New Roman" w:cs="Times New Roman"/>
          <w:sz w:val="24"/>
          <w:szCs w:val="24"/>
          <w:lang w:val="es-CR" w:eastAsia="es-MX"/>
        </w:rPr>
        <w:lastRenderedPageBreak/>
        <w:t>contenido o significado religioso; mientras que las investigaciones han revelado que los delirios religiosos en la esquizofrenia tienen sustratos neurales; donde la persona experimenta un aumento en la captación de las regiones temporales frontal e izquierda, así como una reducción en la actividad occipital. Se concluye entonces, que la esquizofrenia y la religión se encuentran mediadas por sustratos neurológicos que pueden haber contribuido a una ventaja evolutiva de la esquizofrenia (Rogers &amp; Paloutzian, 2006).</w:t>
      </w:r>
    </w:p>
    <w:p w14:paraId="543A86AD"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La distinción entre la esquizofrenia y la religión de Rogers &amp; Paloutzian (2006), mantiene grandes similitudes con Quirce-Balma (1976). De forma similar, los autores comparten la indagación en la dinámica del neurocerebro (Quirce-Balma, 2010).</w:t>
      </w:r>
    </w:p>
    <w:p w14:paraId="644D7296"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Por otra parte, Roberts (2006) realiza un estudio acerca de las entradas químicas, y salidas religiosas y enteógenos. Recoge trabajos de farmateología y destaca los importantes efect</w:t>
      </w:r>
      <w:r>
        <w:rPr>
          <w:rFonts w:ascii="Times New Roman" w:hAnsi="Times New Roman" w:cs="Times New Roman"/>
          <w:sz w:val="24"/>
          <w:szCs w:val="24"/>
          <w:lang w:val="es-CR" w:eastAsia="es-MX"/>
        </w:rPr>
        <w:t>os que los enteógenos tienen</w:t>
      </w:r>
      <w:r w:rsidRPr="00204F74">
        <w:rPr>
          <w:rFonts w:ascii="Times New Roman" w:hAnsi="Times New Roman" w:cs="Times New Roman"/>
          <w:sz w:val="24"/>
          <w:szCs w:val="24"/>
          <w:lang w:val="es-CR" w:eastAsia="es-MX"/>
        </w:rPr>
        <w:t xml:space="preserve"> sobre las ideas acerca de la religión, al incluir estudios sobre el cerebro y la religión.</w:t>
      </w:r>
    </w:p>
    <w:p w14:paraId="0A31D93C"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Destaca que los estudios del cerebro religioso son en la ma</w:t>
      </w:r>
      <w:r w:rsidRPr="004F609D">
        <w:rPr>
          <w:rFonts w:ascii="Times New Roman" w:hAnsi="Times New Roman" w:cs="Times New Roman"/>
          <w:sz w:val="24"/>
          <w:szCs w:val="24"/>
          <w:lang w:val="es-CR" w:eastAsia="es-MX"/>
        </w:rPr>
        <w:t>y</w:t>
      </w:r>
      <w:r w:rsidRPr="00204F74">
        <w:rPr>
          <w:rFonts w:ascii="Times New Roman" w:hAnsi="Times New Roman" w:cs="Times New Roman"/>
          <w:sz w:val="24"/>
          <w:szCs w:val="24"/>
          <w:lang w:val="es-CR" w:eastAsia="es-MX"/>
        </w:rPr>
        <w:t>or parte de las ocasiones descriptivos y caracterizan las actividades que se desarrollan en el sistema nervioso durante las expe</w:t>
      </w:r>
      <w:r>
        <w:rPr>
          <w:rFonts w:ascii="Times New Roman" w:hAnsi="Times New Roman" w:cs="Times New Roman"/>
          <w:sz w:val="24"/>
          <w:szCs w:val="24"/>
          <w:lang w:val="es-CR" w:eastAsia="es-MX"/>
        </w:rPr>
        <w:t>riencias religiosas; mientras</w:t>
      </w:r>
      <w:r w:rsidRPr="00204F74">
        <w:rPr>
          <w:rFonts w:ascii="Times New Roman" w:hAnsi="Times New Roman" w:cs="Times New Roman"/>
          <w:sz w:val="24"/>
          <w:szCs w:val="24"/>
          <w:lang w:val="es-CR" w:eastAsia="es-MX"/>
        </w:rPr>
        <w:t xml:space="preserve"> que existen estudios correlacionales que establecen relaciones entre actividades religiosas, variables demográficas, sociales y morales, así como posiciones políticas (Roberts, 2006). </w:t>
      </w:r>
    </w:p>
    <w:p w14:paraId="35678620"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Propone un</w:t>
      </w:r>
      <w:r>
        <w:rPr>
          <w:rFonts w:ascii="Times New Roman" w:hAnsi="Times New Roman" w:cs="Times New Roman"/>
          <w:sz w:val="24"/>
          <w:szCs w:val="24"/>
          <w:lang w:val="es-CR" w:eastAsia="es-MX"/>
        </w:rPr>
        <w:t>a serie</w:t>
      </w:r>
      <w:r w:rsidRPr="00204F74">
        <w:rPr>
          <w:rFonts w:ascii="Times New Roman" w:hAnsi="Times New Roman" w:cs="Times New Roman"/>
          <w:sz w:val="24"/>
          <w:szCs w:val="24"/>
          <w:lang w:val="es-CR" w:eastAsia="es-MX"/>
        </w:rPr>
        <w:t xml:space="preserve"> de cuestiones a ser investigadas y hace mención acerca de que en los últimos 40 años se han visto importantes avances en los estudios enteogénicos. La reanudación de estos estudios hará que se exploren campos que antes se encontraban “dormidos” (Roberts, 2006). </w:t>
      </w:r>
    </w:p>
    <w:p w14:paraId="5F913D5C"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Quirce-Balma (2010) guarda con Roberts (2006) una cercanía en la consideración central de la experiencia enteogénica. Sin embargo, este último no prese</w:t>
      </w:r>
      <w:r>
        <w:rPr>
          <w:rFonts w:ascii="Times New Roman" w:hAnsi="Times New Roman" w:cs="Times New Roman"/>
          <w:sz w:val="24"/>
          <w:szCs w:val="24"/>
          <w:lang w:val="es-CR" w:eastAsia="es-MX"/>
        </w:rPr>
        <w:t>nta la particularidad de Quirce-</w:t>
      </w:r>
      <w:r w:rsidRPr="00204F74">
        <w:rPr>
          <w:rFonts w:ascii="Times New Roman" w:hAnsi="Times New Roman" w:cs="Times New Roman"/>
          <w:sz w:val="24"/>
          <w:szCs w:val="24"/>
          <w:lang w:val="es-CR" w:eastAsia="es-MX"/>
        </w:rPr>
        <w:t>Balma</w:t>
      </w:r>
      <w:r>
        <w:rPr>
          <w:rFonts w:ascii="Times New Roman" w:hAnsi="Times New Roman" w:cs="Times New Roman"/>
          <w:sz w:val="24"/>
          <w:szCs w:val="24"/>
          <w:lang w:val="es-CR" w:eastAsia="es-MX"/>
        </w:rPr>
        <w:t xml:space="preserve"> (1976)</w:t>
      </w:r>
      <w:r w:rsidRPr="00204F74">
        <w:rPr>
          <w:rFonts w:ascii="Times New Roman" w:hAnsi="Times New Roman" w:cs="Times New Roman"/>
          <w:sz w:val="24"/>
          <w:szCs w:val="24"/>
          <w:lang w:val="es-CR" w:eastAsia="es-MX"/>
        </w:rPr>
        <w:t>, de estudiar esta experiencia en vinculación con los EAC, considerados en sus diferencias cualitativas y cu</w:t>
      </w:r>
      <w:r>
        <w:rPr>
          <w:rFonts w:ascii="Times New Roman" w:hAnsi="Times New Roman" w:cs="Times New Roman"/>
          <w:sz w:val="24"/>
          <w:szCs w:val="24"/>
          <w:lang w:val="es-CR" w:eastAsia="es-MX"/>
        </w:rPr>
        <w:t>antitativas</w:t>
      </w:r>
      <w:r w:rsidRPr="00204F74">
        <w:rPr>
          <w:rFonts w:ascii="Times New Roman" w:hAnsi="Times New Roman" w:cs="Times New Roman"/>
          <w:sz w:val="24"/>
          <w:szCs w:val="24"/>
          <w:lang w:val="es-CR" w:eastAsia="es-MX"/>
        </w:rPr>
        <w:t xml:space="preserve">, aunque sí comparte la alusión a la dinámica cerebral, descrita en la teoría del Gating (Quirce-Balma, 2010) </w:t>
      </w:r>
    </w:p>
    <w:p w14:paraId="61EBD40D"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t>Mohandas (2008) estudia las bases de la neurobiología de la espiritualidad, desde la propuesta de que las practicas espirituales tienen benefi</w:t>
      </w:r>
      <w:r>
        <w:rPr>
          <w:rFonts w:ascii="Times New Roman" w:hAnsi="Times New Roman" w:cs="Times New Roman"/>
          <w:sz w:val="24"/>
          <w:szCs w:val="24"/>
          <w:lang w:val="es-CR" w:eastAsia="es-MX"/>
        </w:rPr>
        <w:t>cios sobre la salud mental e indica que</w:t>
      </w:r>
      <w:r w:rsidRPr="00204F74">
        <w:rPr>
          <w:rFonts w:ascii="Times New Roman" w:hAnsi="Times New Roman" w:cs="Times New Roman"/>
          <w:sz w:val="24"/>
          <w:szCs w:val="24"/>
          <w:lang w:val="es-CR" w:eastAsia="es-MX"/>
        </w:rPr>
        <w:t xml:space="preserve"> la espiritualidad implica la conexión con algo más grande que el ser mismo; además, de que religión y espiritualidad no son términos o acciones que siempre se encuentren juntas. </w:t>
      </w:r>
    </w:p>
    <w:p w14:paraId="2F32EA90" w14:textId="77777777" w:rsidR="001A3E86" w:rsidRPr="00204F74" w:rsidRDefault="001A3E86" w:rsidP="001A3E86">
      <w:pPr>
        <w:pStyle w:val="NoSpacing"/>
        <w:spacing w:line="360" w:lineRule="auto"/>
        <w:ind w:firstLine="720"/>
        <w:jc w:val="both"/>
        <w:rPr>
          <w:rFonts w:ascii="Times New Roman" w:hAnsi="Times New Roman" w:cs="Times New Roman"/>
          <w:sz w:val="24"/>
          <w:szCs w:val="24"/>
          <w:lang w:val="es-CR" w:eastAsia="es-MX"/>
        </w:rPr>
      </w:pPr>
      <w:r w:rsidRPr="00204F74">
        <w:rPr>
          <w:rFonts w:ascii="Times New Roman" w:hAnsi="Times New Roman" w:cs="Times New Roman"/>
          <w:sz w:val="24"/>
          <w:szCs w:val="24"/>
          <w:lang w:val="es-CR" w:eastAsia="es-MX"/>
        </w:rPr>
        <w:lastRenderedPageBreak/>
        <w:t>El autor rescata que</w:t>
      </w:r>
      <w:r>
        <w:rPr>
          <w:rFonts w:ascii="Times New Roman" w:hAnsi="Times New Roman" w:cs="Times New Roman"/>
          <w:sz w:val="24"/>
          <w:szCs w:val="24"/>
          <w:lang w:val="es-CR" w:eastAsia="es-MX"/>
        </w:rPr>
        <w:t>,</w:t>
      </w:r>
      <w:r w:rsidRPr="00204F74">
        <w:rPr>
          <w:rFonts w:ascii="Times New Roman" w:hAnsi="Times New Roman" w:cs="Times New Roman"/>
          <w:sz w:val="24"/>
          <w:szCs w:val="24"/>
          <w:lang w:val="es-CR" w:eastAsia="es-MX"/>
        </w:rPr>
        <w:t xml:space="preserve"> en la mayor parte de los estudios sobre estas temáticas, se ha concluido que la participación religiosa y la espiritualidad se encuentran relacionados con mejores resultados en términos de salud. Por ejemplo, un análisis reciente que resumió los resultados de 147 estudios, con una población total de 98975 sujetos, encontró que la religiosidad se encuentra mayormente asociada con menores niveles de síntomas depresivos (Mohandas, 2008).</w:t>
      </w:r>
    </w:p>
    <w:p w14:paraId="4F5D691C" w14:textId="77777777" w:rsidR="001A3E86" w:rsidRPr="00204F74"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MX"/>
        </w:rPr>
      </w:pPr>
      <w:r w:rsidRPr="00204F74">
        <w:rPr>
          <w:rFonts w:ascii="Times New Roman" w:hAnsi="Times New Roman" w:cs="Times New Roman"/>
          <w:sz w:val="24"/>
          <w:szCs w:val="24"/>
          <w:lang w:val="es-CR" w:eastAsia="es-MX"/>
        </w:rPr>
        <w:t xml:space="preserve">Toda esta evidencia apunta a la existencia de una clara asociación, tanto positiva como negativa entre espiritualidad/religión y la salud mental. Sin embargo, existe una escasez respecto a los correlatos neurales de la práctica espiritual, ya que la mayoría de estudios existentes se han concentrado en actividades meditativas </w:t>
      </w:r>
      <w:r w:rsidRPr="00204F74">
        <w:rPr>
          <w:rFonts w:ascii="Times New Roman" w:eastAsia="Times New Roman" w:hAnsi="Times New Roman" w:cs="Times New Roman"/>
          <w:sz w:val="24"/>
          <w:szCs w:val="24"/>
          <w:lang w:val="es-CR" w:eastAsia="es-MX"/>
        </w:rPr>
        <w:t>(Mohandas, 2008).</w:t>
      </w:r>
    </w:p>
    <w:p w14:paraId="4D9625FF" w14:textId="77777777" w:rsidR="001A3E86" w:rsidRPr="00204F74"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MX"/>
        </w:rPr>
      </w:pPr>
      <w:r w:rsidRPr="00204F74">
        <w:rPr>
          <w:rFonts w:ascii="Times New Roman" w:hAnsi="Times New Roman" w:cs="Times New Roman"/>
          <w:sz w:val="24"/>
          <w:szCs w:val="24"/>
          <w:lang w:val="es-CR" w:eastAsia="es-MX"/>
        </w:rPr>
        <w:t>Las investigaciones apuntan a que en la meditación espiritual y las prácticas religiosas existe un papel importante de la corte</w:t>
      </w:r>
      <w:r>
        <w:rPr>
          <w:rFonts w:ascii="Times New Roman" w:hAnsi="Times New Roman" w:cs="Times New Roman"/>
          <w:sz w:val="24"/>
          <w:szCs w:val="24"/>
          <w:lang w:val="es-CR" w:eastAsia="es-MX"/>
        </w:rPr>
        <w:t>za prefrontal; a la vez cuando é</w:t>
      </w:r>
      <w:r w:rsidRPr="00204F74">
        <w:rPr>
          <w:rFonts w:ascii="Times New Roman" w:hAnsi="Times New Roman" w:cs="Times New Roman"/>
          <w:sz w:val="24"/>
          <w:szCs w:val="24"/>
          <w:lang w:val="es-CR" w:eastAsia="es-MX"/>
        </w:rPr>
        <w:t xml:space="preserve">sta se activa, a través de las proyecciones glutamatérgicas, puede activar el tálamo, en especial su núcleo reticular, y con ello activar una especie de red atencional global </w:t>
      </w:r>
      <w:r w:rsidRPr="00204F74">
        <w:rPr>
          <w:rFonts w:ascii="Times New Roman" w:eastAsia="Times New Roman" w:hAnsi="Times New Roman" w:cs="Times New Roman"/>
          <w:sz w:val="24"/>
          <w:szCs w:val="24"/>
          <w:lang w:val="es-CR" w:eastAsia="es-MX"/>
        </w:rPr>
        <w:t>(Mohandas, 2008).</w:t>
      </w:r>
    </w:p>
    <w:p w14:paraId="143C84C7" w14:textId="77777777" w:rsidR="001A3E86" w:rsidRPr="00204F74"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MX"/>
        </w:rPr>
      </w:pPr>
      <w:r w:rsidRPr="00204F74">
        <w:rPr>
          <w:rFonts w:ascii="Times New Roman" w:hAnsi="Times New Roman" w:cs="Times New Roman"/>
          <w:sz w:val="24"/>
          <w:szCs w:val="24"/>
          <w:lang w:val="es-CR" w:eastAsia="es-MX"/>
        </w:rPr>
        <w:t xml:space="preserve">El autor concluye que los pocos estudios que se han realizado demuestran que existen cambios neuroanatómicos y químicos en las prácticas espirituales. Sin embargo, la evidencia se ha obtenido de estudios que examinan principalmente la meditación, los mismos son pequeñas investigaciones, con muestras limitadas, y cuyos resultados no han sido replicados; por lo que existe la necesidad de más investigación de las prácticas espirituales </w:t>
      </w:r>
      <w:r w:rsidRPr="00204F74">
        <w:rPr>
          <w:rFonts w:ascii="Times New Roman" w:eastAsia="Times New Roman" w:hAnsi="Times New Roman" w:cs="Times New Roman"/>
          <w:sz w:val="24"/>
          <w:szCs w:val="24"/>
          <w:lang w:val="es-CR" w:eastAsia="es-MX"/>
        </w:rPr>
        <w:t>(Mohandas, 2008).</w:t>
      </w:r>
    </w:p>
    <w:p w14:paraId="70BE714D" w14:textId="77777777" w:rsidR="001A3E86" w:rsidRPr="00204F74"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MX"/>
        </w:rPr>
      </w:pPr>
      <w:r w:rsidRPr="00204F74">
        <w:rPr>
          <w:rFonts w:ascii="Times New Roman" w:eastAsia="Times New Roman" w:hAnsi="Times New Roman" w:cs="Times New Roman"/>
          <w:sz w:val="24"/>
          <w:szCs w:val="24"/>
          <w:lang w:val="es-CR" w:eastAsia="es-MX"/>
        </w:rPr>
        <w:t>La investigación de Fingelkurts &amp; Fingelkurts (2009) realiza una revisión sistemática sobre la función del cerebro en la mediación de la e</w:t>
      </w:r>
      <w:r>
        <w:rPr>
          <w:rFonts w:ascii="Times New Roman" w:eastAsia="Times New Roman" w:hAnsi="Times New Roman" w:cs="Times New Roman"/>
          <w:sz w:val="24"/>
          <w:szCs w:val="24"/>
          <w:lang w:val="es-CR" w:eastAsia="es-MX"/>
        </w:rPr>
        <w:t>xperiencia religiosa, revisa</w:t>
      </w:r>
      <w:r w:rsidRPr="00204F74">
        <w:rPr>
          <w:rFonts w:ascii="Times New Roman" w:eastAsia="Times New Roman" w:hAnsi="Times New Roman" w:cs="Times New Roman"/>
          <w:sz w:val="24"/>
          <w:szCs w:val="24"/>
          <w:lang w:val="es-CR" w:eastAsia="es-MX"/>
        </w:rPr>
        <w:t xml:space="preserve"> argumentos, posiciones y controversias que se han dado en</w:t>
      </w:r>
      <w:r>
        <w:rPr>
          <w:rFonts w:ascii="Times New Roman" w:eastAsia="Times New Roman" w:hAnsi="Times New Roman" w:cs="Times New Roman"/>
          <w:sz w:val="24"/>
          <w:szCs w:val="24"/>
          <w:lang w:val="es-CR" w:eastAsia="es-MX"/>
        </w:rPr>
        <w:t xml:space="preserve"> el debate de dicho tema; ven</w:t>
      </w:r>
      <w:r w:rsidRPr="00204F74">
        <w:rPr>
          <w:rFonts w:ascii="Times New Roman" w:eastAsia="Times New Roman" w:hAnsi="Times New Roman" w:cs="Times New Roman"/>
          <w:sz w:val="24"/>
          <w:szCs w:val="24"/>
          <w:lang w:val="es-CR" w:eastAsia="es-MX"/>
        </w:rPr>
        <w:t xml:space="preserve"> al humano como una entidad psico-somática, con múl</w:t>
      </w:r>
      <w:r>
        <w:rPr>
          <w:rFonts w:ascii="Times New Roman" w:eastAsia="Times New Roman" w:hAnsi="Times New Roman" w:cs="Times New Roman"/>
          <w:sz w:val="24"/>
          <w:szCs w:val="24"/>
          <w:lang w:val="es-CR" w:eastAsia="es-MX"/>
        </w:rPr>
        <w:t>tiples niveles y dimensiones</w:t>
      </w:r>
      <w:r w:rsidRPr="00204F74">
        <w:rPr>
          <w:rFonts w:ascii="Times New Roman" w:eastAsia="Times New Roman" w:hAnsi="Times New Roman" w:cs="Times New Roman"/>
          <w:sz w:val="24"/>
          <w:szCs w:val="24"/>
          <w:lang w:val="es-CR" w:eastAsia="es-MX"/>
        </w:rPr>
        <w:t>. En dicho estudio se exponen</w:t>
      </w:r>
      <w:r>
        <w:rPr>
          <w:rFonts w:ascii="Times New Roman" w:eastAsia="Times New Roman" w:hAnsi="Times New Roman" w:cs="Times New Roman"/>
          <w:sz w:val="24"/>
          <w:szCs w:val="24"/>
          <w:lang w:val="es-CR" w:eastAsia="es-MX"/>
        </w:rPr>
        <w:t>,</w:t>
      </w:r>
      <w:r w:rsidRPr="00204F74">
        <w:rPr>
          <w:rFonts w:ascii="Times New Roman" w:eastAsia="Times New Roman" w:hAnsi="Times New Roman" w:cs="Times New Roman"/>
          <w:sz w:val="24"/>
          <w:szCs w:val="24"/>
          <w:lang w:val="es-CR" w:eastAsia="es-MX"/>
        </w:rPr>
        <w:t xml:space="preserve"> además, los niveles de funcionamiento cerebral y el papel de los procesos cognitivos en la experiencia religiosa estudiados desde la neurociencia. </w:t>
      </w:r>
    </w:p>
    <w:p w14:paraId="550D7ADA" w14:textId="77777777" w:rsidR="001A3E86" w:rsidRPr="00204F74" w:rsidRDefault="001A3E86" w:rsidP="001A3E86">
      <w:pPr>
        <w:pStyle w:val="NoSpacing"/>
        <w:spacing w:line="360" w:lineRule="auto"/>
        <w:ind w:firstLine="720"/>
        <w:jc w:val="both"/>
        <w:rPr>
          <w:rFonts w:ascii="Times New Roman" w:eastAsia="Times New Roman" w:hAnsi="Times New Roman" w:cs="Times New Roman"/>
          <w:sz w:val="24"/>
          <w:szCs w:val="24"/>
          <w:lang w:val="es-CR" w:eastAsia="es-CR"/>
        </w:rPr>
      </w:pPr>
      <w:r w:rsidRPr="00204F74">
        <w:rPr>
          <w:rFonts w:ascii="Times New Roman" w:eastAsia="Times New Roman" w:hAnsi="Times New Roman" w:cs="Times New Roman"/>
          <w:sz w:val="24"/>
          <w:szCs w:val="24"/>
          <w:lang w:val="es-CR" w:eastAsia="es-MX"/>
        </w:rPr>
        <w:t>Los autores exponen lo que se entiende por exper</w:t>
      </w:r>
      <w:r>
        <w:rPr>
          <w:rFonts w:ascii="Times New Roman" w:eastAsia="Times New Roman" w:hAnsi="Times New Roman" w:cs="Times New Roman"/>
          <w:sz w:val="24"/>
          <w:szCs w:val="24"/>
          <w:lang w:val="es-CR" w:eastAsia="es-MX"/>
        </w:rPr>
        <w:t>iencia religiosa, salvaguardan</w:t>
      </w:r>
      <w:r w:rsidRPr="00204F74">
        <w:rPr>
          <w:rFonts w:ascii="Times New Roman" w:eastAsia="Times New Roman" w:hAnsi="Times New Roman" w:cs="Times New Roman"/>
          <w:sz w:val="24"/>
          <w:szCs w:val="24"/>
          <w:lang w:val="es-CR" w:eastAsia="es-MX"/>
        </w:rPr>
        <w:t xml:space="preserve"> que</w:t>
      </w:r>
      <w:r>
        <w:rPr>
          <w:rFonts w:ascii="Times New Roman" w:eastAsia="Times New Roman" w:hAnsi="Times New Roman" w:cs="Times New Roman"/>
          <w:sz w:val="24"/>
          <w:szCs w:val="24"/>
          <w:lang w:val="es-CR" w:eastAsia="es-MX"/>
        </w:rPr>
        <w:t xml:space="preserve"> esta es una de las tres partes de la actividad religiosa (las otra</w:t>
      </w:r>
      <w:r w:rsidRPr="00204F74">
        <w:rPr>
          <w:rFonts w:ascii="Times New Roman" w:eastAsia="Times New Roman" w:hAnsi="Times New Roman" w:cs="Times New Roman"/>
          <w:sz w:val="24"/>
          <w:szCs w:val="24"/>
          <w:lang w:val="es-CR" w:eastAsia="es-MX"/>
        </w:rPr>
        <w:t>s dos son la creencia y la práctica)</w:t>
      </w:r>
      <w:r>
        <w:rPr>
          <w:rFonts w:ascii="Times New Roman" w:eastAsia="Times New Roman" w:hAnsi="Times New Roman" w:cs="Times New Roman"/>
          <w:sz w:val="24"/>
          <w:szCs w:val="24"/>
          <w:lang w:val="es-CR" w:eastAsia="es-MX"/>
        </w:rPr>
        <w:t>,</w:t>
      </w:r>
      <w:r w:rsidRPr="00204F74">
        <w:rPr>
          <w:rFonts w:ascii="Times New Roman" w:eastAsia="Times New Roman" w:hAnsi="Times New Roman" w:cs="Times New Roman"/>
          <w:sz w:val="24"/>
          <w:szCs w:val="24"/>
          <w:lang w:val="es-CR" w:eastAsia="es-MX"/>
        </w:rPr>
        <w:t xml:space="preserve"> y que su definición ha sido difícil entre los diferentes estudiosos del tema. Se dice que es una experiencia subjetiva, un fenómeno mundo dentro del cerebro (llam</w:t>
      </w:r>
      <w:r>
        <w:rPr>
          <w:rFonts w:ascii="Times New Roman" w:eastAsia="Times New Roman" w:hAnsi="Times New Roman" w:cs="Times New Roman"/>
          <w:sz w:val="24"/>
          <w:szCs w:val="24"/>
          <w:lang w:val="es-CR" w:eastAsia="es-MX"/>
        </w:rPr>
        <w:t>ado “mundo-para-mí”); lo que define</w:t>
      </w:r>
      <w:r w:rsidRPr="00204F74">
        <w:rPr>
          <w:rFonts w:ascii="Times New Roman" w:eastAsia="Times New Roman" w:hAnsi="Times New Roman" w:cs="Times New Roman"/>
          <w:sz w:val="24"/>
          <w:szCs w:val="24"/>
          <w:lang w:val="es-CR" w:eastAsia="es-MX"/>
        </w:rPr>
        <w:t xml:space="preserve"> la experiencia religiosa como el momento de </w:t>
      </w:r>
      <w:r w:rsidRPr="00204F74">
        <w:rPr>
          <w:rFonts w:ascii="Times New Roman" w:eastAsia="Times New Roman" w:hAnsi="Times New Roman" w:cs="Times New Roman"/>
          <w:sz w:val="24"/>
          <w:szCs w:val="24"/>
          <w:lang w:val="es-CR" w:eastAsia="es-MX"/>
        </w:rPr>
        <w:lastRenderedPageBreak/>
        <w:t>experimentar la realidad divina última, un evento trascende</w:t>
      </w:r>
      <w:r>
        <w:rPr>
          <w:rFonts w:ascii="Times New Roman" w:eastAsia="Times New Roman" w:hAnsi="Times New Roman" w:cs="Times New Roman"/>
          <w:sz w:val="24"/>
          <w:szCs w:val="24"/>
          <w:lang w:val="es-CR" w:eastAsia="es-MX"/>
        </w:rPr>
        <w:t>nte, que incluye un bienestar y/</w:t>
      </w:r>
      <w:r w:rsidRPr="00204F74">
        <w:rPr>
          <w:rFonts w:ascii="Times New Roman" w:eastAsia="Times New Roman" w:hAnsi="Times New Roman" w:cs="Times New Roman"/>
          <w:sz w:val="24"/>
          <w:szCs w:val="24"/>
          <w:lang w:val="es-CR" w:eastAsia="es-MX"/>
        </w:rPr>
        <w:t xml:space="preserve">o unión divina, con una sensación inolvidable, acompañada de emociones y pensamientos religiosos (Fingelkurts &amp; Fingelkurts, 2009). </w:t>
      </w:r>
    </w:p>
    <w:p w14:paraId="012EDBFC" w14:textId="77777777" w:rsidR="001A3E86" w:rsidRPr="00AE6A9C" w:rsidRDefault="001A3E86" w:rsidP="001A3E86">
      <w:pPr>
        <w:pStyle w:val="NoSpacing"/>
        <w:spacing w:line="360" w:lineRule="auto"/>
        <w:jc w:val="both"/>
        <w:rPr>
          <w:rFonts w:ascii="Times New Roman" w:hAnsi="Times New Roman" w:cs="Times New Roman"/>
          <w:sz w:val="24"/>
          <w:szCs w:val="24"/>
          <w:lang w:val="es-ES" w:eastAsia="es-MX"/>
        </w:rPr>
      </w:pPr>
      <w:r w:rsidRPr="00AE6A9C">
        <w:rPr>
          <w:rFonts w:ascii="Times New Roman" w:hAnsi="Times New Roman" w:cs="Times New Roman"/>
          <w:sz w:val="24"/>
          <w:szCs w:val="24"/>
          <w:lang w:val="es-ES" w:eastAsia="es-MX"/>
        </w:rPr>
        <w:tab/>
        <w:t>Se concluye que un nivel apropiado de análisis del fenómeno de la experiencia religiosa a nivel cerebral, debe tomar en cuenta la experiencia subjetiva, los procesos cognitivos y la actividad cerebral, que a gran escala se relaciona con el nivel fenomenológico de la experiencia subjetiva que tiene el individuo. Sin embargo, la teología y la neurociencia son dos formas diferentes de ver y describir el mundo, por lo que el análisis de un fenómeno desde ambos puntos de vista requiere el desarrollo de un marco conceptual común (Fingelkurts &amp; Fingelkurts, 2009).</w:t>
      </w:r>
    </w:p>
    <w:p w14:paraId="7DB9FD67" w14:textId="77777777" w:rsidR="001A3E86" w:rsidRPr="00AE6A9C" w:rsidRDefault="001A3E86" w:rsidP="001A3E86">
      <w:pPr>
        <w:pStyle w:val="NoSpacing"/>
        <w:spacing w:line="360" w:lineRule="auto"/>
        <w:jc w:val="both"/>
        <w:rPr>
          <w:rFonts w:ascii="Times New Roman" w:hAnsi="Times New Roman" w:cs="Times New Roman"/>
          <w:sz w:val="24"/>
          <w:szCs w:val="24"/>
          <w:lang w:val="es-ES" w:eastAsia="es-MX"/>
        </w:rPr>
      </w:pPr>
      <w:r w:rsidRPr="00AE6A9C">
        <w:rPr>
          <w:rFonts w:ascii="Times New Roman" w:hAnsi="Times New Roman" w:cs="Times New Roman"/>
          <w:sz w:val="24"/>
          <w:szCs w:val="24"/>
          <w:lang w:val="es-ES" w:eastAsia="es-MX"/>
        </w:rPr>
        <w:tab/>
        <w:t xml:space="preserve">La investigación finaliza al indicar que el estudio de la experiencia religiosa tiene una importancia significativa no solo para la teología y la filosofía, sino también para la ciencia y la práctica clínica; por ser el estado en que una persona rompe sus propios límites humanos y podría ser la manera de resolver el problema de la mente subjetiva. Su estudio puede dar luz sobre la mente, la conciencia, el yo y la realidad; así como la relación entre las características fenomenológicas, estados cerebrales, fisiología corporal y comportamiento (Fingelkurts &amp; Fingelkurts, 2009). </w:t>
      </w:r>
    </w:p>
    <w:p w14:paraId="633B54B9" w14:textId="77777777" w:rsidR="001A3E86" w:rsidRPr="00AE6A9C" w:rsidRDefault="001A3E86" w:rsidP="001A3E86">
      <w:pPr>
        <w:pStyle w:val="NoSpacing"/>
        <w:spacing w:line="360" w:lineRule="auto"/>
        <w:jc w:val="both"/>
        <w:rPr>
          <w:rFonts w:ascii="Times New Roman" w:hAnsi="Times New Roman" w:cs="Times New Roman"/>
          <w:sz w:val="24"/>
          <w:szCs w:val="24"/>
          <w:lang w:val="es-ES" w:eastAsia="es-MX"/>
        </w:rPr>
      </w:pPr>
      <w:r w:rsidRPr="00AE6A9C">
        <w:rPr>
          <w:rFonts w:ascii="Times New Roman" w:hAnsi="Times New Roman" w:cs="Times New Roman"/>
          <w:sz w:val="24"/>
          <w:szCs w:val="24"/>
          <w:lang w:val="es-ES" w:eastAsia="es-MX"/>
        </w:rPr>
        <w:tab/>
        <w:t>La cercanía con respecto a Mohandas (2006) y Fingelkurts y Fingelkurts (2009), las indica Quirce-Balma (2010), al decir que el primero establece una correlación entre diversas áreas neurocerebrales estimuladas por distintos métodos de oración, meditación y otros métodos utilizados para alcanzar la conciencia más elevada. Mientras que Fingelkurts</w:t>
      </w:r>
      <w:r>
        <w:rPr>
          <w:rFonts w:ascii="Times New Roman" w:hAnsi="Times New Roman" w:cs="Times New Roman"/>
          <w:sz w:val="24"/>
          <w:szCs w:val="24"/>
          <w:lang w:val="es-ES" w:eastAsia="es-MX"/>
        </w:rPr>
        <w:t xml:space="preserve"> y Fingelkurts (2009) indican</w:t>
      </w:r>
      <w:r w:rsidRPr="00AE6A9C">
        <w:rPr>
          <w:rFonts w:ascii="Times New Roman" w:hAnsi="Times New Roman" w:cs="Times New Roman"/>
          <w:sz w:val="24"/>
          <w:szCs w:val="24"/>
          <w:lang w:val="es-ES" w:eastAsia="es-MX"/>
        </w:rPr>
        <w:t xml:space="preserve"> que</w:t>
      </w:r>
      <w:r>
        <w:rPr>
          <w:rFonts w:ascii="Times New Roman" w:hAnsi="Times New Roman" w:cs="Times New Roman"/>
          <w:sz w:val="24"/>
          <w:szCs w:val="24"/>
          <w:lang w:val="es-ES" w:eastAsia="es-MX"/>
        </w:rPr>
        <w:t>,</w:t>
      </w:r>
      <w:r w:rsidRPr="00AE6A9C">
        <w:rPr>
          <w:rFonts w:ascii="Times New Roman" w:hAnsi="Times New Roman" w:cs="Times New Roman"/>
          <w:sz w:val="24"/>
          <w:szCs w:val="24"/>
          <w:lang w:val="es-ES" w:eastAsia="es-MX"/>
        </w:rPr>
        <w:t xml:space="preserve"> toda experiencia religiosa sea alucinatoria o no lo sea, involucra diversas reacciones neurocerebrales y busca distinguir entre el hecho de “manufacturar” a Dios neurológicamente versus la de tener la experiencia directa de “percibir” a Dios.</w:t>
      </w:r>
    </w:p>
    <w:p w14:paraId="762E2FC5" w14:textId="77777777" w:rsidR="001A3E86" w:rsidRPr="00AE6A9C" w:rsidRDefault="001A3E86" w:rsidP="001A3E86">
      <w:pPr>
        <w:pStyle w:val="NoSpacing"/>
        <w:spacing w:line="360" w:lineRule="auto"/>
        <w:jc w:val="both"/>
        <w:rPr>
          <w:rFonts w:ascii="Times New Roman" w:hAnsi="Times New Roman" w:cs="Times New Roman"/>
          <w:sz w:val="24"/>
          <w:szCs w:val="24"/>
          <w:lang w:val="es-ES" w:eastAsia="es-MX"/>
        </w:rPr>
      </w:pPr>
    </w:p>
    <w:p w14:paraId="64EB8E5A" w14:textId="77777777" w:rsidR="001A3E86" w:rsidRPr="004F609D" w:rsidRDefault="001A3E86" w:rsidP="001A3E86">
      <w:pPr>
        <w:rPr>
          <w:rFonts w:ascii="Times New Roman" w:hAnsi="Times New Roman" w:cs="Times New Roman"/>
          <w:b/>
          <w:sz w:val="24"/>
          <w:szCs w:val="24"/>
          <w:lang w:val="es-CR"/>
        </w:rPr>
      </w:pPr>
      <w:bookmarkStart w:id="10" w:name="_Toc474090211"/>
      <w:r w:rsidRPr="009B10C0">
        <w:rPr>
          <w:rStyle w:val="Heading2Char"/>
          <w:rFonts w:ascii="Times New Roman" w:eastAsiaTheme="minorHAnsi" w:hAnsi="Times New Roman"/>
          <w:color w:val="auto"/>
          <w:sz w:val="24"/>
          <w:szCs w:val="24"/>
        </w:rPr>
        <w:t>iv. Objetivos</w:t>
      </w:r>
      <w:bookmarkEnd w:id="10"/>
      <w:r w:rsidRPr="004F609D">
        <w:rPr>
          <w:rFonts w:ascii="Times New Roman" w:hAnsi="Times New Roman" w:cs="Times New Roman"/>
          <w:b/>
          <w:sz w:val="24"/>
          <w:szCs w:val="24"/>
          <w:lang w:val="es-CR"/>
        </w:rPr>
        <w:t>:</w:t>
      </w:r>
    </w:p>
    <w:p w14:paraId="3BC10137" w14:textId="77777777" w:rsidR="001A3E86" w:rsidRPr="004F609D" w:rsidRDefault="001A3E86" w:rsidP="001A3E86">
      <w:pPr>
        <w:rPr>
          <w:rFonts w:ascii="Times New Roman" w:hAnsi="Times New Roman" w:cs="Times New Roman"/>
          <w:b/>
          <w:sz w:val="24"/>
          <w:szCs w:val="24"/>
          <w:lang w:val="es-CR"/>
        </w:rPr>
      </w:pPr>
    </w:p>
    <w:p w14:paraId="765871BF" w14:textId="77777777" w:rsidR="001A3E86" w:rsidRPr="009B10C0" w:rsidRDefault="001A3E86" w:rsidP="001A3E86">
      <w:pPr>
        <w:pStyle w:val="Heading3"/>
        <w:jc w:val="both"/>
        <w:rPr>
          <w:rFonts w:ascii="Times New Roman" w:hAnsi="Times New Roman"/>
          <w:sz w:val="24"/>
          <w:szCs w:val="24"/>
        </w:rPr>
      </w:pPr>
      <w:bookmarkStart w:id="11" w:name="_Toc474090212"/>
      <w:r w:rsidRPr="009B10C0">
        <w:rPr>
          <w:rFonts w:ascii="Times New Roman" w:hAnsi="Times New Roman"/>
          <w:sz w:val="24"/>
          <w:szCs w:val="24"/>
        </w:rPr>
        <w:lastRenderedPageBreak/>
        <w:t>Objetivo general:</w:t>
      </w:r>
      <w:bookmarkEnd w:id="11"/>
    </w:p>
    <w:p w14:paraId="3A109344" w14:textId="77777777" w:rsidR="001A3E86" w:rsidRPr="004F609D" w:rsidRDefault="001A3E86" w:rsidP="001A3E86">
      <w:pPr>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Determinar los aportes de la espiritualidad enteogénica precolombina estudiada por Quirce-Balma para la reflexión teológica en América Latina desde una perspectiva intercultural.</w:t>
      </w:r>
    </w:p>
    <w:p w14:paraId="28EE5A51" w14:textId="77777777" w:rsidR="001A3E86" w:rsidRPr="004F609D" w:rsidRDefault="001A3E86" w:rsidP="001A3E86">
      <w:pPr>
        <w:jc w:val="both"/>
        <w:rPr>
          <w:rFonts w:ascii="Arial" w:hAnsi="Arial" w:cs="Arial"/>
          <w:sz w:val="24"/>
          <w:szCs w:val="24"/>
          <w:lang w:val="es-CR"/>
        </w:rPr>
      </w:pPr>
    </w:p>
    <w:p w14:paraId="5B0B9B42" w14:textId="77777777" w:rsidR="001A3E86" w:rsidRPr="004F609D" w:rsidRDefault="001A3E86" w:rsidP="001A3E86">
      <w:pPr>
        <w:jc w:val="both"/>
        <w:rPr>
          <w:rFonts w:ascii="Times New Roman" w:hAnsi="Times New Roman" w:cs="Times New Roman"/>
          <w:b/>
          <w:sz w:val="24"/>
          <w:szCs w:val="24"/>
          <w:lang w:val="es-CR"/>
        </w:rPr>
      </w:pPr>
      <w:bookmarkStart w:id="12" w:name="_Toc474090213"/>
      <w:r w:rsidRPr="00F447F1">
        <w:rPr>
          <w:rStyle w:val="Heading3Char"/>
          <w:rFonts w:ascii="Times New Roman" w:eastAsiaTheme="minorHAnsi" w:hAnsi="Times New Roman"/>
          <w:sz w:val="24"/>
          <w:szCs w:val="24"/>
        </w:rPr>
        <w:t>Objetivos específicos</w:t>
      </w:r>
      <w:bookmarkEnd w:id="12"/>
      <w:r w:rsidRPr="004F609D">
        <w:rPr>
          <w:rFonts w:ascii="Times New Roman" w:hAnsi="Times New Roman" w:cs="Times New Roman"/>
          <w:b/>
          <w:sz w:val="24"/>
          <w:szCs w:val="24"/>
          <w:lang w:val="es-CR"/>
        </w:rPr>
        <w:t>:</w:t>
      </w:r>
    </w:p>
    <w:p w14:paraId="675017E7"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Establecer un primer acercamiento dialógico entre la etnofarmacología de Quirce-Balma, la teología intercultural, la teología de la liberación y la teología tradicional.</w:t>
      </w:r>
    </w:p>
    <w:p w14:paraId="06B1EC76"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Distinguir la espiritualidad de las drogas enteogénicas del mundo precolombino como memoria cultural.</w:t>
      </w:r>
    </w:p>
    <w:p w14:paraId="72C921C9"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Reconocer los aportes teológicos de la espiritualidad de las drogas enteogénicas del mundo precolombino estudiada por Quirce-Balma.</w:t>
      </w:r>
    </w:p>
    <w:p w14:paraId="292221B1" w14:textId="77777777" w:rsidR="001A3E86" w:rsidRPr="004F609D" w:rsidRDefault="001A3E86" w:rsidP="001A3E86">
      <w:pPr>
        <w:rPr>
          <w:rFonts w:ascii="Arial" w:hAnsi="Arial" w:cs="Arial"/>
          <w:sz w:val="24"/>
          <w:szCs w:val="24"/>
          <w:lang w:val="es-CR"/>
        </w:rPr>
      </w:pPr>
    </w:p>
    <w:p w14:paraId="1D735EF1" w14:textId="77777777" w:rsidR="001A3E86" w:rsidRPr="00F447F1" w:rsidRDefault="001A3E86" w:rsidP="001A3E86">
      <w:pPr>
        <w:pStyle w:val="Heading2"/>
        <w:rPr>
          <w:rFonts w:ascii="Times New Roman" w:hAnsi="Times New Roman"/>
          <w:sz w:val="24"/>
          <w:szCs w:val="24"/>
        </w:rPr>
      </w:pPr>
      <w:bookmarkStart w:id="13" w:name="_Toc474090214"/>
      <w:r w:rsidRPr="00F447F1">
        <w:rPr>
          <w:rFonts w:ascii="Times New Roman" w:hAnsi="Times New Roman"/>
          <w:color w:val="auto"/>
          <w:sz w:val="24"/>
          <w:szCs w:val="24"/>
        </w:rPr>
        <w:t>v. Hipótesis</w:t>
      </w:r>
      <w:r w:rsidRPr="00F447F1">
        <w:rPr>
          <w:rFonts w:ascii="Times New Roman" w:hAnsi="Times New Roman"/>
          <w:sz w:val="24"/>
          <w:szCs w:val="24"/>
        </w:rPr>
        <w:t>.</w:t>
      </w:r>
      <w:bookmarkEnd w:id="13"/>
    </w:p>
    <w:p w14:paraId="6E0DFCA5" w14:textId="77777777" w:rsidR="001A3E86" w:rsidRDefault="001A3E86" w:rsidP="001A3E86">
      <w:pPr>
        <w:pStyle w:val="yiv1427917474msonormal"/>
        <w:spacing w:before="0" w:beforeAutospacing="0" w:after="0" w:afterAutospacing="0"/>
        <w:jc w:val="right"/>
        <w:rPr>
          <w:sz w:val="22"/>
          <w:szCs w:val="22"/>
        </w:rPr>
      </w:pPr>
    </w:p>
    <w:p w14:paraId="29A22F84" w14:textId="77777777" w:rsidR="001A3E86" w:rsidRDefault="001A3E86" w:rsidP="001A3E86">
      <w:pPr>
        <w:pStyle w:val="yiv1427917474msonormal"/>
        <w:spacing w:before="0" w:beforeAutospacing="0" w:after="0" w:afterAutospacing="0"/>
        <w:jc w:val="right"/>
        <w:rPr>
          <w:sz w:val="22"/>
          <w:szCs w:val="22"/>
        </w:rPr>
      </w:pPr>
    </w:p>
    <w:p w14:paraId="4E05B23E" w14:textId="77777777" w:rsidR="001A3E86" w:rsidRPr="00F447F1" w:rsidRDefault="001A3E86" w:rsidP="001A3E86">
      <w:pPr>
        <w:pStyle w:val="yiv1427917474msonormal"/>
        <w:spacing w:before="0" w:beforeAutospacing="0" w:after="0" w:afterAutospacing="0"/>
        <w:jc w:val="right"/>
        <w:rPr>
          <w:sz w:val="22"/>
          <w:szCs w:val="22"/>
        </w:rPr>
      </w:pPr>
      <w:r w:rsidRPr="00F447F1">
        <w:rPr>
          <w:sz w:val="22"/>
          <w:szCs w:val="22"/>
        </w:rPr>
        <w:t>“Hipótesis, palabra muy mal escogida</w:t>
      </w:r>
    </w:p>
    <w:p w14:paraId="4B93E5D1" w14:textId="77777777" w:rsidR="001A3E86" w:rsidRPr="00F447F1" w:rsidRDefault="001A3E86" w:rsidP="001A3E86">
      <w:pPr>
        <w:pStyle w:val="yiv1427917474msonormal"/>
        <w:spacing w:before="0" w:beforeAutospacing="0" w:after="0" w:afterAutospacing="0"/>
        <w:jc w:val="right"/>
        <w:rPr>
          <w:sz w:val="22"/>
          <w:szCs w:val="22"/>
        </w:rPr>
      </w:pPr>
      <w:r w:rsidRPr="00F447F1">
        <w:rPr>
          <w:sz w:val="22"/>
          <w:szCs w:val="22"/>
        </w:rPr>
        <w:t>para designar el acto espiritual supremo</w:t>
      </w:r>
    </w:p>
    <w:p w14:paraId="03E44EFB" w14:textId="77777777" w:rsidR="001A3E86" w:rsidRPr="00F447F1" w:rsidRDefault="001A3E86" w:rsidP="001A3E86">
      <w:pPr>
        <w:pStyle w:val="yiv1427917474msonormal"/>
        <w:spacing w:before="0" w:beforeAutospacing="0" w:after="0" w:afterAutospacing="0"/>
        <w:jc w:val="right"/>
        <w:rPr>
          <w:sz w:val="22"/>
          <w:szCs w:val="22"/>
        </w:rPr>
      </w:pPr>
      <w:r w:rsidRPr="00F447F1">
        <w:rPr>
          <w:sz w:val="22"/>
          <w:szCs w:val="22"/>
        </w:rPr>
        <w:t>a través del cual el polvo de las experiencias</w:t>
      </w:r>
    </w:p>
    <w:p w14:paraId="68B6B4AB" w14:textId="77777777" w:rsidR="001A3E86" w:rsidRPr="00F447F1" w:rsidRDefault="001A3E86" w:rsidP="001A3E86">
      <w:pPr>
        <w:pStyle w:val="yiv1427917474msonormal"/>
        <w:spacing w:before="0" w:beforeAutospacing="0" w:after="0" w:afterAutospacing="0"/>
        <w:jc w:val="right"/>
        <w:rPr>
          <w:sz w:val="22"/>
          <w:szCs w:val="22"/>
        </w:rPr>
      </w:pPr>
      <w:r w:rsidRPr="00F447F1">
        <w:rPr>
          <w:sz w:val="22"/>
          <w:szCs w:val="22"/>
        </w:rPr>
        <w:t>cobra forma y se anima al fuego del conocimiento...”</w:t>
      </w:r>
    </w:p>
    <w:p w14:paraId="443DFAE2" w14:textId="77777777" w:rsidR="001A3E86" w:rsidRPr="00F447F1" w:rsidRDefault="001A3E86" w:rsidP="001A3E86">
      <w:pPr>
        <w:pStyle w:val="yiv1427917474msonormal"/>
        <w:spacing w:before="0" w:beforeAutospacing="0" w:after="0" w:afterAutospacing="0"/>
        <w:jc w:val="right"/>
      </w:pPr>
    </w:p>
    <w:p w14:paraId="18CE861F" w14:textId="77777777" w:rsidR="001A3E86" w:rsidRPr="00F447F1" w:rsidRDefault="001A3E86" w:rsidP="001A3E86">
      <w:pPr>
        <w:pStyle w:val="yiv1427917474msonormal"/>
        <w:spacing w:before="0" w:beforeAutospacing="0" w:after="0" w:afterAutospacing="0"/>
        <w:jc w:val="right"/>
        <w:rPr>
          <w:sz w:val="22"/>
          <w:szCs w:val="22"/>
        </w:rPr>
      </w:pPr>
      <w:r w:rsidRPr="00F447F1">
        <w:rPr>
          <w:sz w:val="22"/>
          <w:szCs w:val="22"/>
        </w:rPr>
        <w:t>P. Teilhard de Chardin.</w:t>
      </w:r>
    </w:p>
    <w:p w14:paraId="45FC1AD1" w14:textId="77777777" w:rsidR="001A3E86" w:rsidRPr="00F447F1" w:rsidRDefault="001A3E86" w:rsidP="001A3E86">
      <w:pPr>
        <w:pStyle w:val="yiv1427917474msonormal"/>
        <w:spacing w:before="0" w:beforeAutospacing="0" w:after="0" w:afterAutospacing="0"/>
        <w:jc w:val="right"/>
        <w:rPr>
          <w:sz w:val="22"/>
          <w:szCs w:val="22"/>
        </w:rPr>
      </w:pPr>
      <w:r w:rsidRPr="00F447F1">
        <w:rPr>
          <w:sz w:val="22"/>
          <w:szCs w:val="22"/>
        </w:rPr>
        <w:t xml:space="preserve">Epílogo a </w:t>
      </w:r>
      <w:r w:rsidRPr="00F447F1">
        <w:rPr>
          <w:i/>
          <w:sz w:val="22"/>
          <w:szCs w:val="22"/>
        </w:rPr>
        <w:t>La activación de la Energía</w:t>
      </w:r>
    </w:p>
    <w:p w14:paraId="739DAFAB" w14:textId="77777777" w:rsidR="001A3E86" w:rsidRPr="004F609D" w:rsidRDefault="001A3E86" w:rsidP="001A3E86">
      <w:pPr>
        <w:spacing w:line="360" w:lineRule="auto"/>
        <w:ind w:firstLine="360"/>
        <w:jc w:val="both"/>
        <w:rPr>
          <w:rFonts w:ascii="Times New Roman" w:hAnsi="Times New Roman" w:cs="Times New Roman"/>
          <w:sz w:val="24"/>
          <w:szCs w:val="24"/>
          <w:lang w:val="es-CR"/>
        </w:rPr>
      </w:pPr>
      <w:bookmarkStart w:id="14" w:name="_GoBack"/>
      <w:bookmarkEnd w:id="14"/>
    </w:p>
    <w:p w14:paraId="03693AF8" w14:textId="77777777" w:rsidR="001A3E86" w:rsidRPr="004F609D" w:rsidRDefault="001A3E86" w:rsidP="001A3E86">
      <w:pPr>
        <w:spacing w:line="360" w:lineRule="auto"/>
        <w:ind w:firstLine="720"/>
        <w:jc w:val="both"/>
        <w:rPr>
          <w:rStyle w:val="apple-converted-space"/>
          <w:rFonts w:ascii="Times New Roman" w:hAnsi="Times New Roman" w:cs="Times New Roman"/>
          <w:color w:val="222222"/>
          <w:sz w:val="24"/>
          <w:szCs w:val="24"/>
          <w:shd w:val="clear" w:color="auto" w:fill="FFFFFF"/>
          <w:lang w:val="es-CR"/>
        </w:rPr>
      </w:pPr>
      <w:r w:rsidRPr="004F609D">
        <w:rPr>
          <w:rFonts w:ascii="Times New Roman" w:hAnsi="Times New Roman" w:cs="Times New Roman"/>
          <w:sz w:val="24"/>
          <w:szCs w:val="24"/>
          <w:lang w:val="es-CR"/>
        </w:rPr>
        <w:t>Se estima como hipótesis de este trabajo el descuido de la espiritualidad de las drogas enteogénicas del mundo precolombino, por parte de la teología latinoamericana, incluso su condena por las líneas teológicas más tradiciones. En este marco, un acercamiento a los estudios etnopsicofarmacológicos de Quirce-Balma sobre esta espiritualidad permitiría ampliar los horizontes de reflexión teológica en América Latina desde una perspectiva intercultural.</w:t>
      </w:r>
      <w:r w:rsidRPr="004F609D">
        <w:rPr>
          <w:rStyle w:val="apple-converted-space"/>
          <w:rFonts w:ascii="Times New Roman" w:hAnsi="Times New Roman" w:cs="Times New Roman"/>
          <w:color w:val="222222"/>
          <w:sz w:val="24"/>
          <w:szCs w:val="24"/>
          <w:shd w:val="clear" w:color="auto" w:fill="FFFFFF"/>
          <w:lang w:val="es-CR"/>
        </w:rPr>
        <w:t> </w:t>
      </w:r>
      <w:bookmarkStart w:id="15" w:name="_Toc474090215"/>
    </w:p>
    <w:p w14:paraId="7707FBB4" w14:textId="77777777" w:rsidR="001A3E86" w:rsidRDefault="001A3E86" w:rsidP="001A3E86">
      <w:pPr>
        <w:spacing w:line="360" w:lineRule="auto"/>
        <w:jc w:val="both"/>
        <w:rPr>
          <w:rFonts w:ascii="Times New Roman" w:hAnsi="Times New Roman" w:cs="Times New Roman"/>
          <w:sz w:val="24"/>
          <w:szCs w:val="24"/>
          <w:lang w:val="es-CR"/>
        </w:rPr>
      </w:pPr>
    </w:p>
    <w:p w14:paraId="085030C4" w14:textId="77777777" w:rsidR="001A3E86" w:rsidRDefault="001A3E86" w:rsidP="001A3E86">
      <w:pPr>
        <w:spacing w:line="360" w:lineRule="auto"/>
        <w:jc w:val="both"/>
        <w:rPr>
          <w:rFonts w:ascii="Times New Roman" w:hAnsi="Times New Roman" w:cs="Times New Roman"/>
          <w:sz w:val="24"/>
          <w:szCs w:val="24"/>
          <w:lang w:val="es-CR"/>
        </w:rPr>
      </w:pPr>
    </w:p>
    <w:p w14:paraId="076B72CC" w14:textId="77777777" w:rsidR="001A3E86" w:rsidRDefault="001A3E86" w:rsidP="001A3E86">
      <w:pPr>
        <w:spacing w:line="360" w:lineRule="auto"/>
        <w:jc w:val="both"/>
        <w:rPr>
          <w:rFonts w:ascii="Times New Roman" w:hAnsi="Times New Roman" w:cs="Times New Roman"/>
          <w:sz w:val="24"/>
          <w:szCs w:val="24"/>
          <w:lang w:val="es-CR"/>
        </w:rPr>
      </w:pPr>
    </w:p>
    <w:p w14:paraId="401FBA4D" w14:textId="77777777" w:rsidR="001A3E86" w:rsidRDefault="001A3E86" w:rsidP="001A3E86">
      <w:pPr>
        <w:spacing w:line="360" w:lineRule="auto"/>
        <w:jc w:val="both"/>
        <w:rPr>
          <w:rFonts w:ascii="Times New Roman" w:hAnsi="Times New Roman" w:cs="Times New Roman"/>
          <w:sz w:val="24"/>
          <w:szCs w:val="24"/>
          <w:lang w:val="es-CR"/>
        </w:rPr>
      </w:pPr>
    </w:p>
    <w:p w14:paraId="1C3AECAC" w14:textId="77777777" w:rsidR="001A3E86" w:rsidRDefault="001A3E86" w:rsidP="001A3E86">
      <w:pPr>
        <w:spacing w:line="360" w:lineRule="auto"/>
        <w:jc w:val="both"/>
        <w:rPr>
          <w:rFonts w:ascii="Times New Roman" w:hAnsi="Times New Roman" w:cs="Times New Roman"/>
          <w:sz w:val="24"/>
          <w:szCs w:val="24"/>
          <w:lang w:val="es-CR"/>
        </w:rPr>
      </w:pPr>
    </w:p>
    <w:p w14:paraId="1B964E04" w14:textId="77777777" w:rsidR="001A3E86" w:rsidRPr="004F609D" w:rsidRDefault="001A3E86" w:rsidP="001A3E86">
      <w:pPr>
        <w:spacing w:line="360" w:lineRule="auto"/>
        <w:jc w:val="both"/>
        <w:rPr>
          <w:rFonts w:ascii="Times New Roman" w:hAnsi="Times New Roman" w:cs="Times New Roman"/>
          <w:sz w:val="24"/>
          <w:szCs w:val="24"/>
          <w:lang w:val="es-CR"/>
        </w:rPr>
      </w:pPr>
    </w:p>
    <w:p w14:paraId="703BA686" w14:textId="77777777" w:rsidR="001C19DD" w:rsidRDefault="001C19DD" w:rsidP="001A3E86">
      <w:pPr>
        <w:pStyle w:val="Heading1"/>
        <w:rPr>
          <w:rFonts w:ascii="Times New Roman" w:hAnsi="Times New Roman"/>
          <w:sz w:val="24"/>
          <w:szCs w:val="24"/>
          <w:lang w:eastAsia="es-MX"/>
        </w:rPr>
      </w:pPr>
      <w:r>
        <w:rPr>
          <w:rFonts w:ascii="Times New Roman" w:hAnsi="Times New Roman"/>
          <w:sz w:val="24"/>
          <w:szCs w:val="24"/>
          <w:lang w:eastAsia="es-MX"/>
        </w:rPr>
        <w:t>Capítulo II</w:t>
      </w:r>
      <w:r w:rsidR="001A3E86" w:rsidRPr="00942F0A">
        <w:rPr>
          <w:rFonts w:ascii="Times New Roman" w:hAnsi="Times New Roman"/>
          <w:sz w:val="24"/>
          <w:szCs w:val="24"/>
          <w:lang w:eastAsia="es-MX"/>
        </w:rPr>
        <w:t xml:space="preserve"> </w:t>
      </w:r>
    </w:p>
    <w:p w14:paraId="3B704FED" w14:textId="77777777" w:rsidR="001A3E86" w:rsidRPr="00942F0A" w:rsidRDefault="001A3E86" w:rsidP="001A3E86">
      <w:pPr>
        <w:pStyle w:val="Heading1"/>
        <w:rPr>
          <w:rFonts w:ascii="Times New Roman" w:hAnsi="Times New Roman"/>
          <w:sz w:val="24"/>
          <w:szCs w:val="24"/>
          <w:lang w:eastAsia="es-MX"/>
        </w:rPr>
      </w:pPr>
      <w:r w:rsidRPr="00942F0A">
        <w:rPr>
          <w:rFonts w:ascii="Times New Roman" w:hAnsi="Times New Roman"/>
          <w:sz w:val="24"/>
          <w:szCs w:val="24"/>
          <w:lang w:eastAsia="es-MX"/>
        </w:rPr>
        <w:t>Marco teórico</w:t>
      </w:r>
      <w:bookmarkEnd w:id="15"/>
    </w:p>
    <w:p w14:paraId="5EB70AA4" w14:textId="77777777" w:rsidR="001A3E86" w:rsidRPr="00F447F1" w:rsidRDefault="001A3E86" w:rsidP="001A3E86">
      <w:pPr>
        <w:pStyle w:val="Heading2"/>
        <w:numPr>
          <w:ilvl w:val="0"/>
          <w:numId w:val="7"/>
        </w:numPr>
        <w:rPr>
          <w:rFonts w:ascii="Times New Roman" w:hAnsi="Times New Roman"/>
          <w:color w:val="auto"/>
          <w:u w:val="single"/>
          <w:lang w:eastAsia="es-MX"/>
        </w:rPr>
      </w:pPr>
      <w:bookmarkStart w:id="16" w:name="_Toc474090216"/>
      <w:r w:rsidRPr="00F447F1">
        <w:rPr>
          <w:rFonts w:ascii="Times New Roman" w:hAnsi="Times New Roman"/>
          <w:color w:val="auto"/>
        </w:rPr>
        <w:t>Quirce-Balma</w:t>
      </w:r>
      <w:bookmarkEnd w:id="16"/>
    </w:p>
    <w:p w14:paraId="2F2023B9" w14:textId="77777777" w:rsidR="001A3E86" w:rsidRPr="004F609D" w:rsidRDefault="001A3E86" w:rsidP="001A3E86">
      <w:pPr>
        <w:pStyle w:val="BodyText"/>
        <w:spacing w:before="100" w:beforeAutospacing="1" w:after="100" w:afterAutospacing="1"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Sobre el Dr. Carlos Manuel Quirce-Balma cabe mencionar su amplísima formación académica, en los campos de química, bioquímica, farmacología, psicología, filosofía y teología, estudios que realizó en el Instituto Químico de Sarriá en Barcelona, España, en la Universidad de Fordham, en Nueva York, en la Universidad de Indiana y en la Universidad de Purdue, Estados Unidos </w:t>
      </w:r>
      <w:sdt>
        <w:sdtPr>
          <w:rPr>
            <w:rFonts w:ascii="Times New Roman" w:hAnsi="Times New Roman" w:cs="Times New Roman"/>
            <w:sz w:val="24"/>
            <w:szCs w:val="24"/>
          </w:rPr>
          <w:id w:val="-1434277085"/>
          <w:citation/>
        </w:sdtPr>
        <w:sdtContent>
          <w:r w:rsidRPr="00F447F1">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Gue12 \l 22538 </w:instrText>
          </w:r>
          <w:r w:rsidRPr="00F447F1">
            <w:rPr>
              <w:rFonts w:ascii="Times New Roman" w:hAnsi="Times New Roman" w:cs="Times New Roman"/>
              <w:sz w:val="24"/>
              <w:szCs w:val="24"/>
            </w:rPr>
            <w:fldChar w:fldCharType="separate"/>
          </w:r>
          <w:r w:rsidRPr="004F609D">
            <w:rPr>
              <w:rFonts w:ascii="Times New Roman" w:hAnsi="Times New Roman" w:cs="Times New Roman"/>
              <w:sz w:val="24"/>
              <w:szCs w:val="24"/>
              <w:lang w:val="es-CR"/>
            </w:rPr>
            <w:t>(Guerrero, 2012)</w:t>
          </w:r>
          <w:r w:rsidRPr="00F447F1">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 En general su formación estuvo influida por la Orden de los Jesuitas, al respeto indicaba:</w:t>
      </w:r>
    </w:p>
    <w:p w14:paraId="7F074A7E" w14:textId="77777777" w:rsidR="001A3E86" w:rsidRPr="00F447F1" w:rsidRDefault="001A3E86" w:rsidP="001A3E86">
      <w:pPr>
        <w:pStyle w:val="BodyText"/>
        <w:spacing w:before="100" w:beforeAutospacing="1" w:after="100" w:afterAutospacing="1" w:line="240" w:lineRule="auto"/>
        <w:ind w:left="567" w:right="567"/>
        <w:jc w:val="both"/>
        <w:rPr>
          <w:rFonts w:ascii="Times New Roman" w:hAnsi="Times New Roman" w:cs="Times New Roman"/>
          <w:lang w:val="es-CR"/>
        </w:rPr>
      </w:pPr>
      <w:r w:rsidRPr="004F609D">
        <w:rPr>
          <w:rFonts w:ascii="Times New Roman" w:hAnsi="Times New Roman" w:cs="Times New Roman"/>
          <w:lang w:val="es-CR"/>
        </w:rPr>
        <w:t xml:space="preserve">La educación mía es jesuita, son un montón de años de “jesuitos”, desde la Orden. Estudié con la Orden cuatro años del College y tres años graduado: siete años. Y un año antes en España, ¡ocho años con la Orden!, en el Instituto Químico de Sarriá. Yo estoy muy acostumbrado a los jesuitas. (Vargas, 2013) </w:t>
      </w:r>
    </w:p>
    <w:p w14:paraId="55C1BF41"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En su estancia en el Instituto Químico de Sarriá, aparte de estudiar química y biología, estuvo en contacto con el arte clásico y barroco, así como con las obras de Dalí y presenció la persecución política por el catalanismo. En la Universidad de Fordham estudió ciencia, filosofía, literatura rusa, teología existencial, fenomenología y las obras de Teilhard de Chardin, Rollo May, Martin Heidegger y Erich Fromm. También en Fordham se replantea estudiar química y opta por la psicología clínica, luego de una experiencia “kundalini”, adentrándose de este modo en el psicoanálisis, el análisis jungiano y el existencialismo (Quirce-Balma, 1988, pp. 182-</w:t>
      </w:r>
      <w:r w:rsidR="001C19DD">
        <w:rPr>
          <w:rFonts w:ascii="Times New Roman" w:hAnsi="Times New Roman" w:cs="Times New Roman"/>
          <w:sz w:val="24"/>
          <w:szCs w:val="24"/>
          <w:lang w:val="es-CR"/>
        </w:rPr>
        <w:t>1</w:t>
      </w:r>
      <w:r w:rsidRPr="004F609D">
        <w:rPr>
          <w:rFonts w:ascii="Times New Roman" w:hAnsi="Times New Roman" w:cs="Times New Roman"/>
          <w:sz w:val="24"/>
          <w:szCs w:val="24"/>
          <w:lang w:val="es-CR"/>
        </w:rPr>
        <w:t xml:space="preserve">83) </w:t>
      </w:r>
    </w:p>
    <w:p w14:paraId="04D307A5"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Destaca su trabajo con el Dr. Roger P. Maickel, director de la Escuela de Farmacología y Toxicología de la Universidad de Purdue y con el Dr. Varro Tyler, decano de la Facultad de Farmacia de esa misma universidad, con quienes publicó muchos </w:t>
      </w:r>
      <w:r w:rsidRPr="004F609D">
        <w:rPr>
          <w:rFonts w:ascii="Times New Roman" w:hAnsi="Times New Roman" w:cs="Times New Roman"/>
          <w:sz w:val="24"/>
          <w:szCs w:val="24"/>
          <w:lang w:val="es-CR"/>
        </w:rPr>
        <w:lastRenderedPageBreak/>
        <w:t>artículos científicos en revista</w:t>
      </w:r>
      <w:r w:rsidRPr="00F325CA">
        <w:rPr>
          <w:rFonts w:ascii="Times New Roman" w:hAnsi="Times New Roman" w:cs="Times New Roman"/>
          <w:sz w:val="24"/>
          <w:szCs w:val="24"/>
          <w:lang w:val="es-CR"/>
        </w:rPr>
        <w:t>s</w:t>
      </w:r>
      <w:r w:rsidRPr="004F609D">
        <w:rPr>
          <w:rFonts w:ascii="Times New Roman" w:hAnsi="Times New Roman" w:cs="Times New Roman"/>
          <w:sz w:val="24"/>
          <w:szCs w:val="24"/>
          <w:lang w:val="es-CR"/>
        </w:rPr>
        <w:t xml:space="preserve"> de prestigio mundial, todas relacionadas con la interacción de diferentes drogas y los efectos del estrés en ratas de laboratorio. Un ejemplo de este trabajo conjunto es el artículo </w:t>
      </w:r>
      <w:r w:rsidRPr="00F325CA">
        <w:rPr>
          <w:rFonts w:ascii="Times New Roman" w:hAnsi="Times New Roman" w:cs="Times New Roman"/>
          <w:sz w:val="24"/>
          <w:szCs w:val="24"/>
          <w:lang w:val="es-CR"/>
        </w:rPr>
        <w:t>“</w:t>
      </w:r>
      <w:r w:rsidRPr="004F609D">
        <w:rPr>
          <w:rFonts w:ascii="Times New Roman" w:hAnsi="Times New Roman" w:cs="Times New Roman"/>
          <w:sz w:val="24"/>
          <w:szCs w:val="24"/>
          <w:lang w:val="es-CR"/>
        </w:rPr>
        <w:t>Concepciones Culturales de los Estados Alterados de Conciencia</w:t>
      </w:r>
      <w:r w:rsidRPr="00F325CA">
        <w:rPr>
          <w:rFonts w:ascii="Times New Roman" w:hAnsi="Times New Roman" w:cs="Times New Roman"/>
          <w:sz w:val="24"/>
          <w:szCs w:val="24"/>
          <w:lang w:val="es-CR"/>
        </w:rPr>
        <w:t>”</w:t>
      </w:r>
      <w:r w:rsidRPr="004F609D">
        <w:rPr>
          <w:rFonts w:ascii="Times New Roman" w:hAnsi="Times New Roman" w:cs="Times New Roman"/>
          <w:sz w:val="24"/>
          <w:szCs w:val="24"/>
          <w:lang w:val="es-CR"/>
        </w:rPr>
        <w:t xml:space="preserve"> (1988). Su tesis doctoral abordó la parte bioquímica del estrés. El Dr. Quirce-Balma fue miembro de la Sociedad Americana de Investigación</w:t>
      </w:r>
      <w:sdt>
        <w:sdtPr>
          <w:rPr>
            <w:rFonts w:ascii="Times New Roman" w:hAnsi="Times New Roman" w:cs="Times New Roman"/>
            <w:sz w:val="24"/>
            <w:szCs w:val="24"/>
          </w:rPr>
          <w:id w:val="-101570226"/>
          <w:citation/>
        </w:sdtPr>
        <w:sdtContent>
          <w:r w:rsidRPr="00F325CA">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Gue12 \l 22538 </w:instrText>
          </w:r>
          <w:r w:rsidRPr="00F325CA">
            <w:rPr>
              <w:rFonts w:ascii="Times New Roman" w:hAnsi="Times New Roman" w:cs="Times New Roman"/>
              <w:sz w:val="24"/>
              <w:szCs w:val="24"/>
            </w:rPr>
            <w:fldChar w:fldCharType="separate"/>
          </w:r>
          <w:r w:rsidRPr="004F609D">
            <w:rPr>
              <w:rFonts w:ascii="Times New Roman" w:hAnsi="Times New Roman" w:cs="Times New Roman"/>
              <w:sz w:val="24"/>
              <w:szCs w:val="24"/>
              <w:lang w:val="es-CR"/>
            </w:rPr>
            <w:t xml:space="preserve"> (Guerrero, 2012)</w:t>
          </w:r>
          <w:r w:rsidRPr="00F325CA">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w:t>
      </w:r>
    </w:p>
    <w:p w14:paraId="2ED8EF0D"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Paralelamente al estudio de la psicofarmacología con el Dr. Roger P. Maickel mantuvo contacto con el movimiento de la Meditación Transpersonal, llegando a tener cercanía al número uno de los precursores de ese movimiento, el maestro Maharishi Mahesh Yogi (Quirce-Balma, 1988, p. 184)</w:t>
      </w:r>
      <w:r w:rsidRPr="00BA6B02">
        <w:rPr>
          <w:rStyle w:val="FootnoteReference"/>
          <w:rFonts w:ascii="Times New Roman" w:hAnsi="Times New Roman" w:cs="Times New Roman"/>
          <w:sz w:val="24"/>
          <w:szCs w:val="24"/>
        </w:rPr>
        <w:footnoteReference w:id="1"/>
      </w:r>
      <w:r w:rsidR="001C19DD">
        <w:rPr>
          <w:rFonts w:ascii="Times New Roman" w:hAnsi="Times New Roman" w:cs="Times New Roman"/>
          <w:sz w:val="24"/>
          <w:szCs w:val="24"/>
          <w:lang w:val="es-CR"/>
        </w:rPr>
        <w:t>.</w:t>
      </w:r>
    </w:p>
    <w:p w14:paraId="5357A2B5"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El Dr. Carlos Manuel Quirce-Balma en la Universidad de Costa Rica fue el primer coordinador de la unidad de Psicología entre los años 1974-1976, fue profesor de la Escuela de Psicología y fundador del Colegio de Psicólogos. También fundó y fue el primer director de los Laboratorios de Investigación en Neurociencias, en la Facultad de Farmacia, en 1978 y se mantuvo hasta 1987, cuando se pensionó. Posteriormente se dedicó a hacer varios estudios científicos sobre esquizofrenia</w:t>
      </w:r>
      <w:sdt>
        <w:sdtPr>
          <w:rPr>
            <w:rFonts w:ascii="Times New Roman" w:hAnsi="Times New Roman" w:cs="Times New Roman"/>
            <w:sz w:val="24"/>
            <w:szCs w:val="24"/>
          </w:rPr>
          <w:id w:val="-1231076511"/>
          <w:citation/>
        </w:sdtPr>
        <w:sdtContent>
          <w:r w:rsidRPr="00F325CA">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Gue12 \l 22538 </w:instrText>
          </w:r>
          <w:r w:rsidRPr="00F325CA">
            <w:rPr>
              <w:rFonts w:ascii="Times New Roman" w:hAnsi="Times New Roman" w:cs="Times New Roman"/>
              <w:sz w:val="24"/>
              <w:szCs w:val="24"/>
            </w:rPr>
            <w:fldChar w:fldCharType="separate"/>
          </w:r>
          <w:r w:rsidRPr="004F609D">
            <w:rPr>
              <w:rFonts w:ascii="Times New Roman" w:hAnsi="Times New Roman" w:cs="Times New Roman"/>
              <w:sz w:val="24"/>
              <w:szCs w:val="24"/>
              <w:lang w:val="es-CR"/>
            </w:rPr>
            <w:t xml:space="preserve"> (Guerrero, 2012)</w:t>
          </w:r>
          <w:r w:rsidRPr="00F325CA">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w:t>
      </w:r>
    </w:p>
    <w:p w14:paraId="6409E38D"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En 1977 participó en Panamá en la ALAMOC (Asociación Latinoamericana de Análisis y Modificación de la Conducta). También escribió en revistas ciencias exactas como Neuroeje e Interciencia y de ciencias sociales como Estudios Sociales</w:t>
      </w:r>
      <w:r w:rsidRPr="00F325CA">
        <w:rPr>
          <w:rFonts w:ascii="Times New Roman" w:hAnsi="Times New Roman" w:cs="Times New Roman"/>
          <w:sz w:val="24"/>
          <w:szCs w:val="24"/>
          <w:lang w:val="es-CR"/>
        </w:rPr>
        <w:t xml:space="preserve"> </w:t>
      </w:r>
      <w:r w:rsidRPr="004F609D">
        <w:rPr>
          <w:rFonts w:ascii="Times New Roman" w:hAnsi="Times New Roman" w:cs="Times New Roman"/>
          <w:sz w:val="24"/>
          <w:szCs w:val="24"/>
          <w:lang w:val="es-CR"/>
        </w:rPr>
        <w:t>Centroamericano y Ciencias Sociales (Quirce-Balma, 1988, pp. 186-</w:t>
      </w:r>
      <w:r w:rsidR="001C19DD">
        <w:rPr>
          <w:rFonts w:ascii="Times New Roman" w:hAnsi="Times New Roman" w:cs="Times New Roman"/>
          <w:sz w:val="24"/>
          <w:szCs w:val="24"/>
          <w:lang w:val="es-CR"/>
        </w:rPr>
        <w:t>1</w:t>
      </w:r>
      <w:r w:rsidRPr="004F609D">
        <w:rPr>
          <w:rFonts w:ascii="Times New Roman" w:hAnsi="Times New Roman" w:cs="Times New Roman"/>
          <w:sz w:val="24"/>
          <w:szCs w:val="24"/>
          <w:lang w:val="es-CR"/>
        </w:rPr>
        <w:t xml:space="preserve">87). </w:t>
      </w:r>
    </w:p>
    <w:p w14:paraId="6A6B8458"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Quirce-Balma recibió muchos reconocimientos y premios, incluso fue candidato en 1980 al Premio Príncipe de Asturias, promovido por el Consejo Nacional de Investigaciones Científicas y Tecnológicas (Conicit) </w:t>
      </w:r>
      <w:sdt>
        <w:sdtPr>
          <w:rPr>
            <w:rFonts w:ascii="Times New Roman" w:hAnsi="Times New Roman" w:cs="Times New Roman"/>
            <w:sz w:val="24"/>
            <w:szCs w:val="24"/>
          </w:rPr>
          <w:id w:val="829106591"/>
          <w:citation/>
        </w:sdtPr>
        <w:sdtContent>
          <w:r w:rsidRPr="00F325CA">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Gue12 \l 22538 </w:instrText>
          </w:r>
          <w:r w:rsidRPr="00F325CA">
            <w:rPr>
              <w:rFonts w:ascii="Times New Roman" w:hAnsi="Times New Roman" w:cs="Times New Roman"/>
              <w:sz w:val="24"/>
              <w:szCs w:val="24"/>
            </w:rPr>
            <w:fldChar w:fldCharType="separate"/>
          </w:r>
          <w:r w:rsidRPr="004F609D">
            <w:rPr>
              <w:rFonts w:ascii="Times New Roman" w:hAnsi="Times New Roman" w:cs="Times New Roman"/>
              <w:sz w:val="24"/>
              <w:szCs w:val="24"/>
              <w:lang w:val="es-CR"/>
            </w:rPr>
            <w:t>(Guerrero, 2012)</w:t>
          </w:r>
          <w:r w:rsidRPr="00F325CA">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 xml:space="preserve">. Desde este mismo Consejo pudo dar a conocer su trabajo en Europa y Estados Unidos (Quirce-Balma, 1988, p. 185). </w:t>
      </w:r>
    </w:p>
    <w:p w14:paraId="39C101EE"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Su gran inquietud por investigar y publicar lo llevaron a su regreso a la UCR a desarrollar diferentes proyectos, entre ellos uno sobre los efectos de los hongos alucinógenos taca-taca en ratas, otros sobre el estrés y la nutrición, la nutrición y la conducta locomotora de campo abierto en ratas inyectadas con diversos tipos de anfetaminas</w:t>
      </w:r>
      <w:sdt>
        <w:sdtPr>
          <w:rPr>
            <w:rFonts w:ascii="Times New Roman" w:hAnsi="Times New Roman" w:cs="Times New Roman"/>
            <w:sz w:val="24"/>
            <w:szCs w:val="24"/>
          </w:rPr>
          <w:id w:val="-1566631932"/>
          <w:citation/>
        </w:sdtPr>
        <w:sdtContent>
          <w:r w:rsidRPr="00F325CA">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Gue12 \l 22538 </w:instrText>
          </w:r>
          <w:r w:rsidRPr="00F325CA">
            <w:rPr>
              <w:rFonts w:ascii="Times New Roman" w:hAnsi="Times New Roman" w:cs="Times New Roman"/>
              <w:sz w:val="24"/>
              <w:szCs w:val="24"/>
            </w:rPr>
            <w:fldChar w:fldCharType="separate"/>
          </w:r>
          <w:r w:rsidRPr="004F609D">
            <w:rPr>
              <w:rFonts w:ascii="Times New Roman" w:hAnsi="Times New Roman" w:cs="Times New Roman"/>
              <w:sz w:val="24"/>
              <w:szCs w:val="24"/>
              <w:lang w:val="es-CR"/>
            </w:rPr>
            <w:t xml:space="preserve"> (Guerrero, 2012)</w:t>
          </w:r>
          <w:r w:rsidRPr="00F325CA">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w:t>
      </w:r>
    </w:p>
    <w:p w14:paraId="3C73D8C2"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lastRenderedPageBreak/>
        <w:t>Sus investigaciones sobre el estrés fueron las últimas que desarrolló, al respecto mencionaba:</w:t>
      </w:r>
    </w:p>
    <w:p w14:paraId="434F6763" w14:textId="77777777" w:rsidR="001A3E86" w:rsidRPr="00DD0FE0" w:rsidRDefault="001A3E86" w:rsidP="001A3E86">
      <w:pPr>
        <w:pStyle w:val="BodyText"/>
        <w:spacing w:before="100" w:beforeAutospacing="1" w:after="100" w:afterAutospacing="1" w:line="240" w:lineRule="auto"/>
        <w:ind w:left="567" w:right="567"/>
        <w:jc w:val="both"/>
        <w:rPr>
          <w:rFonts w:ascii="Times New Roman" w:hAnsi="Times New Roman" w:cs="Times New Roman"/>
          <w:i/>
          <w:lang w:val="es-CR"/>
        </w:rPr>
      </w:pPr>
      <w:r w:rsidRPr="004F609D">
        <w:rPr>
          <w:rFonts w:ascii="Times New Roman" w:hAnsi="Times New Roman" w:cs="Times New Roman"/>
          <w:lang w:val="es-CR"/>
        </w:rPr>
        <w:t>Yo he estado tratando de juntar la neurotomografía, con el grado de los experimentos de Hackman, de Hanson y de otra gente más reciente. Y de un chino muy inteligente llamado Mann, que ha demostrado básicamente que, si usted le produce estrés a un ser humano, el estrés disminuye la capacidad que tiene</w:t>
      </w:r>
      <w:r w:rsidRPr="00F325CA">
        <w:rPr>
          <w:rFonts w:ascii="Times New Roman" w:hAnsi="Times New Roman" w:cs="Times New Roman"/>
          <w:lang w:val="es-CR"/>
        </w:rPr>
        <w:t>n</w:t>
      </w:r>
      <w:r w:rsidRPr="004F609D">
        <w:rPr>
          <w:rFonts w:ascii="Times New Roman" w:hAnsi="Times New Roman" w:cs="Times New Roman"/>
          <w:lang w:val="es-CR"/>
        </w:rPr>
        <w:t xml:space="preserve"> las áreas superiores frontales el cerebro de poder modificar y llevar a cabo un cierto control de las áreas amigdalarias. Por lo tanto, con cierto tipo de drogas, con cierto tipo de forma vida, usted llega a perder el control sobre sus áreas de la amígdala. Por esta falta de control puede producirse esquizofrenia, como dice Grace, incapacidad de controlar funciones violentas o una lentitud en la ejecución neurocerebral, en las regiones ejecutivas del mismo neurocerebro. </w:t>
      </w:r>
      <w:r w:rsidRPr="00F325CA">
        <w:rPr>
          <w:rFonts w:ascii="Times New Roman" w:hAnsi="Times New Roman" w:cs="Times New Roman"/>
        </w:rPr>
        <w:t>(Vargas, 2013)</w:t>
      </w:r>
    </w:p>
    <w:p w14:paraId="583E23CB" w14:textId="77777777" w:rsidR="001A3E86" w:rsidRPr="0017253D" w:rsidRDefault="001A3E86" w:rsidP="001A3E86">
      <w:pPr>
        <w:pStyle w:val="Heading2"/>
        <w:numPr>
          <w:ilvl w:val="0"/>
          <w:numId w:val="7"/>
        </w:numPr>
        <w:jc w:val="both"/>
        <w:rPr>
          <w:rFonts w:ascii="Times New Roman" w:hAnsi="Times New Roman"/>
          <w:color w:val="auto"/>
          <w:sz w:val="24"/>
          <w:szCs w:val="24"/>
        </w:rPr>
      </w:pPr>
      <w:bookmarkStart w:id="17" w:name="_Toc474090217"/>
      <w:r w:rsidRPr="0017253D">
        <w:rPr>
          <w:rFonts w:ascii="Times New Roman" w:hAnsi="Times New Roman"/>
          <w:color w:val="auto"/>
          <w:sz w:val="24"/>
          <w:szCs w:val="24"/>
        </w:rPr>
        <w:t>Estados Alterados de Conciencia.</w:t>
      </w:r>
      <w:bookmarkEnd w:id="17"/>
    </w:p>
    <w:p w14:paraId="62F012FD" w14:textId="77777777" w:rsidR="001A3E86" w:rsidRPr="0017253D" w:rsidRDefault="001A3E86" w:rsidP="001A3E86">
      <w:pPr>
        <w:pStyle w:val="Heading3"/>
        <w:numPr>
          <w:ilvl w:val="0"/>
          <w:numId w:val="8"/>
        </w:numPr>
        <w:jc w:val="both"/>
        <w:rPr>
          <w:rFonts w:ascii="Times New Roman" w:hAnsi="Times New Roman"/>
          <w:sz w:val="24"/>
          <w:szCs w:val="24"/>
        </w:rPr>
      </w:pPr>
      <w:bookmarkStart w:id="18" w:name="_Toc474090218"/>
      <w:r w:rsidRPr="0017253D">
        <w:rPr>
          <w:rFonts w:ascii="Times New Roman" w:hAnsi="Times New Roman"/>
          <w:sz w:val="24"/>
          <w:szCs w:val="24"/>
        </w:rPr>
        <w:t>Definición</w:t>
      </w:r>
      <w:bookmarkEnd w:id="18"/>
    </w:p>
    <w:p w14:paraId="2F15517F"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Quirce-Balma (1976) caracteriza los Estados Alterados de Conciencia como “toda forma de experiencia de lo percibido que difiera marcadamente de los valores comunes de la sociedad” (p. 15). Sin embargo, para comprender este sentido es menester mencionar las acepciones más generales que han surgido sobre Estados Alterados de Conciencia.</w:t>
      </w:r>
    </w:p>
    <w:p w14:paraId="5FE449F4" w14:textId="77777777" w:rsidR="001A3E86" w:rsidRPr="00AE6A9C" w:rsidRDefault="001A3E86" w:rsidP="001A3E86">
      <w:pPr>
        <w:pStyle w:val="NoSpacing"/>
        <w:spacing w:line="360" w:lineRule="auto"/>
        <w:ind w:firstLine="720"/>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Charles Tart (1969) en la obra </w:t>
      </w:r>
      <w:r w:rsidRPr="00AE6A9C">
        <w:rPr>
          <w:rFonts w:ascii="Times New Roman" w:hAnsi="Times New Roman" w:cs="Times New Roman"/>
          <w:i/>
          <w:sz w:val="24"/>
          <w:szCs w:val="24"/>
          <w:lang w:val="es-ES"/>
        </w:rPr>
        <w:t>Altered States of Consciousness</w:t>
      </w:r>
      <w:r w:rsidRPr="00AE6A9C">
        <w:rPr>
          <w:rFonts w:ascii="Times New Roman" w:hAnsi="Times New Roman" w:cs="Times New Roman"/>
          <w:sz w:val="24"/>
          <w:szCs w:val="24"/>
          <w:lang w:val="es-ES"/>
        </w:rPr>
        <w:t>, recopila diversos ensayos sobre el estudio de los Estados Alterados de Conciencia y comienza con rigor positivista a utilizar esta categoría para referirse a un estado distinto de conciencia del que normalmente se tiene, y que está presente en las personas en la mayor parte del tiempo. Éste se produce cuando el sujeto vive un cambio cualitativo en su patrón de funcionamiento mental, donde puede experimentar cambios cuantitativos (variaciones del estado de alerta, en la visualización, entre otras alteraciones semejantes) así como diferencias cualitativas en sus procesos mentales (pp. 1-2).</w:t>
      </w:r>
    </w:p>
    <w:p w14:paraId="53F60728" w14:textId="77777777" w:rsidR="001A3E86" w:rsidRPr="00AE6A9C" w:rsidRDefault="001A3E86" w:rsidP="001A3E86">
      <w:pPr>
        <w:pStyle w:val="NoSpacing"/>
        <w:spacing w:line="360" w:lineRule="auto"/>
        <w:ind w:firstLine="720"/>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En la citada obra la definición de estos estados es ampliada por Ludwig (1969), quien sostiene que un EAC se da por varias maneras o agentes de índole fisiológico, psicológico o farmacológico, que producen un estado reconocido subjetivamente por el propio individuo (o por un observador externo) como desviación de la experiencia subjetiva o funcionamiento psicológico del estado de alerta normal del individuo, es decir, de conciencia despierta (pp. 9-10).</w:t>
      </w:r>
    </w:p>
    <w:p w14:paraId="207D6A7E" w14:textId="77777777" w:rsidR="001A3E86" w:rsidRPr="00AE6A9C" w:rsidRDefault="001A3E86" w:rsidP="001A3E86">
      <w:pPr>
        <w:pStyle w:val="NoSpacing"/>
        <w:spacing w:line="360" w:lineRule="auto"/>
        <w:ind w:firstLine="720"/>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lastRenderedPageBreak/>
        <w:t>Sin embargo, la definición de EAC</w:t>
      </w:r>
      <w:r w:rsidRPr="004F609D">
        <w:rPr>
          <w:rFonts w:ascii="Times New Roman" w:hAnsi="Times New Roman" w:cs="Times New Roman"/>
          <w:sz w:val="24"/>
          <w:szCs w:val="24"/>
          <w:lang w:val="es-CR"/>
        </w:rPr>
        <w:t xml:space="preserve"> es problemática</w:t>
      </w:r>
      <w:r w:rsidRPr="00AE6A9C">
        <w:rPr>
          <w:rFonts w:ascii="Times New Roman" w:hAnsi="Times New Roman" w:cs="Times New Roman"/>
          <w:sz w:val="24"/>
          <w:szCs w:val="24"/>
          <w:lang w:val="es-ES"/>
        </w:rPr>
        <w:t>, pues falta acuerdo sobre la denominación más adecuada para referirse al fenómeno</w:t>
      </w:r>
      <w:r w:rsidRPr="004F609D">
        <w:rPr>
          <w:rFonts w:ascii="Times New Roman" w:hAnsi="Times New Roman" w:cs="Times New Roman"/>
          <w:sz w:val="24"/>
          <w:szCs w:val="24"/>
          <w:lang w:val="es-CR"/>
        </w:rPr>
        <w:t xml:space="preserve"> al cual hace referencia</w:t>
      </w:r>
      <w:r w:rsidRPr="00AE6A9C">
        <w:rPr>
          <w:rFonts w:ascii="Times New Roman" w:hAnsi="Times New Roman" w:cs="Times New Roman"/>
          <w:sz w:val="24"/>
          <w:szCs w:val="24"/>
          <w:lang w:val="es-ES"/>
        </w:rPr>
        <w:t xml:space="preserve">. </w:t>
      </w:r>
      <w:r w:rsidRPr="004F609D">
        <w:rPr>
          <w:rFonts w:ascii="Times New Roman" w:hAnsi="Times New Roman" w:cs="Times New Roman"/>
          <w:sz w:val="24"/>
          <w:szCs w:val="24"/>
          <w:lang w:val="es-CR"/>
        </w:rPr>
        <w:t>Para este último tampoco</w:t>
      </w:r>
      <w:r w:rsidRPr="00AE6A9C">
        <w:rPr>
          <w:rFonts w:ascii="Times New Roman" w:hAnsi="Times New Roman" w:cs="Times New Roman"/>
          <w:sz w:val="24"/>
          <w:szCs w:val="24"/>
          <w:lang w:val="es-ES"/>
        </w:rPr>
        <w:t xml:space="preserve"> hay una teoría unificada desde la cual valorar</w:t>
      </w:r>
      <w:r w:rsidRPr="004F609D">
        <w:rPr>
          <w:rFonts w:ascii="Times New Roman" w:hAnsi="Times New Roman" w:cs="Times New Roman"/>
          <w:sz w:val="24"/>
          <w:szCs w:val="24"/>
          <w:lang w:val="es-CR"/>
        </w:rPr>
        <w:t>lo</w:t>
      </w:r>
      <w:r w:rsidRPr="00AE6A9C">
        <w:rPr>
          <w:rFonts w:ascii="Times New Roman" w:hAnsi="Times New Roman" w:cs="Times New Roman"/>
          <w:sz w:val="24"/>
          <w:szCs w:val="24"/>
          <w:lang w:val="es-ES"/>
        </w:rPr>
        <w:t xml:space="preserve"> y prima un reduccionismo “fenomenológico-psicologista”. </w:t>
      </w:r>
    </w:p>
    <w:p w14:paraId="066B18E7" w14:textId="77777777" w:rsidR="001A3E86" w:rsidRPr="00AE6A9C" w:rsidRDefault="001A3E86" w:rsidP="001A3E86">
      <w:pPr>
        <w:pStyle w:val="NoSpacing"/>
        <w:spacing w:line="360" w:lineRule="auto"/>
        <w:ind w:firstLine="720"/>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Sobre el primer aspecto, indica de la Herrán (2006) que existe una serie de denominaciones asociadas que imposibilitan un acuerdo general, mostrándose así una variedad de perspectivas: </w:t>
      </w:r>
    </w:p>
    <w:p w14:paraId="55A70113" w14:textId="77777777" w:rsidR="001A3E86" w:rsidRPr="00F325CA" w:rsidRDefault="001A3E86" w:rsidP="001A3E86">
      <w:pPr>
        <w:pStyle w:val="yiv1427917474msonormal"/>
        <w:tabs>
          <w:tab w:val="left" w:pos="9356"/>
        </w:tabs>
        <w:spacing w:beforeAutospacing="0" w:afterAutospacing="0"/>
        <w:ind w:left="567" w:right="6"/>
        <w:jc w:val="both"/>
        <w:rPr>
          <w:sz w:val="22"/>
          <w:szCs w:val="22"/>
        </w:rPr>
      </w:pPr>
      <w:r w:rsidRPr="00F325CA">
        <w:rPr>
          <w:sz w:val="22"/>
          <w:szCs w:val="22"/>
        </w:rPr>
        <w:t>Caycedo (1969) menciona “grados de conciencia”. M. Bunge (1980), admite “estado mental”. A. Blay (1991) identifica EC [</w:t>
      </w:r>
      <w:r w:rsidRPr="00F325CA">
        <w:rPr>
          <w:i/>
          <w:sz w:val="22"/>
          <w:szCs w:val="22"/>
        </w:rPr>
        <w:t>Estado de conciencia</w:t>
      </w:r>
      <w:r w:rsidRPr="00F325CA">
        <w:rPr>
          <w:sz w:val="22"/>
          <w:szCs w:val="22"/>
        </w:rPr>
        <w:t>] con “niveles de personalidad”.  R.A. Calle (1978) asocia a “estado mental” una “atención mental” determinada, que los define. J. Krishnamurti, y N.  Caballero (1979) hacen referencia a estados de atención con lo superior. S. Krippner et al. (1980) introduce el concepto de “estados de existencia” (p. 20). E. Alfonso (1984) opta por “’estados abstractos de la mente’” (p. 60). A. de la Herrán (1998) ha utilizado “niveles de amplitud de conciencia”, “estados de conciencia extraordinaria”, “altos estados de conciencia” (AEC) y “estados de ego”. Otros autores utilizan estados especiales, estados alternativos, estados no ordinarios... W. Johnston (1980) ha empleado con diferente perspectiva “estados de meditación de la conciencia (EMC)”, “estados superiores de conciencia (ESC)”, “conciencia interna acrecentada (CIA)” y “estados alt</w:t>
      </w:r>
      <w:r>
        <w:rPr>
          <w:sz w:val="22"/>
          <w:szCs w:val="22"/>
        </w:rPr>
        <w:t>erados de conciencia (EAC). (de la Herrán, 2006, pp. 1-2)</w:t>
      </w:r>
    </w:p>
    <w:p w14:paraId="02E127B9" w14:textId="77777777" w:rsidR="001A3E86" w:rsidRPr="00AE6A9C" w:rsidRDefault="001A3E86" w:rsidP="001A3E86">
      <w:pPr>
        <w:pStyle w:val="NoSpacing"/>
        <w:spacing w:line="360" w:lineRule="auto"/>
        <w:jc w:val="both"/>
        <w:rPr>
          <w:rFonts w:ascii="Times New Roman" w:hAnsi="Times New Roman" w:cs="Times New Roman"/>
          <w:sz w:val="24"/>
          <w:szCs w:val="24"/>
          <w:lang w:val="es-ES"/>
        </w:rPr>
      </w:pPr>
    </w:p>
    <w:p w14:paraId="12BD9450"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De esta manera, existen denominaciones paralelas a la de EAC, que pueden abarcarlas o delimitarlas y que manifiestan una diversidad de conformidad con la teoría que pretenda presentar cada autor. En este sentido, se puede entender que los EAC han llegado a ser una categoría sometida a una amplia discusión, que en muchas ocasiones ha derivado en que sea sustituida por otra semejante o completamente distinta. </w:t>
      </w:r>
    </w:p>
    <w:p w14:paraId="0DEF8C12"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En lo que respecta al segundo y tercer aspecto indicados, destaca Méndez (2007) el carácter multiparadigmático de la psicología, que impide una sola teoría para el fenómeno, y la importancia que se ha dado al reduccionismo “fenomenológico-psicologista”, por estimarse que posee respaldo empírico, sólidos cimientos epistemológicos y coherencia interna. </w:t>
      </w:r>
    </w:p>
    <w:p w14:paraId="39DD5233"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Sobre este reduccionismo en lo epistemológico, el citado autor, muestra la predominancia de la tradición fenomenológica alemana y francesa en la psicología (Brentano, Husserl, Merleau-Ponty, entre otros), puesto que ésta presenta la realidad de conciencia como una bisagra de toda realidad que ni es completamente objetiva ni exclusivamente subjetiva, debido a que, a pesar de la centralidad de la subjetividad en la </w:t>
      </w:r>
      <w:r w:rsidRPr="00AE6A9C">
        <w:rPr>
          <w:rFonts w:ascii="Times New Roman" w:hAnsi="Times New Roman" w:cs="Times New Roman"/>
          <w:sz w:val="24"/>
          <w:szCs w:val="24"/>
          <w:lang w:val="es-ES"/>
        </w:rPr>
        <w:lastRenderedPageBreak/>
        <w:t>constitución y vivencia de la conciencia, se sostiene una subjetividad atada a las leyes de la objetividad que constituye (Méndez, 2007). Es decir, la psicología se muestra deudora de la epistemología fenomenológica, la cual delimita el marco conceptual con el que se estiman los EAC.</w:t>
      </w:r>
    </w:p>
    <w:p w14:paraId="7AA74930" w14:textId="77777777" w:rsidR="001A3E86" w:rsidRPr="00AE6A9C" w:rsidRDefault="001A3E86" w:rsidP="001A3E86">
      <w:pPr>
        <w:pStyle w:val="NoSpacing"/>
        <w:spacing w:line="360" w:lineRule="auto"/>
        <w:ind w:firstLine="567"/>
        <w:jc w:val="both"/>
        <w:rPr>
          <w:rFonts w:ascii="Times New Roman" w:hAnsi="Times New Roman" w:cs="Times New Roman"/>
          <w:color w:val="000000"/>
          <w:sz w:val="24"/>
          <w:szCs w:val="24"/>
          <w:lang w:val="es-ES"/>
        </w:rPr>
      </w:pPr>
      <w:r w:rsidRPr="00AE6A9C">
        <w:rPr>
          <w:rFonts w:ascii="Times New Roman" w:hAnsi="Times New Roman" w:cs="Times New Roman"/>
          <w:sz w:val="24"/>
          <w:szCs w:val="24"/>
          <w:lang w:val="es-ES"/>
        </w:rPr>
        <w:t xml:space="preserve">Paralelamente y en coherencia con la fenomenología señalada, la psicología en lo empírico se ha visto delimitada con los hallazgos de la psicología cognitiva, que valora la conciencia como aquella dimensión conformada por procesos psíquicos (memoria, percepción, atención, comunicación verbal) que </w:t>
      </w:r>
      <w:r w:rsidRPr="00AE6A9C">
        <w:rPr>
          <w:rFonts w:ascii="Times New Roman" w:hAnsi="Times New Roman" w:cs="Times New Roman"/>
          <w:color w:val="000000"/>
          <w:sz w:val="24"/>
          <w:szCs w:val="24"/>
          <w:lang w:val="es-ES"/>
        </w:rPr>
        <w:t>permiten que “los datos de la realidad</w:t>
      </w:r>
      <w:r w:rsidRPr="00AE6A9C">
        <w:rPr>
          <w:rFonts w:ascii="Times New Roman" w:hAnsi="Times New Roman" w:cs="Times New Roman"/>
          <w:sz w:val="24"/>
          <w:szCs w:val="24"/>
          <w:lang w:val="es-ES"/>
        </w:rPr>
        <w:t xml:space="preserve"> </w:t>
      </w:r>
      <w:r w:rsidRPr="00AE6A9C">
        <w:rPr>
          <w:rFonts w:ascii="Times New Roman" w:hAnsi="Times New Roman" w:cs="Times New Roman"/>
          <w:color w:val="000000"/>
          <w:sz w:val="24"/>
          <w:szCs w:val="24"/>
          <w:lang w:val="es-ES"/>
        </w:rPr>
        <w:t>objetiva se alleguen e integren a la estructura de la experiencia consciente subjetiva” (Méndez, 2007, p.</w:t>
      </w:r>
      <w:r w:rsidR="001C19DD">
        <w:rPr>
          <w:rFonts w:ascii="Times New Roman" w:hAnsi="Times New Roman" w:cs="Times New Roman"/>
          <w:color w:val="000000"/>
          <w:sz w:val="24"/>
          <w:szCs w:val="24"/>
          <w:lang w:val="es-ES"/>
        </w:rPr>
        <w:t xml:space="preserve"> </w:t>
      </w:r>
      <w:r w:rsidRPr="00AE6A9C">
        <w:rPr>
          <w:rFonts w:ascii="Times New Roman" w:hAnsi="Times New Roman" w:cs="Times New Roman"/>
          <w:color w:val="000000"/>
          <w:sz w:val="24"/>
          <w:szCs w:val="24"/>
          <w:lang w:val="es-ES"/>
        </w:rPr>
        <w:t>186).</w:t>
      </w:r>
    </w:p>
    <w:p w14:paraId="7EAFAE65"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De esta manera, según Krippner (1990) citado por Méndez (2007), se estima que los estados normales producidos por la interferencia del proceso de sensopercepción y registro consciente vienen a conformar un EAC, que puede ser “reconocido subjetivamente por un individuo (o por un observador objetivo del individuo) como diferente, en funciones psicológicas, del estado ‘normal’ del individuo, del estado de alerta y de vigilia” (p. 187). </w:t>
      </w:r>
    </w:p>
    <w:p w14:paraId="34C2518D"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Este paradigma fenomenológico-psicologista con el que se han estimado los EAC ha permitido en ocasiones una valoración positiva de estos estados en contra del difundido prejuicio hacia dicho fenómeno. Dentro de esta tendencia </w:t>
      </w:r>
      <w:r w:rsidRPr="004F609D">
        <w:rPr>
          <w:rFonts w:ascii="Times New Roman" w:hAnsi="Times New Roman" w:cs="Times New Roman"/>
          <w:sz w:val="24"/>
          <w:szCs w:val="24"/>
          <w:lang w:val="es-CR"/>
        </w:rPr>
        <w:t xml:space="preserve">de valoración positiva </w:t>
      </w:r>
      <w:r w:rsidRPr="00AE6A9C">
        <w:rPr>
          <w:rFonts w:ascii="Times New Roman" w:hAnsi="Times New Roman" w:cs="Times New Roman"/>
          <w:sz w:val="24"/>
          <w:szCs w:val="24"/>
          <w:lang w:val="es-ES"/>
        </w:rPr>
        <w:t>se encuentra</w:t>
      </w:r>
      <w:r>
        <w:rPr>
          <w:rFonts w:ascii="Times New Roman" w:hAnsi="Times New Roman" w:cs="Times New Roman"/>
          <w:sz w:val="24"/>
          <w:szCs w:val="24"/>
          <w:lang w:val="es-CR"/>
        </w:rPr>
        <w:t xml:space="preserve"> </w:t>
      </w:r>
      <w:r w:rsidRPr="00F325CA">
        <w:rPr>
          <w:rFonts w:ascii="Times New Roman" w:hAnsi="Times New Roman" w:cs="Times New Roman"/>
          <w:sz w:val="24"/>
          <w:szCs w:val="24"/>
          <w:lang w:val="es-CR"/>
        </w:rPr>
        <w:t xml:space="preserve">Tart </w:t>
      </w:r>
      <w:r w:rsidRPr="00AE6A9C">
        <w:rPr>
          <w:rFonts w:ascii="Times New Roman" w:hAnsi="Times New Roman" w:cs="Times New Roman"/>
          <w:sz w:val="24"/>
          <w:szCs w:val="24"/>
          <w:lang w:val="es-ES"/>
        </w:rPr>
        <w:t>(1969), cuando sostiene que en la cultura Occidental los EAC han sido vistos de forma negativa y generalmente han sido asociados con estados psicopatológicos, omitiéndose así el hecho de la centralidad y reconocimiento que dan ciertas culturas a estos estados. De este modo, resalta la importancia que han teniendo dichos estados en la mística cristiana y en espiritualidades de Oriente, como el Yoga y el Budismo Zen (pp. 2-3).</w:t>
      </w:r>
    </w:p>
    <w:p w14:paraId="1DBF679D"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No obstante, también dentro de este paradigma prima una posición que no siempre logra diferenciar atinentemente los EAC, de acuerdo a sus causas, mecanismos internos (bioquímicos, neurológicos, fisiológicos) y circunstancias en que se desarrollan, puesto que en ocasiones los EAC típicos de ceremonias de ingesta enteogénica son vistos como un efecto intoxicante y homologables a formas de atención distorsionada de la psicosis, con estados deliroides de la esquizofrenia o con estados meditativos (Méndez, 2007, p. 188).</w:t>
      </w:r>
    </w:p>
    <w:p w14:paraId="52F6C042" w14:textId="77777777" w:rsidR="001A3E86" w:rsidRPr="00F325CA" w:rsidRDefault="001A3E86" w:rsidP="001A3E86">
      <w:pPr>
        <w:pStyle w:val="Heading3"/>
        <w:numPr>
          <w:ilvl w:val="0"/>
          <w:numId w:val="8"/>
        </w:numPr>
        <w:jc w:val="both"/>
        <w:rPr>
          <w:rFonts w:ascii="Times New Roman" w:hAnsi="Times New Roman"/>
          <w:sz w:val="24"/>
          <w:szCs w:val="24"/>
        </w:rPr>
      </w:pPr>
      <w:bookmarkStart w:id="19" w:name="_Toc474090219"/>
      <w:r w:rsidRPr="00F325CA">
        <w:rPr>
          <w:rFonts w:ascii="Times New Roman" w:hAnsi="Times New Roman"/>
          <w:sz w:val="24"/>
          <w:szCs w:val="24"/>
        </w:rPr>
        <w:t>Clasificación de los Estados Alterados de Conciencia.</w:t>
      </w:r>
      <w:bookmarkEnd w:id="19"/>
    </w:p>
    <w:p w14:paraId="5F3A9617"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p>
    <w:p w14:paraId="659CE2B2"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lastRenderedPageBreak/>
        <w:t xml:space="preserve">Quirce-Balma (1976) clasifica los Estados Alterados de Conciencia según procesos místicos, esquizoides y alucinógenos, considera los primeros como una experiencia de novedad que es asimilada constructivamente por el individuo, los segundos como aquellos carentes de directrices interpretativas y módulos de referencia para permitir al individuo una asimilación constructiva y los terceros como aquellos, que si bien se diferencian por poseer matices más longitudinales que los esquizófrenicos, en los que falta la trayectoria de preparación para poder concretizar el cambio de forma adecuada. </w:t>
      </w:r>
    </w:p>
    <w:p w14:paraId="4EB1A78C"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Sin embargo, después establece otra diferencia entre los Estados Alterados de Conciencia con valor evolutivo, místico y espiritual, de aquellos propios de la esquizofrenia, considera en la primera categoría a los alucinógenos o psicodélicos, en tanto funjan como entéogenos, empatógenos y entactógenos. Comprende los entéogenos como aquellos que producen experiencias elevadas de la conciencia; los empatógenos, son los que generan un profundo sentimiento de unidad con el universo; y los entactógenos, son percibidos como aquellos en los que la persona percibe que “se toca a sí misma por dentro” (Quirce-Balma &amp; alt. 2009).</w:t>
      </w:r>
    </w:p>
    <w:p w14:paraId="10757A62" w14:textId="77777777" w:rsidR="001A3E86" w:rsidRPr="00AE6A9C" w:rsidRDefault="001A3E86" w:rsidP="001A3E86">
      <w:pPr>
        <w:pStyle w:val="NoSpacing"/>
        <w:spacing w:line="360" w:lineRule="auto"/>
        <w:ind w:firstLine="720"/>
        <w:jc w:val="both"/>
        <w:rPr>
          <w:rFonts w:ascii="Times New Roman" w:hAnsi="Times New Roman" w:cs="Times New Roman"/>
          <w:sz w:val="24"/>
          <w:szCs w:val="24"/>
          <w:lang w:val="es-ES"/>
        </w:rPr>
      </w:pPr>
      <w:r w:rsidRPr="004F609D">
        <w:rPr>
          <w:rFonts w:ascii="Times New Roman" w:hAnsi="Times New Roman" w:cs="Times New Roman"/>
          <w:sz w:val="24"/>
          <w:szCs w:val="24"/>
          <w:lang w:val="es-CR"/>
        </w:rPr>
        <w:t xml:space="preserve">Se refiere de este modo a los Estados Alterados de Conciencia con valor evolutivo y espiritual, como aquellos por los que se busca estados de unidad interna para liberación del sufrimiento y de la identificación con los procesos de cambio no transformativo. Contempla estos estados en distintas ceremonias religiosas, en técnicas meditativas, en el uso de drogas alucinógenas o psicodélicas, en sistemas de discernimiento intelectual orientados a distinguir entre lo real y lo ficticio, en sistemas de oración, en cánticos y aún en ciertas formas de danzas rituales </w:t>
      </w:r>
      <w:r w:rsidRPr="00AE6A9C">
        <w:rPr>
          <w:rFonts w:ascii="Times New Roman" w:hAnsi="Times New Roman" w:cs="Times New Roman"/>
          <w:sz w:val="24"/>
          <w:szCs w:val="24"/>
          <w:lang w:val="es-ES"/>
        </w:rPr>
        <w:t>(</w:t>
      </w:r>
      <w:r w:rsidRPr="004F609D">
        <w:rPr>
          <w:rFonts w:ascii="Times New Roman" w:hAnsi="Times New Roman" w:cs="Times New Roman"/>
          <w:sz w:val="24"/>
          <w:szCs w:val="24"/>
          <w:lang w:val="es-CR"/>
        </w:rPr>
        <w:t xml:space="preserve">Quirce-Balma &amp; alt. 1988; </w:t>
      </w:r>
      <w:r w:rsidRPr="00AE6A9C">
        <w:rPr>
          <w:rFonts w:ascii="Times New Roman" w:hAnsi="Times New Roman" w:cs="Times New Roman"/>
          <w:sz w:val="24"/>
          <w:szCs w:val="24"/>
          <w:lang w:val="es-ES"/>
        </w:rPr>
        <w:t>Quirce-Balma &amp; alt, 2009).</w:t>
      </w:r>
    </w:p>
    <w:p w14:paraId="05E4B0E3"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Sobre esta línea, </w:t>
      </w:r>
      <w:r w:rsidRPr="00AE6A9C">
        <w:rPr>
          <w:rFonts w:ascii="Times New Roman" w:hAnsi="Times New Roman" w:cs="Times New Roman"/>
          <w:sz w:val="24"/>
          <w:szCs w:val="24"/>
          <w:lang w:val="es-ES"/>
        </w:rPr>
        <w:t xml:space="preserve">Quirce-Balma &amp; alt </w:t>
      </w:r>
      <w:r w:rsidRPr="004F609D">
        <w:rPr>
          <w:rFonts w:ascii="Times New Roman" w:hAnsi="Times New Roman" w:cs="Times New Roman"/>
          <w:sz w:val="24"/>
          <w:szCs w:val="24"/>
          <w:lang w:val="es-CR"/>
        </w:rPr>
        <w:t>(</w:t>
      </w:r>
      <w:r w:rsidRPr="00AE6A9C">
        <w:rPr>
          <w:rFonts w:ascii="Times New Roman" w:hAnsi="Times New Roman" w:cs="Times New Roman"/>
          <w:sz w:val="24"/>
          <w:szCs w:val="24"/>
          <w:lang w:val="es-ES"/>
        </w:rPr>
        <w:t>2009</w:t>
      </w:r>
      <w:r w:rsidRPr="004F609D">
        <w:rPr>
          <w:rFonts w:ascii="Times New Roman" w:hAnsi="Times New Roman" w:cs="Times New Roman"/>
          <w:sz w:val="24"/>
          <w:szCs w:val="24"/>
          <w:lang w:val="es-CR"/>
        </w:rPr>
        <w:t>) diferencian entre los estados esquizoides y los alucinógenos bajo la consideración del teorema del déficit del portonazo o el Gating déficit, según el cual en el cerebro la experiencia alucinatoria presenta una especie de anillo de reciclaje, conformado por el sistema corteza-estriatum-tálamo y de nuevo corteza, que filtra tanto información sensorial como de “regiones primitivas del cerebro”, que filtra las alucinaciones e impide un episodio psicótico, posiblemente esquizofrénico, aunque paralelamente permite pasar un mayor grado de información a la corteza.</w:t>
      </w:r>
    </w:p>
    <w:p w14:paraId="3162992E"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lastRenderedPageBreak/>
        <w:t>La remisión a la dinámica cerebral que suscitan estos estados es un recurso utilizado por algunos investigadores como Winkelman (1990) y Mohandas (2008). Winkelman (1990), por una parte, muestra que bajo estos EAC existe un conjunto común de los cambios psicofisiológicos, que implican la sustitución de la condición fisiológica normal de dominancia simpática y de actividad de onda</w:t>
      </w:r>
      <w:r w:rsidRPr="004F609D">
        <w:rPr>
          <w:rStyle w:val="hps"/>
          <w:rFonts w:ascii="Times New Roman" w:hAnsi="Times New Roman"/>
          <w:sz w:val="24"/>
          <w:szCs w:val="24"/>
          <w:lang w:val="es-CR"/>
        </w:rPr>
        <w:t xml:space="preserve"> </w:t>
      </w:r>
      <w:r w:rsidRPr="0099065B">
        <w:rPr>
          <w:rFonts w:ascii="Times New Roman" w:hAnsi="Times New Roman" w:cs="Times New Roman"/>
          <w:sz w:val="24"/>
          <w:szCs w:val="24"/>
          <w:lang w:val="es-ES"/>
        </w:rPr>
        <w:t>rápida</w:t>
      </w:r>
      <w:r w:rsidRPr="00AE6A9C">
        <w:rPr>
          <w:rStyle w:val="hps"/>
          <w:rFonts w:ascii="Times New Roman" w:hAnsi="Times New Roman"/>
          <w:sz w:val="24"/>
          <w:szCs w:val="24"/>
        </w:rPr>
        <w:t xml:space="preserve"> desincronizada</w:t>
      </w:r>
      <w:r w:rsidRPr="0099065B">
        <w:rPr>
          <w:rFonts w:ascii="Times New Roman" w:hAnsi="Times New Roman" w:cs="Times New Roman"/>
          <w:sz w:val="24"/>
          <w:szCs w:val="24"/>
          <w:lang w:val="es-ES"/>
        </w:rPr>
        <w:t xml:space="preserve"> </w:t>
      </w:r>
      <w:r w:rsidRPr="00AE6A9C">
        <w:rPr>
          <w:rStyle w:val="hps"/>
          <w:rFonts w:ascii="Times New Roman" w:hAnsi="Times New Roman"/>
          <w:sz w:val="24"/>
          <w:szCs w:val="24"/>
        </w:rPr>
        <w:t>de</w:t>
      </w:r>
      <w:r w:rsidRPr="0099065B">
        <w:rPr>
          <w:rFonts w:ascii="Times New Roman" w:hAnsi="Times New Roman" w:cs="Times New Roman"/>
          <w:sz w:val="24"/>
          <w:szCs w:val="24"/>
          <w:lang w:val="es-ES"/>
        </w:rPr>
        <w:t xml:space="preserve"> </w:t>
      </w:r>
      <w:r w:rsidRPr="00AE6A9C">
        <w:rPr>
          <w:rStyle w:val="hps"/>
          <w:rFonts w:ascii="Times New Roman" w:hAnsi="Times New Roman"/>
          <w:sz w:val="24"/>
          <w:szCs w:val="24"/>
        </w:rPr>
        <w:t>la corteza frontal</w:t>
      </w:r>
      <w:r w:rsidRPr="0099065B">
        <w:rPr>
          <w:rFonts w:ascii="Times New Roman" w:hAnsi="Times New Roman" w:cs="Times New Roman"/>
          <w:sz w:val="24"/>
          <w:szCs w:val="24"/>
          <w:lang w:val="es-ES"/>
        </w:rPr>
        <w:t xml:space="preserve"> </w:t>
      </w:r>
      <w:r w:rsidRPr="00AE6A9C">
        <w:rPr>
          <w:rStyle w:val="hps"/>
          <w:rFonts w:ascii="Times New Roman" w:hAnsi="Times New Roman"/>
          <w:sz w:val="24"/>
          <w:szCs w:val="24"/>
        </w:rPr>
        <w:t>por un</w:t>
      </w:r>
      <w:r w:rsidRPr="0099065B">
        <w:rPr>
          <w:rFonts w:ascii="Times New Roman" w:hAnsi="Times New Roman" w:cs="Times New Roman"/>
          <w:sz w:val="24"/>
          <w:szCs w:val="24"/>
          <w:lang w:val="es-ES"/>
        </w:rPr>
        <w:t xml:space="preserve"> </w:t>
      </w:r>
      <w:r w:rsidRPr="00AE6A9C">
        <w:rPr>
          <w:rStyle w:val="hps"/>
          <w:rFonts w:ascii="Times New Roman" w:hAnsi="Times New Roman"/>
          <w:sz w:val="24"/>
          <w:szCs w:val="24"/>
        </w:rPr>
        <w:t>estado parasimpático dominante,</w:t>
      </w:r>
      <w:r w:rsidRPr="0099065B">
        <w:rPr>
          <w:rFonts w:ascii="Times New Roman" w:hAnsi="Times New Roman" w:cs="Times New Roman"/>
          <w:sz w:val="24"/>
          <w:szCs w:val="24"/>
          <w:lang w:val="es-ES"/>
        </w:rPr>
        <w:t xml:space="preserve"> </w:t>
      </w:r>
      <w:r w:rsidRPr="00AE6A9C">
        <w:rPr>
          <w:rStyle w:val="hps"/>
          <w:rFonts w:ascii="Times New Roman" w:hAnsi="Times New Roman"/>
          <w:sz w:val="24"/>
          <w:szCs w:val="24"/>
        </w:rPr>
        <w:t>caracterizado por</w:t>
      </w:r>
      <w:r w:rsidRPr="0099065B">
        <w:rPr>
          <w:rFonts w:ascii="Times New Roman" w:hAnsi="Times New Roman" w:cs="Times New Roman"/>
          <w:sz w:val="24"/>
          <w:szCs w:val="24"/>
          <w:lang w:val="es-ES"/>
        </w:rPr>
        <w:t xml:space="preserve"> </w:t>
      </w:r>
      <w:r w:rsidRPr="00AE6A9C">
        <w:rPr>
          <w:rStyle w:val="hps"/>
          <w:rFonts w:ascii="Times New Roman" w:hAnsi="Times New Roman"/>
          <w:sz w:val="24"/>
          <w:szCs w:val="24"/>
        </w:rPr>
        <w:t>una sincronización cortical mediante un alto-voltaje de ondas lentas, actividad electroencefálica originada en área del</w:t>
      </w:r>
      <w:r w:rsidRPr="0099065B">
        <w:rPr>
          <w:rFonts w:ascii="Times New Roman" w:hAnsi="Times New Roman" w:cs="Times New Roman"/>
          <w:sz w:val="24"/>
          <w:szCs w:val="24"/>
          <w:lang w:val="es-ES"/>
        </w:rPr>
        <w:t xml:space="preserve"> </w:t>
      </w:r>
      <w:r w:rsidRPr="00AE6A9C">
        <w:rPr>
          <w:rStyle w:val="hps"/>
          <w:rFonts w:ascii="Times New Roman" w:hAnsi="Times New Roman"/>
          <w:sz w:val="24"/>
          <w:szCs w:val="24"/>
        </w:rPr>
        <w:t>hipocampo-septal.</w:t>
      </w:r>
      <w:r w:rsidRPr="004F609D">
        <w:rPr>
          <w:rFonts w:ascii="Times New Roman" w:hAnsi="Times New Roman" w:cs="Times New Roman"/>
          <w:color w:val="231F20"/>
          <w:sz w:val="24"/>
          <w:szCs w:val="24"/>
          <w:lang w:val="es-CR"/>
        </w:rPr>
        <w:t xml:space="preserve"> </w:t>
      </w:r>
    </w:p>
    <w:p w14:paraId="2E9B53B4"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Por otra parte, Mohandas (2008) realiza estudios tomográficos de las áreas cerebrales activadas por diversos métodos de meditación y oración, los cuales apuntan a que el cerebro humano con estos métodos presenta el común denominador de una activación prefrontal, hipofrontalidad transitoria, así como un aumento de la actividad del lóbulo frontal y disminución de la actividad del lóbulo parietal, con una deaferentación del lóbulo parietal superior posterior.</w:t>
      </w:r>
    </w:p>
    <w:p w14:paraId="17E6D9A3"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También sostiene que la experiencia religiosa puede ser considerada un proceso cognitivo, mediado por un pre-establecido circuito neuronal, que involucra en la corteza cerebral las áreas: dorsolateral, prefrontal, dorsomedial, frontal y medial parietal. Esta experiencia llega a ser religiosa cuando las personas la identifican con su esquema religioso (Monhandas 2008).</w:t>
      </w:r>
    </w:p>
    <w:p w14:paraId="0E38135E" w14:textId="77777777" w:rsidR="001A3E86" w:rsidRPr="0099065B" w:rsidRDefault="001A3E86" w:rsidP="001A3E86">
      <w:pPr>
        <w:pStyle w:val="NoSpacing"/>
        <w:spacing w:line="360" w:lineRule="auto"/>
        <w:ind w:firstLine="720"/>
        <w:jc w:val="both"/>
        <w:rPr>
          <w:rFonts w:ascii="Times New Roman" w:hAnsi="Times New Roman" w:cs="Times New Roman"/>
          <w:sz w:val="24"/>
          <w:szCs w:val="24"/>
          <w:lang w:val="es-ES"/>
        </w:rPr>
      </w:pPr>
      <w:r w:rsidRPr="004F609D">
        <w:rPr>
          <w:rFonts w:ascii="Times New Roman" w:hAnsi="Times New Roman" w:cs="Times New Roman"/>
          <w:sz w:val="24"/>
          <w:szCs w:val="24"/>
          <w:lang w:val="es-CR"/>
        </w:rPr>
        <w:t>Mohandas (2008) sostiene la hipótesis de que los estados mentales, comúnmente considerados estados alterados de conciencia, observados durante ciertas prácticas espirituales/religiosas se deben principalmente a la desregulación transitoria de la corteza prefrontal, donde la hipofrontalidad transitoria es la característica común de estos EAC. Plantea a su vez que existe considerable evidencia de estudios tomográficos sobre la activación de la corteza prefrontal en la meditación y experiencias religiosas.</w:t>
      </w:r>
    </w:p>
    <w:p w14:paraId="184BA5C3" w14:textId="77777777" w:rsidR="001A3E86" w:rsidRPr="00982306" w:rsidRDefault="001A3E86" w:rsidP="001A3E86">
      <w:pPr>
        <w:pStyle w:val="Heading3"/>
        <w:numPr>
          <w:ilvl w:val="0"/>
          <w:numId w:val="8"/>
        </w:numPr>
        <w:jc w:val="left"/>
        <w:rPr>
          <w:rFonts w:ascii="Times New Roman" w:hAnsi="Times New Roman"/>
        </w:rPr>
      </w:pPr>
      <w:bookmarkStart w:id="20" w:name="_Toc474090220"/>
      <w:r w:rsidRPr="00982306">
        <w:rPr>
          <w:rFonts w:ascii="Times New Roman" w:hAnsi="Times New Roman"/>
        </w:rPr>
        <w:t>Estados Alterados de Conciencia con valor espiritual</w:t>
      </w:r>
      <w:bookmarkEnd w:id="20"/>
    </w:p>
    <w:p w14:paraId="2922EE8D" w14:textId="77777777" w:rsidR="001A3E86" w:rsidRDefault="001A3E86" w:rsidP="001A3E86">
      <w:pPr>
        <w:pStyle w:val="NoSpacing"/>
        <w:spacing w:line="360" w:lineRule="auto"/>
        <w:ind w:firstLine="720"/>
        <w:jc w:val="both"/>
        <w:rPr>
          <w:rFonts w:ascii="Times New Roman" w:hAnsi="Times New Roman" w:cs="Times New Roman"/>
          <w:sz w:val="24"/>
          <w:szCs w:val="24"/>
          <w:lang w:val="es-CR"/>
        </w:rPr>
      </w:pPr>
    </w:p>
    <w:p w14:paraId="3C26605A" w14:textId="77777777" w:rsidR="001A3E86" w:rsidRPr="00AE6A9C" w:rsidRDefault="001A3E86" w:rsidP="001A3E86">
      <w:pPr>
        <w:pStyle w:val="NoSpacing"/>
        <w:spacing w:line="360" w:lineRule="auto"/>
        <w:ind w:firstLine="720"/>
        <w:jc w:val="both"/>
        <w:rPr>
          <w:rFonts w:ascii="Times New Roman" w:hAnsi="Times New Roman" w:cs="Times New Roman"/>
          <w:sz w:val="24"/>
          <w:szCs w:val="24"/>
          <w:lang w:val="es-ES"/>
        </w:rPr>
      </w:pPr>
      <w:r w:rsidRPr="004F609D">
        <w:rPr>
          <w:rFonts w:ascii="Times New Roman" w:hAnsi="Times New Roman" w:cs="Times New Roman"/>
          <w:sz w:val="24"/>
          <w:szCs w:val="24"/>
          <w:lang w:val="es-CR"/>
        </w:rPr>
        <w:t xml:space="preserve">Para Quirce-Balma &amp; alt. (1988) los Estados Alterados de Conciencia con valor evolutivo y espiritual están presentes en tradiciones prehispánicas mesoamericanas como la mazateca y la bribri, el cristianismo, el buddhismo, el taoísmo y el hinduismo con variantes </w:t>
      </w:r>
      <w:r w:rsidRPr="004F609D">
        <w:rPr>
          <w:rFonts w:ascii="Times New Roman" w:hAnsi="Times New Roman" w:cs="Times New Roman"/>
          <w:sz w:val="24"/>
          <w:szCs w:val="24"/>
          <w:lang w:val="es-CR"/>
        </w:rPr>
        <w:lastRenderedPageBreak/>
        <w:t>como Bhakti o el camino de la devoción, Shankya o discernimiento intelectual, Hatha yoga, Pranayama y técnicas de mantras y tántricas. Se suma así a una discusión, presente desde mediados del siglo pasado, sobre los EAC asociados con la espiritualidad</w:t>
      </w:r>
      <w:r w:rsidRPr="00AE6A9C">
        <w:rPr>
          <w:rFonts w:ascii="Times New Roman" w:hAnsi="Times New Roman" w:cs="Times New Roman"/>
          <w:sz w:val="24"/>
          <w:szCs w:val="24"/>
          <w:lang w:val="es-ES"/>
        </w:rPr>
        <w:t>.</w:t>
      </w:r>
    </w:p>
    <w:p w14:paraId="274B4153"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4F609D">
        <w:rPr>
          <w:rFonts w:ascii="Times New Roman" w:hAnsi="Times New Roman" w:cs="Times New Roman"/>
          <w:sz w:val="24"/>
          <w:szCs w:val="24"/>
          <w:lang w:val="es-CR"/>
        </w:rPr>
        <w:t>Sobre de la indicada discusión,</w:t>
      </w:r>
      <w:r w:rsidRPr="00AE6A9C">
        <w:rPr>
          <w:rFonts w:ascii="Times New Roman" w:hAnsi="Times New Roman" w:cs="Times New Roman"/>
          <w:sz w:val="24"/>
          <w:szCs w:val="24"/>
          <w:lang w:val="es-ES"/>
        </w:rPr>
        <w:t xml:space="preserve"> Valiente &amp; García (2010</w:t>
      </w:r>
      <w:r w:rsidRPr="004F609D">
        <w:rPr>
          <w:rFonts w:ascii="Times New Roman" w:hAnsi="Times New Roman" w:cs="Times New Roman"/>
          <w:sz w:val="24"/>
          <w:szCs w:val="24"/>
          <w:lang w:val="es-CR"/>
        </w:rPr>
        <w:t>)</w:t>
      </w:r>
      <w:r w:rsidRPr="00AE6A9C">
        <w:rPr>
          <w:rFonts w:ascii="Times New Roman" w:hAnsi="Times New Roman" w:cs="Times New Roman"/>
          <w:sz w:val="24"/>
          <w:szCs w:val="24"/>
          <w:lang w:val="es-ES"/>
        </w:rPr>
        <w:t xml:space="preserve"> consideran que “algunas experiencias asociadas a la espiritualidad han sido catalogadas dentro del elenco de los denominados ‘estados alterados de conciencia’” (</w:t>
      </w:r>
      <w:r>
        <w:rPr>
          <w:rFonts w:ascii="Times New Roman" w:hAnsi="Times New Roman" w:cs="Times New Roman"/>
          <w:sz w:val="24"/>
          <w:szCs w:val="24"/>
          <w:lang w:val="es-ES"/>
        </w:rPr>
        <w:t>p. 27</w:t>
      </w:r>
      <w:r w:rsidRPr="00AE6A9C">
        <w:rPr>
          <w:rFonts w:ascii="Times New Roman" w:hAnsi="Times New Roman" w:cs="Times New Roman"/>
          <w:sz w:val="24"/>
          <w:szCs w:val="24"/>
          <w:lang w:val="es-ES"/>
        </w:rPr>
        <w:t>), pero que logran ser diferenciadas con designaciones más precisas de acuerdo a la especificidad de lo espiritual:</w:t>
      </w:r>
    </w:p>
    <w:p w14:paraId="0D15E4D2" w14:textId="77777777" w:rsidR="001A3E86" w:rsidRPr="0099065B" w:rsidRDefault="001A3E86" w:rsidP="001A3E86">
      <w:pPr>
        <w:pStyle w:val="yiv1427917474msonormal"/>
        <w:spacing w:beforeAutospacing="0" w:afterAutospacing="0"/>
        <w:ind w:left="567" w:right="6"/>
        <w:jc w:val="both"/>
        <w:rPr>
          <w:sz w:val="22"/>
          <w:szCs w:val="22"/>
        </w:rPr>
      </w:pPr>
      <w:r w:rsidRPr="0099065B">
        <w:rPr>
          <w:sz w:val="22"/>
          <w:szCs w:val="22"/>
        </w:rPr>
        <w:t>Fenómenos como la experiencia mística, las alucinaciones con significado espiritual causadas por la ingesta de drogas psicoactivas, las experiencias cercanas a la muerte, las experiencias extracorporales, entre otras, llegan a ser incluidos dentro de un subapartado de los estados alterados, bajo el epígrafe de ‘estados excepcionales de conciencia’, por resultar emocionalmente positivos y deseables. No en vano, la intensidad subjetiva de algunas experiencias religiosas específicas ha provocado de que en concepto acuñados por Csikszentmihalyi, sean consideradas como experiencias de flujo; estas suponen una motivación intrínseca en la tarea que el sujeto desarrolla –meditación, yoga, etc.- e implican una absorción total en ella mediante una profunda atención focalizada. (Valiente &amp; García, 2010, p. 227)</w:t>
      </w:r>
    </w:p>
    <w:p w14:paraId="1BF813B3"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p>
    <w:p w14:paraId="1718717A"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4F609D">
        <w:rPr>
          <w:rFonts w:ascii="Times New Roman" w:hAnsi="Times New Roman" w:cs="Times New Roman"/>
          <w:sz w:val="24"/>
          <w:szCs w:val="24"/>
          <w:lang w:val="es-CR"/>
        </w:rPr>
        <w:t>Compréndase</w:t>
      </w:r>
      <w:r w:rsidRPr="00AE6A9C">
        <w:rPr>
          <w:rFonts w:ascii="Times New Roman" w:hAnsi="Times New Roman" w:cs="Times New Roman"/>
          <w:sz w:val="24"/>
          <w:szCs w:val="24"/>
          <w:lang w:val="es-ES"/>
        </w:rPr>
        <w:t xml:space="preserve"> que el común denominador de “EAC asociados a la espiritualidad”, “estados excepcionales de conciencia” o “experiencias de flujo”,</w:t>
      </w:r>
      <w:r w:rsidRPr="004F609D">
        <w:rPr>
          <w:rFonts w:ascii="Times New Roman" w:hAnsi="Times New Roman" w:cs="Times New Roman"/>
          <w:sz w:val="24"/>
          <w:szCs w:val="24"/>
          <w:lang w:val="es-CR"/>
        </w:rPr>
        <w:t xml:space="preserve"> subyace </w:t>
      </w:r>
      <w:r w:rsidRPr="00AE6A9C">
        <w:rPr>
          <w:rFonts w:ascii="Times New Roman" w:hAnsi="Times New Roman" w:cs="Times New Roman"/>
          <w:sz w:val="24"/>
          <w:szCs w:val="24"/>
          <w:lang w:val="es-ES"/>
        </w:rPr>
        <w:t xml:space="preserve">en la medida en que se estimen dentro del contexto de la espiritualidad humana. </w:t>
      </w:r>
      <w:r w:rsidRPr="004F609D">
        <w:rPr>
          <w:rFonts w:ascii="Times New Roman" w:hAnsi="Times New Roman" w:cs="Times New Roman"/>
          <w:sz w:val="24"/>
          <w:szCs w:val="24"/>
          <w:lang w:val="es-CR"/>
        </w:rPr>
        <w:t xml:space="preserve">En esta línea </w:t>
      </w:r>
      <w:r w:rsidRPr="00AE6A9C">
        <w:rPr>
          <w:rFonts w:ascii="Times New Roman" w:hAnsi="Times New Roman" w:cs="Times New Roman"/>
          <w:sz w:val="24"/>
          <w:szCs w:val="24"/>
          <w:lang w:val="es-ES"/>
        </w:rPr>
        <w:t>Quirce-Balma</w:t>
      </w:r>
      <w:r w:rsidRPr="004F609D">
        <w:rPr>
          <w:rFonts w:ascii="Times New Roman" w:hAnsi="Times New Roman" w:cs="Times New Roman"/>
          <w:sz w:val="24"/>
          <w:szCs w:val="24"/>
          <w:lang w:val="es-CR"/>
        </w:rPr>
        <w:t>,</w:t>
      </w:r>
      <w:r w:rsidRPr="00AE6A9C">
        <w:rPr>
          <w:rFonts w:ascii="Times New Roman" w:hAnsi="Times New Roman" w:cs="Times New Roman"/>
          <w:sz w:val="24"/>
          <w:szCs w:val="24"/>
          <w:lang w:val="es-ES"/>
        </w:rPr>
        <w:t xml:space="preserve"> de forma similar a Ott (1995, 1996), intenta “establecer la diferencia entre estados de alteración psicótica y estados de alteración de la conciencia que contengan un valor evolutivo y espiritual” (Quirce-Balma &amp; alt, 2009, p. 89).</w:t>
      </w:r>
    </w:p>
    <w:p w14:paraId="1FC618AF"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r w:rsidRPr="00AE6A9C">
        <w:rPr>
          <w:rFonts w:ascii="Times New Roman" w:hAnsi="Times New Roman" w:cs="Times New Roman"/>
          <w:sz w:val="24"/>
          <w:szCs w:val="24"/>
          <w:lang w:val="es-ES"/>
        </w:rPr>
        <w:t>P</w:t>
      </w:r>
      <w:r w:rsidRPr="004F609D">
        <w:rPr>
          <w:rFonts w:ascii="Times New Roman" w:hAnsi="Times New Roman" w:cs="Times New Roman"/>
          <w:sz w:val="24"/>
          <w:szCs w:val="24"/>
          <w:lang w:val="es-CR"/>
        </w:rPr>
        <w:t>ara Quirce-Balma (1976) los Estados Alterados de Conciencia vinculados a la espiritualidad también adquieren un sentido evolutivo en el marco social, en tanto puedan generar directrices culturales nuevas siempre que existan valores sociales-culturales permisivos de la alteración no familiar. La evolución así implica verticalización (ensanchamiento cualitativo) de valores y módulos culturales, mientras que el individualismo implica horizontalización de posibilidades de praxis y conceptualización, lo que resulta, por una parte, que una evolución no sea considerada válida y es enajenada de una realidad cultural y, por otra parte, que la horizontalizadación individual sea válida en estructuras sociales permisivas y reforzantes de la verticalización cualitativa.</w:t>
      </w:r>
    </w:p>
    <w:p w14:paraId="0DADB05E" w14:textId="77777777" w:rsidR="001A3E86" w:rsidRPr="004F609D" w:rsidRDefault="001A3E86" w:rsidP="001A3E86">
      <w:pPr>
        <w:pStyle w:val="NoSpacing"/>
        <w:spacing w:line="360" w:lineRule="auto"/>
        <w:ind w:firstLine="567"/>
        <w:jc w:val="both"/>
        <w:rPr>
          <w:rFonts w:ascii="Times New Roman" w:hAnsi="Times New Roman" w:cs="Times New Roman"/>
          <w:sz w:val="24"/>
          <w:szCs w:val="24"/>
          <w:lang w:val="es-CR"/>
        </w:rPr>
      </w:pPr>
    </w:p>
    <w:p w14:paraId="5B53C1DD" w14:textId="77777777" w:rsidR="001A3E86" w:rsidRPr="0099065B" w:rsidRDefault="001A3E86" w:rsidP="001A3E86">
      <w:pPr>
        <w:pStyle w:val="Heading2"/>
        <w:numPr>
          <w:ilvl w:val="0"/>
          <w:numId w:val="7"/>
        </w:numPr>
        <w:jc w:val="both"/>
        <w:rPr>
          <w:rFonts w:ascii="Times New Roman" w:hAnsi="Times New Roman"/>
          <w:color w:val="auto"/>
          <w:sz w:val="24"/>
          <w:szCs w:val="24"/>
        </w:rPr>
      </w:pPr>
      <w:bookmarkStart w:id="21" w:name="_Toc474090221"/>
      <w:r w:rsidRPr="0099065B">
        <w:rPr>
          <w:rFonts w:ascii="Times New Roman" w:hAnsi="Times New Roman"/>
          <w:color w:val="auto"/>
          <w:sz w:val="24"/>
          <w:szCs w:val="24"/>
        </w:rPr>
        <w:lastRenderedPageBreak/>
        <w:t>Etnopsicofarmacología</w:t>
      </w:r>
      <w:bookmarkEnd w:id="21"/>
    </w:p>
    <w:p w14:paraId="37413292" w14:textId="77777777" w:rsidR="001A3E86" w:rsidRDefault="001A3E86" w:rsidP="001A3E86">
      <w:pPr>
        <w:spacing w:before="120" w:after="100" w:afterAutospacing="1" w:line="360" w:lineRule="auto"/>
        <w:ind w:firstLine="720"/>
        <w:jc w:val="both"/>
        <w:rPr>
          <w:rFonts w:ascii="Arial" w:hAnsi="Arial" w:cs="Arial"/>
          <w:sz w:val="24"/>
          <w:szCs w:val="24"/>
          <w:lang w:val="es-CR"/>
        </w:rPr>
      </w:pPr>
    </w:p>
    <w:p w14:paraId="5B3DEB78" w14:textId="77777777" w:rsidR="001A3E86" w:rsidRPr="0099065B" w:rsidRDefault="001A3E86" w:rsidP="001A3E86">
      <w:pPr>
        <w:pStyle w:val="NoSpacing"/>
        <w:spacing w:line="360" w:lineRule="auto"/>
        <w:ind w:firstLine="720"/>
        <w:jc w:val="both"/>
        <w:rPr>
          <w:rFonts w:ascii="Times New Roman" w:hAnsi="Times New Roman" w:cs="Times New Roman"/>
          <w:sz w:val="24"/>
          <w:szCs w:val="24"/>
          <w:lang w:val="es-CR"/>
        </w:rPr>
      </w:pPr>
      <w:r w:rsidRPr="0099065B">
        <w:rPr>
          <w:rFonts w:ascii="Times New Roman" w:hAnsi="Times New Roman" w:cs="Times New Roman"/>
          <w:sz w:val="24"/>
          <w:szCs w:val="24"/>
          <w:lang w:val="es-CR"/>
        </w:rPr>
        <w:t>La etnopsicofarmacología constituye una forma de análisis que permite el estudio de</w:t>
      </w:r>
      <w:r>
        <w:rPr>
          <w:rFonts w:ascii="Times New Roman" w:hAnsi="Times New Roman" w:cs="Times New Roman"/>
          <w:sz w:val="24"/>
          <w:szCs w:val="24"/>
          <w:lang w:val="es-CR"/>
        </w:rPr>
        <w:t xml:space="preserve"> la importancia que</w:t>
      </w:r>
      <w:r w:rsidRPr="0099065B">
        <w:rPr>
          <w:rFonts w:ascii="Times New Roman" w:hAnsi="Times New Roman" w:cs="Times New Roman"/>
          <w:sz w:val="24"/>
          <w:szCs w:val="24"/>
          <w:lang w:val="es-CR"/>
        </w:rPr>
        <w:t xml:space="preserve"> los rituales y la botánica han </w:t>
      </w:r>
      <w:r>
        <w:rPr>
          <w:rFonts w:ascii="Times New Roman" w:hAnsi="Times New Roman" w:cs="Times New Roman"/>
          <w:sz w:val="24"/>
          <w:szCs w:val="24"/>
          <w:lang w:val="es-CR"/>
        </w:rPr>
        <w:t>tenido a través de la historia. En ella confluyen</w:t>
      </w:r>
      <w:r w:rsidRPr="0099065B">
        <w:rPr>
          <w:rFonts w:ascii="Times New Roman" w:hAnsi="Times New Roman" w:cs="Times New Roman"/>
          <w:sz w:val="24"/>
          <w:szCs w:val="24"/>
          <w:lang w:val="es-CR"/>
        </w:rPr>
        <w:t xml:space="preserve"> aspectos de la etnología, la psicología, la farmacología y la antropología, para el análisis de los estados alterados de conciencia desde su base fisiológica (Quirce</w:t>
      </w:r>
      <w:r>
        <w:rPr>
          <w:rFonts w:ascii="Times New Roman" w:hAnsi="Times New Roman" w:cs="Times New Roman"/>
          <w:sz w:val="24"/>
          <w:szCs w:val="24"/>
          <w:lang w:val="es-CR"/>
        </w:rPr>
        <w:t>-Balma</w:t>
      </w:r>
      <w:r w:rsidRPr="0099065B">
        <w:rPr>
          <w:rFonts w:ascii="Times New Roman" w:hAnsi="Times New Roman" w:cs="Times New Roman"/>
          <w:sz w:val="24"/>
          <w:szCs w:val="24"/>
          <w:lang w:val="es-CR"/>
        </w:rPr>
        <w:t>, 2010).</w:t>
      </w:r>
    </w:p>
    <w:p w14:paraId="717F5207" w14:textId="77777777" w:rsidR="001A3E86" w:rsidRPr="0099065B" w:rsidRDefault="001A3E86" w:rsidP="001A3E86">
      <w:pPr>
        <w:pStyle w:val="NoSpacing"/>
        <w:spacing w:line="360" w:lineRule="auto"/>
        <w:ind w:firstLine="720"/>
        <w:jc w:val="both"/>
        <w:rPr>
          <w:rFonts w:ascii="Times New Roman" w:hAnsi="Times New Roman" w:cs="Times New Roman"/>
          <w:sz w:val="24"/>
          <w:szCs w:val="24"/>
          <w:lang w:val="es-CR"/>
        </w:rPr>
      </w:pPr>
      <w:r w:rsidRPr="0099065B">
        <w:rPr>
          <w:rFonts w:ascii="Times New Roman" w:hAnsi="Times New Roman" w:cs="Times New Roman"/>
          <w:sz w:val="24"/>
          <w:szCs w:val="24"/>
          <w:lang w:val="es-CR"/>
        </w:rPr>
        <w:t>Es así como Quirce</w:t>
      </w:r>
      <w:r>
        <w:rPr>
          <w:rFonts w:ascii="Times New Roman" w:hAnsi="Times New Roman" w:cs="Times New Roman"/>
          <w:sz w:val="24"/>
          <w:szCs w:val="24"/>
          <w:lang w:val="es-CR"/>
        </w:rPr>
        <w:t>-Balma (2011</w:t>
      </w:r>
      <w:r w:rsidRPr="0099065B">
        <w:rPr>
          <w:rFonts w:ascii="Times New Roman" w:hAnsi="Times New Roman" w:cs="Times New Roman"/>
          <w:sz w:val="24"/>
          <w:szCs w:val="24"/>
          <w:lang w:val="es-CR"/>
        </w:rPr>
        <w:t xml:space="preserve">) realiza un análisis a la luz de la etnopsicofarmacología acerca </w:t>
      </w:r>
      <w:r>
        <w:rPr>
          <w:rFonts w:ascii="Times New Roman" w:hAnsi="Times New Roman" w:cs="Times New Roman"/>
          <w:sz w:val="24"/>
          <w:szCs w:val="24"/>
          <w:lang w:val="es-CR"/>
        </w:rPr>
        <w:t>de una leyenda bribrí donde intenta</w:t>
      </w:r>
      <w:r w:rsidRPr="0099065B">
        <w:rPr>
          <w:rFonts w:ascii="Times New Roman" w:hAnsi="Times New Roman" w:cs="Times New Roman"/>
          <w:sz w:val="24"/>
          <w:szCs w:val="24"/>
          <w:lang w:val="es-CR"/>
        </w:rPr>
        <w:t xml:space="preserve"> dar una interpretación tentativa en el uso de sustancias enteogénicas, en este caso para explicar el efecto de “inversión”. Pero</w:t>
      </w:r>
      <w:r>
        <w:rPr>
          <w:rFonts w:ascii="Times New Roman" w:hAnsi="Times New Roman" w:cs="Times New Roman"/>
          <w:sz w:val="24"/>
          <w:szCs w:val="24"/>
          <w:lang w:val="es-CR"/>
        </w:rPr>
        <w:t>,</w:t>
      </w:r>
      <w:r w:rsidRPr="0099065B">
        <w:rPr>
          <w:rFonts w:ascii="Times New Roman" w:hAnsi="Times New Roman" w:cs="Times New Roman"/>
          <w:sz w:val="24"/>
          <w:szCs w:val="24"/>
          <w:lang w:val="es-CR"/>
        </w:rPr>
        <w:t xml:space="preserve"> además, Quirce</w:t>
      </w:r>
      <w:r>
        <w:rPr>
          <w:rFonts w:ascii="Times New Roman" w:hAnsi="Times New Roman" w:cs="Times New Roman"/>
          <w:sz w:val="24"/>
          <w:szCs w:val="24"/>
          <w:lang w:val="es-CR"/>
        </w:rPr>
        <w:t>-Balma (2011</w:t>
      </w:r>
      <w:r w:rsidRPr="0099065B">
        <w:rPr>
          <w:rFonts w:ascii="Times New Roman" w:hAnsi="Times New Roman" w:cs="Times New Roman"/>
          <w:sz w:val="24"/>
          <w:szCs w:val="24"/>
          <w:lang w:val="es-CR"/>
        </w:rPr>
        <w:t xml:space="preserve">) indica que para hablar de etnopsicofarmacología “es necesario conocer más que las drogas botánicas y de las ceremonias que acompañan su uso…” </w:t>
      </w:r>
      <w:r>
        <w:rPr>
          <w:rFonts w:ascii="Times New Roman" w:hAnsi="Times New Roman" w:cs="Times New Roman"/>
          <w:sz w:val="24"/>
          <w:szCs w:val="24"/>
          <w:lang w:val="es-CR"/>
        </w:rPr>
        <w:t xml:space="preserve">(p. 199) </w:t>
      </w:r>
      <w:r w:rsidRPr="0099065B">
        <w:rPr>
          <w:rFonts w:ascii="Times New Roman" w:hAnsi="Times New Roman" w:cs="Times New Roman"/>
          <w:sz w:val="24"/>
          <w:szCs w:val="24"/>
          <w:lang w:val="es-CR"/>
        </w:rPr>
        <w:t xml:space="preserve">y hace crítica de algunos que, según su consideración, hicieron análisis fraudulentos de la temática. </w:t>
      </w:r>
    </w:p>
    <w:p w14:paraId="3C7AC4EA" w14:textId="77777777" w:rsidR="001A3E86" w:rsidRPr="0099065B" w:rsidRDefault="001A3E86" w:rsidP="001A3E86">
      <w:pPr>
        <w:pStyle w:val="NoSpacing"/>
        <w:spacing w:line="360" w:lineRule="auto"/>
        <w:ind w:firstLine="720"/>
        <w:jc w:val="both"/>
        <w:rPr>
          <w:rFonts w:ascii="Times New Roman" w:hAnsi="Times New Roman" w:cs="Times New Roman"/>
          <w:sz w:val="24"/>
          <w:szCs w:val="24"/>
          <w:lang w:val="es-CR"/>
        </w:rPr>
      </w:pPr>
      <w:r w:rsidRPr="0099065B">
        <w:rPr>
          <w:rFonts w:ascii="Times New Roman" w:hAnsi="Times New Roman" w:cs="Times New Roman"/>
          <w:sz w:val="24"/>
          <w:szCs w:val="24"/>
          <w:lang w:val="es-CR"/>
        </w:rPr>
        <w:t>Ahora bien, antes es importante abocar a la historia de la etnopsicofarmacología, donde se encuentra a Eliade (1977, citado en Quirce</w:t>
      </w:r>
      <w:r>
        <w:rPr>
          <w:rFonts w:ascii="Times New Roman" w:hAnsi="Times New Roman" w:cs="Times New Roman"/>
          <w:sz w:val="24"/>
          <w:szCs w:val="24"/>
          <w:lang w:val="es-CR"/>
        </w:rPr>
        <w:t>-Balma, 2010</w:t>
      </w:r>
      <w:r w:rsidRPr="0099065B">
        <w:rPr>
          <w:rFonts w:ascii="Times New Roman" w:hAnsi="Times New Roman" w:cs="Times New Roman"/>
          <w:sz w:val="24"/>
          <w:szCs w:val="24"/>
          <w:lang w:val="es-CR"/>
        </w:rPr>
        <w:t xml:space="preserve">) quien no aceptaba el uso de las drogas psicotrópicas como parte del estímulo al simbolismo; mientras autores como </w:t>
      </w:r>
      <w:r>
        <w:rPr>
          <w:rFonts w:ascii="Times New Roman" w:hAnsi="Times New Roman" w:cs="Times New Roman"/>
          <w:sz w:val="24"/>
          <w:szCs w:val="24"/>
          <w:lang w:val="es-CR"/>
        </w:rPr>
        <w:t>Dobkin de Ríos (2002) y Reichel</w:t>
      </w:r>
      <w:r w:rsidRPr="0099065B">
        <w:rPr>
          <w:rFonts w:ascii="Times New Roman" w:hAnsi="Times New Roman" w:cs="Times New Roman"/>
          <w:sz w:val="24"/>
          <w:szCs w:val="24"/>
          <w:lang w:val="es-CR"/>
        </w:rPr>
        <w:t>–Dolmatoff (1977)</w:t>
      </w:r>
      <w:r>
        <w:rPr>
          <w:rFonts w:ascii="Times New Roman" w:hAnsi="Times New Roman" w:cs="Times New Roman"/>
          <w:sz w:val="24"/>
          <w:szCs w:val="24"/>
          <w:lang w:val="es-CR"/>
        </w:rPr>
        <w:t>, ambos citados en Quirce-Balma (2010</w:t>
      </w:r>
      <w:r w:rsidRPr="0099065B">
        <w:rPr>
          <w:rFonts w:ascii="Times New Roman" w:hAnsi="Times New Roman" w:cs="Times New Roman"/>
          <w:sz w:val="24"/>
          <w:szCs w:val="24"/>
          <w:lang w:val="es-CR"/>
        </w:rPr>
        <w:t>)</w:t>
      </w:r>
      <w:r>
        <w:rPr>
          <w:rFonts w:ascii="Times New Roman" w:hAnsi="Times New Roman" w:cs="Times New Roman"/>
          <w:sz w:val="24"/>
          <w:szCs w:val="24"/>
          <w:lang w:val="es-CR"/>
        </w:rPr>
        <w:t>,</w:t>
      </w:r>
      <w:r w:rsidRPr="0099065B">
        <w:rPr>
          <w:rFonts w:ascii="Times New Roman" w:hAnsi="Times New Roman" w:cs="Times New Roman"/>
          <w:sz w:val="24"/>
          <w:szCs w:val="24"/>
          <w:lang w:val="es-CR"/>
        </w:rPr>
        <w:t xml:space="preserve"> consideraban que el chamanismo además de aportar sistemas de famacopea de gran importancia, aportan métodos de psicoterapia de gran relevancia. </w:t>
      </w:r>
    </w:p>
    <w:p w14:paraId="4CE10DEA" w14:textId="77777777" w:rsidR="001A3E86" w:rsidRPr="0099065B" w:rsidRDefault="001A3E86" w:rsidP="001A3E86">
      <w:pPr>
        <w:pStyle w:val="NoSpacing"/>
        <w:spacing w:line="360" w:lineRule="auto"/>
        <w:ind w:firstLine="720"/>
        <w:jc w:val="both"/>
        <w:rPr>
          <w:rFonts w:ascii="Times New Roman" w:hAnsi="Times New Roman" w:cs="Times New Roman"/>
          <w:sz w:val="24"/>
          <w:szCs w:val="24"/>
          <w:lang w:val="es-CR"/>
        </w:rPr>
      </w:pPr>
      <w:r w:rsidRPr="0099065B">
        <w:rPr>
          <w:rFonts w:ascii="Times New Roman" w:hAnsi="Times New Roman" w:cs="Times New Roman"/>
          <w:sz w:val="24"/>
          <w:szCs w:val="24"/>
          <w:lang w:val="es-CR"/>
        </w:rPr>
        <w:t>Mientras que, Winkelman</w:t>
      </w:r>
      <w:r>
        <w:rPr>
          <w:rFonts w:ascii="Times New Roman" w:hAnsi="Times New Roman" w:cs="Times New Roman"/>
          <w:sz w:val="24"/>
          <w:szCs w:val="24"/>
          <w:lang w:val="es-CR"/>
        </w:rPr>
        <w:t xml:space="preserve"> (2008, citado en Quirce-Balma, 2011) consideró</w:t>
      </w:r>
      <w:r w:rsidRPr="0099065B">
        <w:rPr>
          <w:rFonts w:ascii="Times New Roman" w:hAnsi="Times New Roman" w:cs="Times New Roman"/>
          <w:sz w:val="24"/>
          <w:szCs w:val="24"/>
          <w:lang w:val="es-CR"/>
        </w:rPr>
        <w:t xml:space="preserve"> que el desarrollo de actividades como rituales, cánticos, creencias, danzas, músicas y drogas a partir de plantas, hicieron una sincronización del hemisferio izquierdo con el derecho y produjeron estados de conciencia superiores que permiten un mayor grado de abstracción, acierto lógico y conductual. </w:t>
      </w:r>
    </w:p>
    <w:p w14:paraId="70DF99BB" w14:textId="77777777" w:rsidR="001A3E86" w:rsidRPr="0099065B" w:rsidRDefault="001A3E86" w:rsidP="001A3E86">
      <w:pPr>
        <w:pStyle w:val="NoSpacing"/>
        <w:spacing w:line="360" w:lineRule="auto"/>
        <w:ind w:firstLine="720"/>
        <w:jc w:val="both"/>
        <w:rPr>
          <w:rFonts w:ascii="Times New Roman" w:hAnsi="Times New Roman" w:cs="Times New Roman"/>
          <w:sz w:val="24"/>
          <w:szCs w:val="24"/>
          <w:lang w:val="es-CR"/>
        </w:rPr>
      </w:pPr>
      <w:r w:rsidRPr="0099065B">
        <w:rPr>
          <w:rFonts w:ascii="Times New Roman" w:hAnsi="Times New Roman" w:cs="Times New Roman"/>
          <w:sz w:val="24"/>
          <w:szCs w:val="24"/>
          <w:lang w:val="es-CR"/>
        </w:rPr>
        <w:t>Además, Wasson (1968, citado en Quirce</w:t>
      </w:r>
      <w:r>
        <w:rPr>
          <w:rFonts w:ascii="Times New Roman" w:hAnsi="Times New Roman" w:cs="Times New Roman"/>
          <w:sz w:val="24"/>
          <w:szCs w:val="24"/>
          <w:lang w:val="es-CR"/>
        </w:rPr>
        <w:t>-Balma, 2011</w:t>
      </w:r>
      <w:r w:rsidRPr="0099065B">
        <w:rPr>
          <w:rFonts w:ascii="Times New Roman" w:hAnsi="Times New Roman" w:cs="Times New Roman"/>
          <w:sz w:val="24"/>
          <w:szCs w:val="24"/>
          <w:lang w:val="es-CR"/>
        </w:rPr>
        <w:t xml:space="preserve">) investigó acerca de diferentes culturas con un alto contenido religioso y simbólico del antiguo mundo y de civilizaciones precolombinas, y sus conclusiones implican que la religión como tal es consecuencia de los estados alterados de conciencia que se viven bajo el efecto de un alucinógeno, y que entonces, implica más que el ambiente no materialista de dichas culturas o del inconsciente colectivo, ancestral o arquetipal. </w:t>
      </w:r>
    </w:p>
    <w:p w14:paraId="4D197EF6" w14:textId="77777777" w:rsidR="001A3E86" w:rsidRPr="0099065B" w:rsidRDefault="001A3E86" w:rsidP="001A3E86">
      <w:pPr>
        <w:pStyle w:val="NoSpacing"/>
        <w:spacing w:line="360" w:lineRule="auto"/>
        <w:ind w:firstLine="720"/>
        <w:jc w:val="both"/>
        <w:rPr>
          <w:rFonts w:ascii="Times New Roman" w:hAnsi="Times New Roman" w:cs="Times New Roman"/>
          <w:sz w:val="24"/>
          <w:szCs w:val="24"/>
          <w:lang w:val="es-CR"/>
        </w:rPr>
      </w:pPr>
      <w:r w:rsidRPr="0099065B">
        <w:rPr>
          <w:rFonts w:ascii="Times New Roman" w:hAnsi="Times New Roman" w:cs="Times New Roman"/>
          <w:sz w:val="24"/>
          <w:szCs w:val="24"/>
          <w:lang w:val="es-CR"/>
        </w:rPr>
        <w:lastRenderedPageBreak/>
        <w:t>Y es que según Quirce</w:t>
      </w:r>
      <w:r>
        <w:rPr>
          <w:rFonts w:ascii="Times New Roman" w:hAnsi="Times New Roman" w:cs="Times New Roman"/>
          <w:sz w:val="24"/>
          <w:szCs w:val="24"/>
          <w:lang w:val="es-CR"/>
        </w:rPr>
        <w:t>-Balma (2011</w:t>
      </w:r>
      <w:r w:rsidRPr="0099065B">
        <w:rPr>
          <w:rFonts w:ascii="Times New Roman" w:hAnsi="Times New Roman" w:cs="Times New Roman"/>
          <w:sz w:val="24"/>
          <w:szCs w:val="24"/>
          <w:lang w:val="es-CR"/>
        </w:rPr>
        <w:t xml:space="preserve">) y su análisis etnopsicofarmacológico, la posibilidad de que los alucinógenos permitan mayor acceso a bancos de información mental o cerebral, que generalmente no se utilizan por parte de la persona, nunca ha sido en su totalidad descartada; y se ha postulado en su proceso que la estimulación con alucinógenos de ciertas vías neuronales, puede dar lugar a conductas creativas como el arte, los rituales, las creencias y las filosofías. </w:t>
      </w:r>
    </w:p>
    <w:p w14:paraId="66289016" w14:textId="77777777" w:rsidR="001A3E86" w:rsidRPr="0099065B" w:rsidRDefault="001A3E86" w:rsidP="001A3E86">
      <w:pPr>
        <w:pStyle w:val="NoSpacing"/>
        <w:spacing w:line="360" w:lineRule="auto"/>
        <w:ind w:firstLine="720"/>
        <w:jc w:val="both"/>
        <w:rPr>
          <w:rFonts w:ascii="Times New Roman" w:hAnsi="Times New Roman" w:cs="Times New Roman"/>
          <w:sz w:val="24"/>
          <w:szCs w:val="24"/>
          <w:lang w:val="es-CR"/>
        </w:rPr>
      </w:pPr>
      <w:r w:rsidRPr="0099065B">
        <w:rPr>
          <w:rFonts w:ascii="Times New Roman" w:hAnsi="Times New Roman" w:cs="Times New Roman"/>
          <w:sz w:val="24"/>
          <w:szCs w:val="24"/>
          <w:lang w:val="es-CR"/>
        </w:rPr>
        <w:t>Wasson (</w:t>
      </w:r>
      <w:r>
        <w:rPr>
          <w:rFonts w:ascii="Times New Roman" w:hAnsi="Times New Roman" w:cs="Times New Roman"/>
          <w:sz w:val="24"/>
          <w:szCs w:val="24"/>
          <w:lang w:val="es-CR"/>
        </w:rPr>
        <w:t xml:space="preserve">1959, </w:t>
      </w:r>
      <w:r w:rsidRPr="0099065B">
        <w:rPr>
          <w:rFonts w:ascii="Times New Roman" w:hAnsi="Times New Roman" w:cs="Times New Roman"/>
          <w:sz w:val="24"/>
          <w:szCs w:val="24"/>
          <w:lang w:val="es-CR"/>
        </w:rPr>
        <w:t>citado en Quirce</w:t>
      </w:r>
      <w:r>
        <w:rPr>
          <w:rFonts w:ascii="Times New Roman" w:hAnsi="Times New Roman" w:cs="Times New Roman"/>
          <w:sz w:val="24"/>
          <w:szCs w:val="24"/>
          <w:lang w:val="es-CR"/>
        </w:rPr>
        <w:t>-Balma, 2011</w:t>
      </w:r>
      <w:r w:rsidRPr="0099065B">
        <w:rPr>
          <w:rFonts w:ascii="Times New Roman" w:hAnsi="Times New Roman" w:cs="Times New Roman"/>
          <w:sz w:val="24"/>
          <w:szCs w:val="24"/>
          <w:lang w:val="es-CR"/>
        </w:rPr>
        <w:t>) es quien abre la puerta a una nueva época en la antropología etnopsi</w:t>
      </w:r>
      <w:r>
        <w:rPr>
          <w:rFonts w:ascii="Times New Roman" w:hAnsi="Times New Roman" w:cs="Times New Roman"/>
          <w:sz w:val="24"/>
          <w:szCs w:val="24"/>
          <w:lang w:val="es-CR"/>
        </w:rPr>
        <w:t xml:space="preserve">cofarmacologica, al insistir </w:t>
      </w:r>
      <w:r w:rsidRPr="0099065B">
        <w:rPr>
          <w:rFonts w:ascii="Times New Roman" w:hAnsi="Times New Roman" w:cs="Times New Roman"/>
          <w:sz w:val="24"/>
          <w:szCs w:val="24"/>
          <w:lang w:val="es-CR"/>
        </w:rPr>
        <w:t>que todas las r</w:t>
      </w:r>
      <w:r>
        <w:rPr>
          <w:rFonts w:ascii="Times New Roman" w:hAnsi="Times New Roman" w:cs="Times New Roman"/>
          <w:sz w:val="24"/>
          <w:szCs w:val="24"/>
          <w:lang w:val="es-CR"/>
        </w:rPr>
        <w:t>eligiones antiguas basaban</w:t>
      </w:r>
      <w:r w:rsidRPr="0099065B">
        <w:rPr>
          <w:rFonts w:ascii="Times New Roman" w:hAnsi="Times New Roman" w:cs="Times New Roman"/>
          <w:sz w:val="24"/>
          <w:szCs w:val="24"/>
          <w:lang w:val="es-CR"/>
        </w:rPr>
        <w:t xml:space="preserve"> su origen en el uso de psicofármacos di</w:t>
      </w:r>
      <w:r>
        <w:rPr>
          <w:rFonts w:ascii="Times New Roman" w:hAnsi="Times New Roman" w:cs="Times New Roman"/>
          <w:sz w:val="24"/>
          <w:szCs w:val="24"/>
          <w:lang w:val="es-CR"/>
        </w:rPr>
        <w:t>señado</w:t>
      </w:r>
      <w:r w:rsidRPr="0099065B">
        <w:rPr>
          <w:rFonts w:ascii="Times New Roman" w:hAnsi="Times New Roman" w:cs="Times New Roman"/>
          <w:sz w:val="24"/>
          <w:szCs w:val="24"/>
          <w:lang w:val="es-CR"/>
        </w:rPr>
        <w:t xml:space="preserve">s a partir de plantas. </w:t>
      </w:r>
    </w:p>
    <w:p w14:paraId="3D2C8B56" w14:textId="77777777" w:rsidR="001A3E86" w:rsidRDefault="001A3E86" w:rsidP="001A3E86">
      <w:pPr>
        <w:pStyle w:val="NoSpacing"/>
        <w:spacing w:line="360" w:lineRule="auto"/>
        <w:ind w:firstLine="720"/>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De acuerdo con Pokorny (1970, citado en Quirce-Balma, 2011), la interpretación etnofarmacológica es compleja, pues el uso de las plantas alucionatorias se remonta al período paleolítico y su manifestación se dio en un lenguaje mítico y místico religioso que es bastante distinto del lenguaje hablado y escrito de la actualidad. Por este motivo, la descifración resulta difícil, debido a que se trata de lenguajes que actualmente no se utilizan. </w:t>
      </w:r>
    </w:p>
    <w:p w14:paraId="70EA38EE" w14:textId="77777777" w:rsidR="001A3E86" w:rsidRPr="0099065B" w:rsidRDefault="001A3E86" w:rsidP="001A3E86">
      <w:pPr>
        <w:pStyle w:val="NoSpacing"/>
        <w:spacing w:line="360" w:lineRule="auto"/>
        <w:ind w:firstLine="720"/>
        <w:jc w:val="both"/>
        <w:rPr>
          <w:rFonts w:ascii="Times New Roman" w:hAnsi="Times New Roman" w:cs="Times New Roman"/>
          <w:sz w:val="24"/>
          <w:szCs w:val="24"/>
          <w:lang w:val="es-CR"/>
        </w:rPr>
      </w:pPr>
      <w:r w:rsidRPr="0099065B">
        <w:rPr>
          <w:rFonts w:ascii="Times New Roman" w:hAnsi="Times New Roman" w:cs="Times New Roman"/>
          <w:sz w:val="24"/>
          <w:szCs w:val="24"/>
          <w:lang w:val="es-CR"/>
        </w:rPr>
        <w:t>Finalmente, desde su etnopsicofarmacología, Quirce</w:t>
      </w:r>
      <w:r>
        <w:rPr>
          <w:rFonts w:ascii="Times New Roman" w:hAnsi="Times New Roman" w:cs="Times New Roman"/>
          <w:sz w:val="24"/>
          <w:szCs w:val="24"/>
          <w:lang w:val="es-CR"/>
        </w:rPr>
        <w:t>-Balma (2011</w:t>
      </w:r>
      <w:r w:rsidRPr="0099065B">
        <w:rPr>
          <w:rFonts w:ascii="Times New Roman" w:hAnsi="Times New Roman" w:cs="Times New Roman"/>
          <w:sz w:val="24"/>
          <w:szCs w:val="24"/>
          <w:lang w:val="es-CR"/>
        </w:rPr>
        <w:t>) plantea que se pueden consi</w:t>
      </w:r>
      <w:r>
        <w:rPr>
          <w:rFonts w:ascii="Times New Roman" w:hAnsi="Times New Roman" w:cs="Times New Roman"/>
          <w:sz w:val="24"/>
          <w:szCs w:val="24"/>
          <w:lang w:val="es-CR"/>
        </w:rPr>
        <w:t>derar como hechos terapéuticos</w:t>
      </w:r>
      <w:r w:rsidRPr="0099065B">
        <w:rPr>
          <w:rFonts w:ascii="Times New Roman" w:hAnsi="Times New Roman" w:cs="Times New Roman"/>
          <w:sz w:val="24"/>
          <w:szCs w:val="24"/>
          <w:lang w:val="es-CR"/>
        </w:rPr>
        <w:t xml:space="preserve"> la mitología, el ritual y el uso de alucinógenos, ya </w:t>
      </w:r>
      <w:r>
        <w:rPr>
          <w:rFonts w:ascii="Times New Roman" w:hAnsi="Times New Roman" w:cs="Times New Roman"/>
          <w:sz w:val="24"/>
          <w:szCs w:val="24"/>
          <w:lang w:val="es-CR"/>
        </w:rPr>
        <w:t>que considerarlos</w:t>
      </w:r>
      <w:r w:rsidRPr="0099065B">
        <w:rPr>
          <w:rFonts w:ascii="Times New Roman" w:hAnsi="Times New Roman" w:cs="Times New Roman"/>
          <w:sz w:val="24"/>
          <w:szCs w:val="24"/>
          <w:lang w:val="es-CR"/>
        </w:rPr>
        <w:t xml:space="preserve"> circunstancias de la evolución de la mente de la raza humana por medio de la superstición, es un prejuicio de superioridad del hombre occidental.</w:t>
      </w:r>
    </w:p>
    <w:p w14:paraId="649708BB" w14:textId="77777777" w:rsidR="001C19DD" w:rsidRDefault="001C19DD" w:rsidP="00F76B5D">
      <w:pPr>
        <w:autoSpaceDE w:val="0"/>
        <w:autoSpaceDN w:val="0"/>
        <w:adjustRightInd w:val="0"/>
        <w:spacing w:before="120" w:after="100" w:afterAutospacing="1" w:line="360" w:lineRule="auto"/>
        <w:jc w:val="both"/>
        <w:rPr>
          <w:rFonts w:ascii="Arial" w:hAnsi="Arial" w:cs="Arial"/>
          <w:sz w:val="24"/>
          <w:szCs w:val="24"/>
          <w:lang w:val="es-CR"/>
        </w:rPr>
      </w:pPr>
    </w:p>
    <w:p w14:paraId="1136DAF5" w14:textId="77777777" w:rsidR="001A3E86" w:rsidRPr="0099065B" w:rsidRDefault="001A3E86" w:rsidP="001A3E86">
      <w:pPr>
        <w:pStyle w:val="Heading2"/>
        <w:numPr>
          <w:ilvl w:val="0"/>
          <w:numId w:val="7"/>
        </w:numPr>
        <w:jc w:val="both"/>
        <w:rPr>
          <w:rFonts w:ascii="Times New Roman" w:hAnsi="Times New Roman"/>
          <w:color w:val="auto"/>
          <w:sz w:val="24"/>
          <w:szCs w:val="24"/>
        </w:rPr>
      </w:pPr>
      <w:bookmarkStart w:id="22" w:name="_Toc474090222"/>
      <w:r w:rsidRPr="0099065B">
        <w:rPr>
          <w:rFonts w:ascii="Times New Roman" w:hAnsi="Times New Roman"/>
          <w:color w:val="auto"/>
          <w:sz w:val="24"/>
          <w:szCs w:val="24"/>
        </w:rPr>
        <w:t>Drogas enteogénicas</w:t>
      </w:r>
      <w:bookmarkEnd w:id="22"/>
    </w:p>
    <w:p w14:paraId="007AA780" w14:textId="77777777" w:rsidR="001A3E86" w:rsidRDefault="001A3E86" w:rsidP="001A3E86">
      <w:pPr>
        <w:pStyle w:val="NoSpacing"/>
        <w:spacing w:line="360" w:lineRule="auto"/>
        <w:jc w:val="both"/>
        <w:rPr>
          <w:rFonts w:ascii="Times New Roman" w:hAnsi="Times New Roman" w:cs="Times New Roman"/>
          <w:sz w:val="24"/>
          <w:szCs w:val="24"/>
        </w:rPr>
      </w:pPr>
    </w:p>
    <w:p w14:paraId="7C787957" w14:textId="77777777" w:rsidR="001A3E86" w:rsidRPr="00AE6A9C" w:rsidRDefault="001A3E86" w:rsidP="001A3E86">
      <w:pPr>
        <w:pStyle w:val="NoSpacing"/>
        <w:spacing w:line="360" w:lineRule="auto"/>
        <w:ind w:firstLine="720"/>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A pesar de la categoría de Méndez (2007), que sigue a Wilber (1995, 1998, 2005), lo cierto es que el término “enteógeno”, que deriva del griego antiguo y que significa “dios generado adentro”, por sí solo remite a estados de inspiración poética o profética, generalmente vinculados con lo trascendente. Este término parte de la estimación de que los embriagantes chamánicos no provocan “alucinaciones” o “psicosis” y de la consideración de que la esencia de la experiencia enteogénica es el éxtasis, en el sentido original de esa manida palabra -</w:t>
      </w:r>
      <w:r w:rsidRPr="00AE6A9C">
        <w:rPr>
          <w:rFonts w:ascii="Times New Roman" w:hAnsi="Times New Roman" w:cs="Times New Roman"/>
          <w:i/>
          <w:sz w:val="24"/>
          <w:szCs w:val="24"/>
          <w:lang w:val="es-ES"/>
        </w:rPr>
        <w:t>ek-stasis</w:t>
      </w:r>
      <w:r w:rsidRPr="00AE6A9C">
        <w:rPr>
          <w:rFonts w:ascii="Times New Roman" w:hAnsi="Times New Roman" w:cs="Times New Roman"/>
          <w:sz w:val="24"/>
          <w:szCs w:val="24"/>
          <w:lang w:val="es-ES"/>
        </w:rPr>
        <w:t>, “retraerse el alma del cuerpo” (Ott, 2004, pp. 15, 19, 54).</w:t>
      </w:r>
    </w:p>
    <w:p w14:paraId="34D40661" w14:textId="77777777" w:rsidR="001A3E86" w:rsidRPr="00AE6A9C" w:rsidRDefault="001A3E86" w:rsidP="001A3E86">
      <w:pPr>
        <w:pStyle w:val="NoSpacing"/>
        <w:spacing w:line="360" w:lineRule="auto"/>
        <w:ind w:firstLine="720"/>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lastRenderedPageBreak/>
        <w:t>La palabra “enteógeno”, por tanto, remite a un EAC con valor espiritual, lo cual también se desprende de la valoración elaborada por Ott (2004), cuando trata dicho estado de la siguiente manera:</w:t>
      </w:r>
    </w:p>
    <w:p w14:paraId="45057B59" w14:textId="77777777" w:rsidR="001A3E86" w:rsidRPr="0099065B" w:rsidRDefault="001A3E86" w:rsidP="001A3E86">
      <w:pPr>
        <w:pStyle w:val="yiv1427917474msonormal"/>
        <w:spacing w:beforeAutospacing="0" w:afterAutospacing="0"/>
        <w:ind w:left="567" w:right="6"/>
        <w:jc w:val="both"/>
        <w:rPr>
          <w:sz w:val="22"/>
          <w:szCs w:val="22"/>
        </w:rPr>
      </w:pPr>
      <w:r w:rsidRPr="0099065B">
        <w:rPr>
          <w:sz w:val="22"/>
          <w:szCs w:val="22"/>
        </w:rPr>
        <w:t>Más concretamente, es un estado inefable de gracia espiritual, donde el universo se experimenta más como ene</w:t>
      </w:r>
      <w:r>
        <w:rPr>
          <w:sz w:val="22"/>
          <w:szCs w:val="22"/>
        </w:rPr>
        <w:t>rgía que como materia (Ott 1977a</w:t>
      </w:r>
      <w:r w:rsidRPr="0099065B">
        <w:rPr>
          <w:sz w:val="22"/>
          <w:szCs w:val="22"/>
        </w:rPr>
        <w:t>).  Un estado donde la existencia es espiritual y no material (Hofmann 1988)</w:t>
      </w:r>
      <w:r>
        <w:rPr>
          <w:sz w:val="22"/>
          <w:szCs w:val="22"/>
        </w:rPr>
        <w:t>. (</w:t>
      </w:r>
      <w:r w:rsidRPr="0099065B">
        <w:rPr>
          <w:sz w:val="22"/>
          <w:szCs w:val="22"/>
        </w:rPr>
        <w:t>p</w:t>
      </w:r>
      <w:r>
        <w:rPr>
          <w:sz w:val="22"/>
          <w:szCs w:val="22"/>
        </w:rPr>
        <w:t>. 55)</w:t>
      </w:r>
      <w:r w:rsidRPr="0099065B">
        <w:rPr>
          <w:sz w:val="22"/>
          <w:szCs w:val="22"/>
        </w:rPr>
        <w:t xml:space="preserve">  </w:t>
      </w:r>
    </w:p>
    <w:p w14:paraId="7E59E370"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p>
    <w:p w14:paraId="59774549"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Sobre este particular, resulta insoslayable remitir al papel que ha jugado la etnofarmacología en el estudio de los EAC con valor espiritual, específicamente de aquellos que son propios del consumo de enteógenos. Al respecto han sido destacadas las investigaciones etnofarmacológicas del químico Albert Hofman, del botánico Richard Schultes y del antropólogo Gordon Wasson, quienes conjuntamente y con apoyo de otros estudiosos del tema han abierto la discusión científica en diferentes áreas sobre el consumo enteogénico. </w:t>
      </w:r>
    </w:p>
    <w:p w14:paraId="4FA9D643" w14:textId="77777777" w:rsidR="001A3E86" w:rsidRPr="00094810" w:rsidRDefault="001A3E86" w:rsidP="001A3E86">
      <w:pPr>
        <w:pStyle w:val="NoSpacing"/>
        <w:spacing w:line="360" w:lineRule="auto"/>
        <w:ind w:firstLine="567"/>
        <w:jc w:val="both"/>
        <w:rPr>
          <w:rFonts w:ascii="Times New Roman" w:hAnsi="Times New Roman" w:cs="Times New Roman"/>
          <w:sz w:val="24"/>
          <w:szCs w:val="24"/>
          <w:lang w:val="es-CR"/>
        </w:rPr>
      </w:pPr>
      <w:r w:rsidRPr="00AE6A9C">
        <w:rPr>
          <w:rFonts w:ascii="Times New Roman" w:hAnsi="Times New Roman" w:cs="Times New Roman"/>
          <w:sz w:val="24"/>
          <w:szCs w:val="24"/>
          <w:lang w:val="es-ES"/>
        </w:rPr>
        <w:t>Hofman &amp; Schultes</w:t>
      </w:r>
      <w:r w:rsidRPr="00094810">
        <w:rPr>
          <w:rFonts w:ascii="Times New Roman" w:hAnsi="Times New Roman" w:cs="Times New Roman"/>
          <w:sz w:val="24"/>
          <w:szCs w:val="24"/>
          <w:lang w:val="es-CR"/>
        </w:rPr>
        <w:t xml:space="preserve"> </w:t>
      </w:r>
      <w:r w:rsidRPr="00AE6A9C">
        <w:rPr>
          <w:rFonts w:ascii="Times New Roman" w:hAnsi="Times New Roman" w:cs="Times New Roman"/>
          <w:sz w:val="24"/>
          <w:szCs w:val="24"/>
          <w:lang w:val="es-ES"/>
        </w:rPr>
        <w:t xml:space="preserve">presentan como “plantas de los dioses” aquellas consideradas alucinógenas o que elevan la conciencia, aunque sostienen limitaciones sobre el uso del término alucinógeno o de terminología asociada, como tóxico, narcótico, </w:t>
      </w:r>
      <w:r w:rsidRPr="00AE6A9C">
        <w:rPr>
          <w:rFonts w:ascii="Times New Roman" w:hAnsi="Times New Roman" w:cs="Times New Roman"/>
          <w:i/>
          <w:sz w:val="24"/>
          <w:szCs w:val="24"/>
          <w:lang w:val="es-ES"/>
        </w:rPr>
        <w:t xml:space="preserve">psicomimético </w:t>
      </w:r>
      <w:r w:rsidRPr="00AE6A9C">
        <w:rPr>
          <w:rFonts w:ascii="Times New Roman" w:hAnsi="Times New Roman" w:cs="Times New Roman"/>
          <w:sz w:val="24"/>
          <w:szCs w:val="24"/>
          <w:lang w:val="es-ES"/>
        </w:rPr>
        <w:t xml:space="preserve">y </w:t>
      </w:r>
      <w:r w:rsidRPr="00AE6A9C">
        <w:rPr>
          <w:rFonts w:ascii="Times New Roman" w:hAnsi="Times New Roman" w:cs="Times New Roman"/>
          <w:i/>
          <w:sz w:val="24"/>
          <w:szCs w:val="24"/>
          <w:lang w:val="es-ES"/>
        </w:rPr>
        <w:t>phantastica</w:t>
      </w:r>
      <w:r w:rsidRPr="00AE6A9C">
        <w:rPr>
          <w:rFonts w:ascii="Times New Roman" w:hAnsi="Times New Roman" w:cs="Times New Roman"/>
          <w:sz w:val="24"/>
          <w:szCs w:val="24"/>
          <w:lang w:val="es-ES"/>
        </w:rPr>
        <w:t xml:space="preserve">, por estimar que “¨[l]os cambios psíquicos y los estados sublimes de conciencia provocados por los alucinógenos se encuentran tan alejados de la vida ordinaria que resulta casi imposible describirlos en el lenguaje corriente”  (Hofman &amp; Schultes, 2000, pp. 9-14). </w:t>
      </w:r>
    </w:p>
    <w:p w14:paraId="418DB2E3"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Hofman &amp; Schultes, con la colaboración del etnofarmacólogo Christian Rälsch, presentan una aclaradora obra denominada “Las Plantas de los dioses” (2000), en la que se busca dar una definición de las plantas alucinógenas y una muestra de investigaciones fitoquímicas más relevantes sobre estas plantas</w:t>
      </w:r>
      <w:r w:rsidR="001C19DD">
        <w:rPr>
          <w:rFonts w:ascii="Times New Roman" w:hAnsi="Times New Roman" w:cs="Times New Roman"/>
          <w:sz w:val="24"/>
          <w:szCs w:val="24"/>
          <w:lang w:val="es-ES"/>
        </w:rPr>
        <w:t>,</w:t>
      </w:r>
      <w:r w:rsidRPr="00AE6A9C">
        <w:rPr>
          <w:rFonts w:ascii="Times New Roman" w:hAnsi="Times New Roman" w:cs="Times New Roman"/>
          <w:sz w:val="24"/>
          <w:szCs w:val="24"/>
          <w:lang w:val="es-ES"/>
        </w:rPr>
        <w:t xml:space="preserve"> así como su distribución, uso y léxico más generalizado. El texto es una traducción de la obra </w:t>
      </w:r>
      <w:r w:rsidRPr="00AE6A9C">
        <w:rPr>
          <w:rFonts w:ascii="Times New Roman" w:hAnsi="Times New Roman" w:cs="Times New Roman"/>
          <w:i/>
          <w:sz w:val="24"/>
          <w:szCs w:val="24"/>
          <w:lang w:val="es-ES"/>
        </w:rPr>
        <w:t>Plants of the Gods: Origins of hallucinogencic use</w:t>
      </w:r>
      <w:r w:rsidRPr="00AE6A9C">
        <w:rPr>
          <w:rFonts w:ascii="Times New Roman" w:hAnsi="Times New Roman" w:cs="Times New Roman"/>
          <w:sz w:val="24"/>
          <w:szCs w:val="24"/>
          <w:lang w:val="es-ES"/>
        </w:rPr>
        <w:t xml:space="preserve"> (1982, 2000) por Alberto Blanco, con la colaboración del doctor Gastón Guzmán y del biólogo Salvador Acosta.</w:t>
      </w:r>
    </w:p>
    <w:p w14:paraId="7414938A"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Sobre estas denominaciones refieren estos investigadores limitaciones de diverso carácter, como que el término tóxico, del griego </w:t>
      </w:r>
      <w:r w:rsidRPr="00094810">
        <w:rPr>
          <w:rFonts w:ascii="Times New Roman" w:hAnsi="Times New Roman" w:cs="Times New Roman"/>
          <w:sz w:val="24"/>
          <w:szCs w:val="24"/>
        </w:rPr>
        <w:t>τοζικον</w:t>
      </w:r>
      <w:r w:rsidRPr="00AE6A9C">
        <w:rPr>
          <w:rFonts w:ascii="Times New Roman" w:hAnsi="Times New Roman" w:cs="Times New Roman"/>
          <w:sz w:val="24"/>
          <w:szCs w:val="24"/>
          <w:lang w:val="es-ES"/>
        </w:rPr>
        <w:t xml:space="preserve"> (toxikón), palabra a su vez derivada de </w:t>
      </w:r>
      <w:r w:rsidRPr="00094810">
        <w:rPr>
          <w:rFonts w:ascii="Times New Roman" w:hAnsi="Times New Roman" w:cs="Times New Roman"/>
          <w:sz w:val="24"/>
          <w:szCs w:val="24"/>
        </w:rPr>
        <w:t>τοζον</w:t>
      </w:r>
      <w:r w:rsidRPr="00AE6A9C">
        <w:rPr>
          <w:rFonts w:ascii="Times New Roman" w:hAnsi="Times New Roman" w:cs="Times New Roman"/>
          <w:sz w:val="24"/>
          <w:szCs w:val="24"/>
          <w:lang w:val="es-ES"/>
        </w:rPr>
        <w:t xml:space="preserve"> (arco), remite al significado de flecha envenenada y presenta un uso amplio que implica sustancias químicas, vegetales y animales. Por otro lado, muestran las limitaciones del término narcótico (del griego </w:t>
      </w:r>
      <w:r w:rsidRPr="00094810">
        <w:rPr>
          <w:rFonts w:ascii="Times New Roman" w:hAnsi="Times New Roman" w:cs="Times New Roman"/>
          <w:sz w:val="24"/>
          <w:szCs w:val="24"/>
        </w:rPr>
        <w:t>ναρκυον</w:t>
      </w:r>
      <w:r w:rsidRPr="00AE6A9C">
        <w:rPr>
          <w:rFonts w:ascii="Times New Roman" w:hAnsi="Times New Roman" w:cs="Times New Roman"/>
          <w:sz w:val="24"/>
          <w:szCs w:val="24"/>
          <w:lang w:val="es-ES"/>
        </w:rPr>
        <w:t xml:space="preserve">), dado que excluye las sustancias </w:t>
      </w:r>
      <w:r w:rsidRPr="00AE6A9C">
        <w:rPr>
          <w:rFonts w:ascii="Times New Roman" w:hAnsi="Times New Roman" w:cs="Times New Roman"/>
          <w:sz w:val="24"/>
          <w:szCs w:val="24"/>
          <w:lang w:val="es-ES"/>
        </w:rPr>
        <w:lastRenderedPageBreak/>
        <w:t xml:space="preserve">estimulantes, siendo más bien el término alemán </w:t>
      </w:r>
      <w:r w:rsidRPr="00AE6A9C">
        <w:rPr>
          <w:rFonts w:ascii="Times New Roman" w:hAnsi="Times New Roman" w:cs="Times New Roman"/>
          <w:i/>
          <w:sz w:val="24"/>
          <w:szCs w:val="24"/>
          <w:lang w:val="es-ES"/>
        </w:rPr>
        <w:t>Genu</w:t>
      </w:r>
      <w:r w:rsidRPr="00094810">
        <w:rPr>
          <w:rFonts w:ascii="Times New Roman" w:hAnsi="Times New Roman" w:cs="Times New Roman"/>
          <w:i/>
          <w:sz w:val="24"/>
          <w:szCs w:val="24"/>
        </w:rPr>
        <w:t>β</w:t>
      </w:r>
      <w:r w:rsidRPr="00AE6A9C">
        <w:rPr>
          <w:rFonts w:ascii="Times New Roman" w:hAnsi="Times New Roman" w:cs="Times New Roman"/>
          <w:i/>
          <w:sz w:val="24"/>
          <w:szCs w:val="24"/>
          <w:lang w:val="es-ES"/>
        </w:rPr>
        <w:t>mittel</w:t>
      </w:r>
      <w:r w:rsidRPr="00AE6A9C">
        <w:rPr>
          <w:rFonts w:ascii="Times New Roman" w:hAnsi="Times New Roman" w:cs="Times New Roman"/>
          <w:sz w:val="24"/>
          <w:szCs w:val="24"/>
          <w:lang w:val="es-ES"/>
        </w:rPr>
        <w:t xml:space="preserve"> el que logra englobar narcóticos y estimulantes. Sobre los psicomiméticos (que generan estados psicóticos), señalan el simplismo de tal designación, y en lo que respecta al uso del término </w:t>
      </w:r>
      <w:r w:rsidRPr="00AE6A9C">
        <w:rPr>
          <w:rFonts w:ascii="Times New Roman" w:hAnsi="Times New Roman" w:cs="Times New Roman"/>
          <w:i/>
          <w:sz w:val="24"/>
          <w:szCs w:val="24"/>
          <w:lang w:val="es-ES"/>
        </w:rPr>
        <w:t>phantastica</w:t>
      </w:r>
      <w:r w:rsidRPr="00AE6A9C">
        <w:rPr>
          <w:rFonts w:ascii="Times New Roman" w:hAnsi="Times New Roman" w:cs="Times New Roman"/>
          <w:sz w:val="24"/>
          <w:szCs w:val="24"/>
          <w:lang w:val="es-ES"/>
        </w:rPr>
        <w:t>, utilizado por primera vez por Lewin (</w:t>
      </w:r>
      <w:r>
        <w:rPr>
          <w:rFonts w:ascii="Times New Roman" w:hAnsi="Times New Roman" w:cs="Times New Roman"/>
          <w:sz w:val="24"/>
          <w:szCs w:val="24"/>
          <w:lang w:val="es-ES"/>
        </w:rPr>
        <w:t>1924</w:t>
      </w:r>
      <w:r w:rsidRPr="00AE6A9C">
        <w:rPr>
          <w:rFonts w:ascii="Times New Roman" w:hAnsi="Times New Roman" w:cs="Times New Roman"/>
          <w:sz w:val="24"/>
          <w:szCs w:val="24"/>
          <w:lang w:val="es-ES"/>
        </w:rPr>
        <w:t>), remiten a que este mismo autor admite que “el término no cubre todos los aspectos que él hubiera querido” (Hofman &amp; Schultes</w:t>
      </w:r>
      <w:r>
        <w:rPr>
          <w:rFonts w:ascii="Times New Roman" w:hAnsi="Times New Roman" w:cs="Times New Roman"/>
          <w:sz w:val="24"/>
          <w:szCs w:val="24"/>
          <w:lang w:val="es-ES"/>
        </w:rPr>
        <w:t xml:space="preserve">, 2000, </w:t>
      </w:r>
      <w:r w:rsidRPr="00AE6A9C">
        <w:rPr>
          <w:rFonts w:ascii="Times New Roman" w:hAnsi="Times New Roman" w:cs="Times New Roman"/>
          <w:sz w:val="24"/>
          <w:szCs w:val="24"/>
          <w:lang w:val="es-ES"/>
        </w:rPr>
        <w:t>pp. 10-12).</w:t>
      </w:r>
    </w:p>
    <w:p w14:paraId="546D169C" w14:textId="77777777" w:rsidR="001A3E86" w:rsidRPr="00094810" w:rsidRDefault="001A3E86" w:rsidP="001A3E86">
      <w:pPr>
        <w:pStyle w:val="NoSpacing"/>
        <w:spacing w:line="360" w:lineRule="auto"/>
        <w:ind w:firstLine="567"/>
        <w:jc w:val="both"/>
        <w:rPr>
          <w:rFonts w:ascii="Times New Roman" w:hAnsi="Times New Roman" w:cs="Times New Roman"/>
          <w:sz w:val="24"/>
          <w:szCs w:val="24"/>
          <w:lang w:val="es-CR"/>
        </w:rPr>
      </w:pPr>
      <w:r w:rsidRPr="00094810">
        <w:rPr>
          <w:rFonts w:ascii="Times New Roman" w:hAnsi="Times New Roman" w:cs="Times New Roman"/>
          <w:sz w:val="24"/>
          <w:szCs w:val="24"/>
          <w:lang w:val="es-CR"/>
        </w:rPr>
        <w:t>A partir de ello que se empieza a generalizar la utilización de la palabra enteógeno, como se detalla en los párrafos siguientes.</w:t>
      </w:r>
    </w:p>
    <w:p w14:paraId="780933B6" w14:textId="77777777" w:rsidR="001A3E86" w:rsidRPr="00094810" w:rsidRDefault="001A3E86" w:rsidP="001A3E86">
      <w:pPr>
        <w:pStyle w:val="ListParagraph"/>
        <w:numPr>
          <w:ilvl w:val="0"/>
          <w:numId w:val="1"/>
        </w:numPr>
        <w:autoSpaceDE w:val="0"/>
        <w:autoSpaceDN w:val="0"/>
        <w:adjustRightInd w:val="0"/>
        <w:spacing w:before="120" w:after="100" w:afterAutospacing="1" w:line="360" w:lineRule="auto"/>
        <w:jc w:val="both"/>
        <w:rPr>
          <w:rFonts w:ascii="Times New Roman" w:hAnsi="Times New Roman" w:cs="Times New Roman"/>
          <w:sz w:val="24"/>
          <w:szCs w:val="24"/>
          <w:lang w:val="es-CR"/>
        </w:rPr>
      </w:pPr>
      <w:r w:rsidRPr="00094810">
        <w:rPr>
          <w:rFonts w:ascii="Times New Roman" w:hAnsi="Times New Roman" w:cs="Times New Roman"/>
          <w:sz w:val="24"/>
          <w:szCs w:val="24"/>
          <w:lang w:val="es-CR"/>
        </w:rPr>
        <w:t>Clasificación de los alucinógenos</w:t>
      </w:r>
    </w:p>
    <w:p w14:paraId="1411D38B" w14:textId="77777777" w:rsidR="001A3E86" w:rsidRPr="00094810" w:rsidRDefault="001A3E86" w:rsidP="001A3E86">
      <w:pPr>
        <w:autoSpaceDE w:val="0"/>
        <w:autoSpaceDN w:val="0"/>
        <w:adjustRightInd w:val="0"/>
        <w:spacing w:before="120" w:after="100" w:afterAutospacing="1" w:line="360" w:lineRule="auto"/>
        <w:ind w:firstLine="720"/>
        <w:jc w:val="both"/>
        <w:rPr>
          <w:rFonts w:ascii="Times New Roman" w:hAnsi="Times New Roman" w:cs="Times New Roman"/>
          <w:sz w:val="24"/>
          <w:szCs w:val="24"/>
          <w:lang w:val="es-CR"/>
        </w:rPr>
      </w:pPr>
      <w:r w:rsidRPr="00094810">
        <w:rPr>
          <w:rFonts w:ascii="Times New Roman" w:hAnsi="Times New Roman" w:cs="Times New Roman"/>
          <w:sz w:val="24"/>
          <w:szCs w:val="24"/>
          <w:lang w:val="es-CR"/>
        </w:rPr>
        <w:t>Según Quirce</w:t>
      </w:r>
      <w:r>
        <w:rPr>
          <w:rFonts w:ascii="Times New Roman" w:hAnsi="Times New Roman" w:cs="Times New Roman"/>
          <w:sz w:val="24"/>
          <w:szCs w:val="24"/>
          <w:lang w:val="es-CR"/>
        </w:rPr>
        <w:t>-Balma</w:t>
      </w:r>
      <w:r w:rsidRPr="00094810">
        <w:rPr>
          <w:rFonts w:ascii="Times New Roman" w:hAnsi="Times New Roman" w:cs="Times New Roman"/>
          <w:sz w:val="24"/>
          <w:szCs w:val="24"/>
          <w:lang w:val="es-CR"/>
        </w:rPr>
        <w:t xml:space="preserve"> y Maickel (2009), las sustancias o drogas que logran la expansión y alter</w:t>
      </w:r>
      <w:r>
        <w:rPr>
          <w:rFonts w:ascii="Times New Roman" w:hAnsi="Times New Roman" w:cs="Times New Roman"/>
          <w:sz w:val="24"/>
          <w:szCs w:val="24"/>
          <w:lang w:val="es-CR"/>
        </w:rPr>
        <w:t>ación de la conciencia, que llegan</w:t>
      </w:r>
      <w:r w:rsidRPr="00094810">
        <w:rPr>
          <w:rFonts w:ascii="Times New Roman" w:hAnsi="Times New Roman" w:cs="Times New Roman"/>
          <w:sz w:val="24"/>
          <w:szCs w:val="24"/>
          <w:lang w:val="es-CR"/>
        </w:rPr>
        <w:t xml:space="preserve"> incluso a producir estados alterados de conciencia se clasifican en tres distintas categorías:</w:t>
      </w:r>
    </w:p>
    <w:p w14:paraId="0AED29E1" w14:textId="77777777" w:rsidR="001A3E86" w:rsidRPr="00094810" w:rsidRDefault="001A3E86" w:rsidP="001A3E86">
      <w:pPr>
        <w:autoSpaceDE w:val="0"/>
        <w:autoSpaceDN w:val="0"/>
        <w:adjustRightInd w:val="0"/>
        <w:spacing w:before="120" w:after="100" w:afterAutospacing="1" w:line="360" w:lineRule="auto"/>
        <w:jc w:val="both"/>
        <w:rPr>
          <w:rFonts w:ascii="Times New Roman" w:hAnsi="Times New Roman" w:cs="Times New Roman"/>
          <w:sz w:val="24"/>
          <w:szCs w:val="24"/>
          <w:lang w:val="es-CR"/>
        </w:rPr>
      </w:pPr>
      <w:r w:rsidRPr="00094810">
        <w:rPr>
          <w:rFonts w:ascii="Times New Roman" w:hAnsi="Times New Roman" w:cs="Times New Roman"/>
          <w:sz w:val="24"/>
          <w:szCs w:val="24"/>
          <w:lang w:val="es-CR"/>
        </w:rPr>
        <w:t xml:space="preserve">1. Enteógenos: </w:t>
      </w:r>
    </w:p>
    <w:p w14:paraId="476C60EC" w14:textId="77777777" w:rsidR="001A3E86" w:rsidRPr="00094810" w:rsidRDefault="001A3E86" w:rsidP="001A3E86">
      <w:pPr>
        <w:pStyle w:val="NoSpacing"/>
        <w:spacing w:line="360" w:lineRule="auto"/>
        <w:ind w:firstLine="720"/>
        <w:jc w:val="both"/>
        <w:rPr>
          <w:rFonts w:ascii="Times New Roman" w:hAnsi="Times New Roman" w:cs="Times New Roman"/>
          <w:sz w:val="24"/>
          <w:szCs w:val="24"/>
          <w:lang w:val="es-CR"/>
        </w:rPr>
      </w:pPr>
      <w:r w:rsidRPr="00094810">
        <w:rPr>
          <w:rFonts w:ascii="Times New Roman" w:hAnsi="Times New Roman" w:cs="Times New Roman"/>
          <w:sz w:val="24"/>
          <w:szCs w:val="24"/>
          <w:lang w:val="es-CR"/>
        </w:rPr>
        <w:t xml:space="preserve">Es un alucinógeno </w:t>
      </w:r>
      <w:r>
        <w:rPr>
          <w:rFonts w:ascii="Times New Roman" w:hAnsi="Times New Roman" w:cs="Times New Roman"/>
          <w:sz w:val="24"/>
          <w:szCs w:val="24"/>
          <w:lang w:val="es-CR"/>
        </w:rPr>
        <w:t>que produce experiencias elevadas de la conciencia, entre ellas</w:t>
      </w:r>
      <w:r w:rsidRPr="00094810">
        <w:rPr>
          <w:rFonts w:ascii="Times New Roman" w:hAnsi="Times New Roman" w:cs="Times New Roman"/>
          <w:sz w:val="24"/>
          <w:szCs w:val="24"/>
          <w:lang w:val="es-CR"/>
        </w:rPr>
        <w:t xml:space="preserve"> visiones, audiciones en color, así como sensaciones de armonía y bienestar; el término significa en griego antiguo “el realizar de lo divino en el adentro de cada persona</w:t>
      </w:r>
      <w:r>
        <w:rPr>
          <w:rFonts w:ascii="Times New Roman" w:hAnsi="Times New Roman" w:cs="Times New Roman"/>
          <w:sz w:val="24"/>
          <w:szCs w:val="24"/>
          <w:lang w:val="es-CR"/>
        </w:rPr>
        <w:t>”</w:t>
      </w:r>
      <w:r w:rsidRPr="00094810">
        <w:rPr>
          <w:rFonts w:ascii="Times New Roman" w:hAnsi="Times New Roman" w:cs="Times New Roman"/>
          <w:sz w:val="24"/>
          <w:szCs w:val="24"/>
          <w:lang w:val="es-CR"/>
        </w:rPr>
        <w:t xml:space="preserve">, y una de sus características es que son principalmente derivados de las estructuras indólicas en estructura química, en vez de ser solamente fenílicas; es el concepto más utilizado para los análisis de este tipo. </w:t>
      </w:r>
    </w:p>
    <w:p w14:paraId="23CF22D1" w14:textId="77777777" w:rsidR="001A3E86" w:rsidRDefault="001A3E86" w:rsidP="001A3E86">
      <w:pPr>
        <w:pStyle w:val="NoSpacing"/>
        <w:spacing w:line="360" w:lineRule="auto"/>
        <w:ind w:firstLine="720"/>
        <w:jc w:val="both"/>
        <w:rPr>
          <w:rFonts w:ascii="Times New Roman" w:hAnsi="Times New Roman" w:cs="Times New Roman"/>
          <w:sz w:val="24"/>
          <w:szCs w:val="24"/>
          <w:lang w:val="es-CR"/>
        </w:rPr>
      </w:pPr>
      <w:r w:rsidRPr="00094810">
        <w:rPr>
          <w:rFonts w:ascii="Times New Roman" w:hAnsi="Times New Roman" w:cs="Times New Roman"/>
          <w:sz w:val="24"/>
          <w:szCs w:val="24"/>
          <w:lang w:val="es-CR"/>
        </w:rPr>
        <w:t>Al respecto cabe indicar que la palabra enteógeno (pl. enteógenos), literalmente “dios adentro” por los vocablos griegos que la componen, no está en el Diccionario de la Real Academia Española, pues es un neologismo acuñado por Carl A.P. Ruck, Jeremy Bigwood, Danny Staples, Jonathan Ott &amp; R. Gordon Wasson</w:t>
      </w:r>
      <w:r>
        <w:rPr>
          <w:rFonts w:ascii="Times New Roman" w:hAnsi="Times New Roman" w:cs="Times New Roman"/>
          <w:sz w:val="24"/>
          <w:szCs w:val="24"/>
          <w:lang w:val="es-CR"/>
        </w:rPr>
        <w:t>,</w:t>
      </w:r>
      <w:r w:rsidRPr="00094810">
        <w:rPr>
          <w:rFonts w:ascii="Times New Roman" w:hAnsi="Times New Roman" w:cs="Times New Roman"/>
          <w:sz w:val="24"/>
          <w:szCs w:val="24"/>
          <w:lang w:val="es-CR"/>
        </w:rPr>
        <w:t xml:space="preserve"> en español aparece en el libro </w:t>
      </w:r>
      <w:r w:rsidRPr="00094810">
        <w:rPr>
          <w:rFonts w:ascii="Times New Roman" w:hAnsi="Times New Roman" w:cs="Times New Roman"/>
          <w:i/>
          <w:sz w:val="24"/>
          <w:szCs w:val="24"/>
          <w:lang w:val="es-CR"/>
        </w:rPr>
        <w:t>El Camino a Eleusis: una solución al enigma de los misterios</w:t>
      </w:r>
      <w:r>
        <w:rPr>
          <w:rFonts w:ascii="Times New Roman" w:hAnsi="Times New Roman" w:cs="Times New Roman"/>
          <w:i/>
          <w:sz w:val="24"/>
          <w:szCs w:val="24"/>
          <w:lang w:val="es-CR"/>
        </w:rPr>
        <w:t xml:space="preserve"> </w:t>
      </w:r>
      <w:r w:rsidRPr="00A0296F">
        <w:rPr>
          <w:rFonts w:ascii="Times New Roman" w:hAnsi="Times New Roman" w:cs="Times New Roman"/>
          <w:sz w:val="24"/>
          <w:szCs w:val="24"/>
          <w:lang w:val="es-CR"/>
        </w:rPr>
        <w:t>(2013</w:t>
      </w:r>
      <w:r>
        <w:rPr>
          <w:rFonts w:ascii="Times New Roman" w:hAnsi="Times New Roman" w:cs="Times New Roman"/>
          <w:sz w:val="24"/>
          <w:szCs w:val="24"/>
          <w:lang w:val="es-CR"/>
        </w:rPr>
        <w:t>, p. 235</w:t>
      </w:r>
      <w:r w:rsidRPr="00A0296F">
        <w:rPr>
          <w:rFonts w:ascii="Times New Roman" w:hAnsi="Times New Roman" w:cs="Times New Roman"/>
          <w:sz w:val="24"/>
          <w:szCs w:val="24"/>
          <w:lang w:val="es-CR"/>
        </w:rPr>
        <w:t>)</w:t>
      </w:r>
      <w:r>
        <w:rPr>
          <w:rFonts w:ascii="Times New Roman" w:hAnsi="Times New Roman" w:cs="Times New Roman"/>
          <w:sz w:val="24"/>
          <w:szCs w:val="24"/>
          <w:lang w:val="es-CR"/>
        </w:rPr>
        <w:t xml:space="preserve">, de Wasson, </w:t>
      </w:r>
      <w:r w:rsidRPr="00094810">
        <w:rPr>
          <w:rFonts w:ascii="Times New Roman" w:hAnsi="Times New Roman" w:cs="Times New Roman"/>
          <w:sz w:val="24"/>
          <w:szCs w:val="24"/>
          <w:lang w:val="es-CR"/>
        </w:rPr>
        <w:t>Hofmann y</w:t>
      </w:r>
      <w:r>
        <w:rPr>
          <w:rFonts w:ascii="Times New Roman" w:hAnsi="Times New Roman" w:cs="Times New Roman"/>
          <w:sz w:val="24"/>
          <w:szCs w:val="24"/>
          <w:lang w:val="es-CR"/>
        </w:rPr>
        <w:t xml:space="preserve"> </w:t>
      </w:r>
      <w:r w:rsidRPr="00094810">
        <w:rPr>
          <w:rFonts w:ascii="Times New Roman" w:hAnsi="Times New Roman" w:cs="Times New Roman"/>
          <w:sz w:val="24"/>
          <w:szCs w:val="24"/>
          <w:lang w:val="es-CR"/>
        </w:rPr>
        <w:t>Ruc</w:t>
      </w:r>
      <w:r>
        <w:rPr>
          <w:rFonts w:ascii="Times New Roman" w:hAnsi="Times New Roman" w:cs="Times New Roman"/>
          <w:sz w:val="24"/>
          <w:szCs w:val="24"/>
          <w:lang w:val="es-CR"/>
        </w:rPr>
        <w:t>k</w:t>
      </w:r>
      <w:r w:rsidRPr="00094810">
        <w:rPr>
          <w:rFonts w:ascii="Times New Roman" w:hAnsi="Times New Roman" w:cs="Times New Roman"/>
          <w:sz w:val="24"/>
          <w:szCs w:val="24"/>
          <w:lang w:val="es-CR"/>
        </w:rPr>
        <w:t>. Presenta un uso generaliz</w:t>
      </w:r>
      <w:r>
        <w:rPr>
          <w:rFonts w:ascii="Times New Roman" w:hAnsi="Times New Roman" w:cs="Times New Roman"/>
          <w:sz w:val="24"/>
          <w:szCs w:val="24"/>
          <w:lang w:val="es-CR"/>
        </w:rPr>
        <w:t>ado en otras disciplinas,</w:t>
      </w:r>
      <w:r w:rsidRPr="00094810">
        <w:rPr>
          <w:rFonts w:ascii="Times New Roman" w:hAnsi="Times New Roman" w:cs="Times New Roman"/>
          <w:sz w:val="24"/>
          <w:szCs w:val="24"/>
          <w:lang w:val="es-CR"/>
        </w:rPr>
        <w:t xml:space="preserve"> principalmente en la etnofarmacología. Los citados autores la utilizaron por primera vez en "</w:t>
      </w:r>
      <w:r w:rsidRPr="00094810">
        <w:rPr>
          <w:rFonts w:ascii="Times New Roman" w:hAnsi="Times New Roman" w:cs="Times New Roman"/>
          <w:i/>
          <w:sz w:val="24"/>
          <w:szCs w:val="24"/>
          <w:lang w:val="es-CR"/>
        </w:rPr>
        <w:t>Entheogens," Journal of Psychedelic Drugs</w:t>
      </w:r>
      <w:r w:rsidRPr="00094810">
        <w:rPr>
          <w:rFonts w:ascii="Times New Roman" w:hAnsi="Times New Roman" w:cs="Times New Roman"/>
          <w:sz w:val="24"/>
          <w:szCs w:val="24"/>
          <w:lang w:val="es-CR"/>
        </w:rPr>
        <w:t>, Vol 11(1-2) Jan-Jun 1979, p. 145-</w:t>
      </w:r>
      <w:r w:rsidR="001C19DD">
        <w:rPr>
          <w:rFonts w:ascii="Times New Roman" w:hAnsi="Times New Roman" w:cs="Times New Roman"/>
          <w:sz w:val="24"/>
          <w:szCs w:val="24"/>
          <w:lang w:val="es-CR"/>
        </w:rPr>
        <w:t>14</w:t>
      </w:r>
      <w:r w:rsidRPr="00094810">
        <w:rPr>
          <w:rFonts w:ascii="Times New Roman" w:hAnsi="Times New Roman" w:cs="Times New Roman"/>
          <w:sz w:val="24"/>
          <w:szCs w:val="24"/>
          <w:lang w:val="es-CR"/>
        </w:rPr>
        <w:t>6.</w:t>
      </w:r>
    </w:p>
    <w:p w14:paraId="5C7760AD" w14:textId="77777777" w:rsidR="001A3E86" w:rsidRPr="00094810" w:rsidRDefault="001A3E86" w:rsidP="001A3E86">
      <w:pPr>
        <w:pStyle w:val="NoSpacing"/>
        <w:ind w:firstLine="720"/>
        <w:jc w:val="both"/>
        <w:rPr>
          <w:rFonts w:ascii="Times New Roman" w:hAnsi="Times New Roman" w:cs="Times New Roman"/>
          <w:sz w:val="24"/>
          <w:szCs w:val="24"/>
          <w:lang w:val="es-CR"/>
        </w:rPr>
      </w:pPr>
    </w:p>
    <w:p w14:paraId="6AC4A1E4" w14:textId="77777777" w:rsidR="001A3E86" w:rsidRPr="00902C98" w:rsidRDefault="001A3E86" w:rsidP="001A3E86">
      <w:pPr>
        <w:autoSpaceDE w:val="0"/>
        <w:autoSpaceDN w:val="0"/>
        <w:adjustRightInd w:val="0"/>
        <w:spacing w:before="120" w:after="100" w:afterAutospacing="1" w:line="360" w:lineRule="auto"/>
        <w:rPr>
          <w:rFonts w:ascii="Times New Roman" w:hAnsi="Times New Roman" w:cs="Times New Roman"/>
          <w:sz w:val="24"/>
          <w:szCs w:val="24"/>
          <w:lang w:val="es-CR"/>
        </w:rPr>
      </w:pPr>
      <w:r w:rsidRPr="00902C98">
        <w:rPr>
          <w:rFonts w:ascii="Times New Roman" w:hAnsi="Times New Roman" w:cs="Times New Roman"/>
          <w:sz w:val="24"/>
          <w:szCs w:val="24"/>
          <w:lang w:val="es-CR"/>
        </w:rPr>
        <w:t>2. Empatógenos:</w:t>
      </w:r>
    </w:p>
    <w:p w14:paraId="148387E4" w14:textId="77777777" w:rsidR="001A3E86" w:rsidRPr="00094810" w:rsidRDefault="001A3E86" w:rsidP="001A3E86">
      <w:pPr>
        <w:autoSpaceDE w:val="0"/>
        <w:autoSpaceDN w:val="0"/>
        <w:adjustRightInd w:val="0"/>
        <w:spacing w:before="120" w:after="100" w:afterAutospacing="1" w:line="360" w:lineRule="auto"/>
        <w:ind w:firstLine="720"/>
        <w:jc w:val="both"/>
        <w:rPr>
          <w:rFonts w:ascii="Times New Roman" w:hAnsi="Times New Roman" w:cs="Times New Roman"/>
          <w:sz w:val="24"/>
          <w:szCs w:val="24"/>
          <w:lang w:val="es-CR"/>
        </w:rPr>
      </w:pPr>
      <w:r w:rsidRPr="00094810">
        <w:rPr>
          <w:rFonts w:ascii="Times New Roman" w:hAnsi="Times New Roman" w:cs="Times New Roman"/>
          <w:sz w:val="24"/>
          <w:szCs w:val="24"/>
          <w:lang w:val="es-CR"/>
        </w:rPr>
        <w:lastRenderedPageBreak/>
        <w:t>Este concepto subraya el e</w:t>
      </w:r>
      <w:r>
        <w:rPr>
          <w:rFonts w:ascii="Times New Roman" w:hAnsi="Times New Roman" w:cs="Times New Roman"/>
          <w:sz w:val="24"/>
          <w:szCs w:val="24"/>
          <w:lang w:val="es-CR"/>
        </w:rPr>
        <w:t>fecto de varios tipos de drogas</w:t>
      </w:r>
      <w:r w:rsidRPr="00094810">
        <w:rPr>
          <w:rFonts w:ascii="Times New Roman" w:hAnsi="Times New Roman" w:cs="Times New Roman"/>
          <w:sz w:val="24"/>
          <w:szCs w:val="24"/>
          <w:lang w:val="es-CR"/>
        </w:rPr>
        <w:t xml:space="preserve"> que producen un sentimiento profundo de unidad con universo, mundo, n</w:t>
      </w:r>
      <w:r>
        <w:rPr>
          <w:rFonts w:ascii="Times New Roman" w:hAnsi="Times New Roman" w:cs="Times New Roman"/>
          <w:sz w:val="24"/>
          <w:szCs w:val="24"/>
          <w:lang w:val="es-CR"/>
        </w:rPr>
        <w:t>aturaleza y creación; provocan</w:t>
      </w:r>
      <w:r w:rsidRPr="00094810">
        <w:rPr>
          <w:rFonts w:ascii="Times New Roman" w:hAnsi="Times New Roman" w:cs="Times New Roman"/>
          <w:sz w:val="24"/>
          <w:szCs w:val="24"/>
          <w:lang w:val="es-CR"/>
        </w:rPr>
        <w:t xml:space="preserve"> estados de armonía caracterizados por un profundo respeto y sentimiento de unidad por la vida; ahora bien, no existe mucha investigación en este tema y no se ha podido ligar esta propuesta a una estructura química en el sujeto. </w:t>
      </w:r>
    </w:p>
    <w:p w14:paraId="1500E410" w14:textId="77777777" w:rsidR="001A3E86" w:rsidRPr="00094810" w:rsidRDefault="001A3E86" w:rsidP="001A3E86">
      <w:pPr>
        <w:autoSpaceDE w:val="0"/>
        <w:autoSpaceDN w:val="0"/>
        <w:adjustRightInd w:val="0"/>
        <w:spacing w:before="120" w:after="100" w:afterAutospacing="1" w:line="360" w:lineRule="auto"/>
        <w:jc w:val="both"/>
        <w:rPr>
          <w:rFonts w:ascii="Times New Roman" w:hAnsi="Times New Roman" w:cs="Times New Roman"/>
          <w:i/>
          <w:sz w:val="24"/>
          <w:szCs w:val="24"/>
          <w:lang w:val="es-CR"/>
        </w:rPr>
      </w:pPr>
      <w:r w:rsidRPr="001B7D44">
        <w:rPr>
          <w:rFonts w:ascii="Times New Roman" w:hAnsi="Times New Roman" w:cs="Times New Roman"/>
          <w:sz w:val="24"/>
          <w:szCs w:val="24"/>
          <w:lang w:val="es-CR"/>
        </w:rPr>
        <w:t>3.</w:t>
      </w:r>
      <w:r w:rsidRPr="00094810">
        <w:rPr>
          <w:rFonts w:ascii="Times New Roman" w:hAnsi="Times New Roman" w:cs="Times New Roman"/>
          <w:i/>
          <w:sz w:val="24"/>
          <w:szCs w:val="24"/>
          <w:lang w:val="es-CR"/>
        </w:rPr>
        <w:t xml:space="preserve"> </w:t>
      </w:r>
      <w:r w:rsidRPr="00094810">
        <w:rPr>
          <w:rFonts w:ascii="Times New Roman" w:hAnsi="Times New Roman" w:cs="Times New Roman"/>
          <w:sz w:val="24"/>
          <w:szCs w:val="24"/>
          <w:lang w:val="es-CR"/>
        </w:rPr>
        <w:t>Entactógenos</w:t>
      </w:r>
      <w:r w:rsidRPr="00094810">
        <w:rPr>
          <w:rFonts w:ascii="Times New Roman" w:hAnsi="Times New Roman" w:cs="Times New Roman"/>
          <w:i/>
          <w:sz w:val="24"/>
          <w:szCs w:val="24"/>
          <w:lang w:val="es-CR"/>
        </w:rPr>
        <w:t>:</w:t>
      </w:r>
    </w:p>
    <w:p w14:paraId="5E39F00F" w14:textId="77777777" w:rsidR="001A3E86" w:rsidRPr="00094810" w:rsidRDefault="001A3E86" w:rsidP="001A3E86">
      <w:pPr>
        <w:pStyle w:val="NoSpacing"/>
        <w:spacing w:line="360" w:lineRule="auto"/>
        <w:ind w:firstLine="720"/>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El término refiere a </w:t>
      </w:r>
      <w:r w:rsidRPr="00094810">
        <w:rPr>
          <w:rFonts w:ascii="Times New Roman" w:hAnsi="Times New Roman" w:cs="Times New Roman"/>
          <w:sz w:val="24"/>
          <w:szCs w:val="24"/>
          <w:lang w:val="es-CR"/>
        </w:rPr>
        <w:t>droga</w:t>
      </w:r>
      <w:r>
        <w:rPr>
          <w:rFonts w:ascii="Times New Roman" w:hAnsi="Times New Roman" w:cs="Times New Roman"/>
          <w:sz w:val="24"/>
          <w:szCs w:val="24"/>
          <w:lang w:val="es-CR"/>
        </w:rPr>
        <w:t>s</w:t>
      </w:r>
      <w:r w:rsidRPr="00094810">
        <w:rPr>
          <w:rFonts w:ascii="Times New Roman" w:hAnsi="Times New Roman" w:cs="Times New Roman"/>
          <w:sz w:val="24"/>
          <w:szCs w:val="24"/>
          <w:lang w:val="es-CR"/>
        </w:rPr>
        <w:t xml:space="preserve"> que reproduce</w:t>
      </w:r>
      <w:r>
        <w:rPr>
          <w:rFonts w:ascii="Times New Roman" w:hAnsi="Times New Roman" w:cs="Times New Roman"/>
          <w:sz w:val="24"/>
          <w:szCs w:val="24"/>
          <w:lang w:val="es-CR"/>
        </w:rPr>
        <w:t>n</w:t>
      </w:r>
      <w:r w:rsidRPr="00094810">
        <w:rPr>
          <w:rFonts w:ascii="Times New Roman" w:hAnsi="Times New Roman" w:cs="Times New Roman"/>
          <w:sz w:val="24"/>
          <w:szCs w:val="24"/>
          <w:lang w:val="es-CR"/>
        </w:rPr>
        <w:t xml:space="preserve"> estados de la conciencia en los que la persona parece tocarse a s</w:t>
      </w:r>
      <w:r>
        <w:rPr>
          <w:rFonts w:ascii="Times New Roman" w:hAnsi="Times New Roman" w:cs="Times New Roman"/>
          <w:sz w:val="24"/>
          <w:szCs w:val="24"/>
          <w:lang w:val="es-CR"/>
        </w:rPr>
        <w:t>í misma por dentro, este tipo de droga se</w:t>
      </w:r>
      <w:r w:rsidRPr="00094810">
        <w:rPr>
          <w:rFonts w:ascii="Times New Roman" w:hAnsi="Times New Roman" w:cs="Times New Roman"/>
          <w:sz w:val="24"/>
          <w:szCs w:val="24"/>
          <w:lang w:val="es-CR"/>
        </w:rPr>
        <w:t xml:space="preserve"> considera anfetamina alucinatoria, y ha sido discutido ampliamente, es importante señalar que los entactógenos son drogas </w:t>
      </w:r>
      <w:r>
        <w:rPr>
          <w:rFonts w:ascii="Times New Roman" w:hAnsi="Times New Roman" w:cs="Times New Roman"/>
          <w:sz w:val="24"/>
          <w:szCs w:val="24"/>
          <w:lang w:val="es-CR"/>
        </w:rPr>
        <w:t xml:space="preserve">que fueron </w:t>
      </w:r>
      <w:r w:rsidRPr="00094810">
        <w:rPr>
          <w:rFonts w:ascii="Times New Roman" w:hAnsi="Times New Roman" w:cs="Times New Roman"/>
          <w:sz w:val="24"/>
          <w:szCs w:val="24"/>
          <w:lang w:val="es-CR"/>
        </w:rPr>
        <w:t>desarrolladas en laborales legales en la década de los setenta</w:t>
      </w:r>
      <w:r>
        <w:rPr>
          <w:rFonts w:ascii="Times New Roman" w:hAnsi="Times New Roman" w:cs="Times New Roman"/>
          <w:sz w:val="24"/>
          <w:szCs w:val="24"/>
          <w:lang w:val="es-CR"/>
        </w:rPr>
        <w:t xml:space="preserve"> y</w:t>
      </w:r>
      <w:r w:rsidRPr="00094810">
        <w:rPr>
          <w:rFonts w:ascii="Times New Roman" w:hAnsi="Times New Roman" w:cs="Times New Roman"/>
          <w:sz w:val="24"/>
          <w:szCs w:val="24"/>
          <w:lang w:val="es-CR"/>
        </w:rPr>
        <w:t xml:space="preserve"> que eran consumidos por los llamados “hippies” de la época. </w:t>
      </w:r>
    </w:p>
    <w:p w14:paraId="6FBB5CC4" w14:textId="77777777" w:rsidR="001A3E86" w:rsidRPr="00094810" w:rsidRDefault="001A3E86" w:rsidP="001A3E86">
      <w:pPr>
        <w:pStyle w:val="NoSpacing"/>
        <w:spacing w:line="360" w:lineRule="auto"/>
        <w:ind w:firstLine="720"/>
        <w:jc w:val="both"/>
        <w:rPr>
          <w:rFonts w:ascii="Times New Roman" w:hAnsi="Times New Roman" w:cs="Times New Roman"/>
          <w:sz w:val="24"/>
          <w:szCs w:val="24"/>
          <w:lang w:val="es-CR"/>
        </w:rPr>
      </w:pPr>
      <w:r w:rsidRPr="00094810">
        <w:rPr>
          <w:rFonts w:ascii="Times New Roman" w:hAnsi="Times New Roman" w:cs="Times New Roman"/>
          <w:sz w:val="24"/>
          <w:szCs w:val="24"/>
          <w:lang w:val="es-CR"/>
        </w:rPr>
        <w:t>Jaynes (1976, citado en Quirce</w:t>
      </w:r>
      <w:r>
        <w:rPr>
          <w:rFonts w:ascii="Times New Roman" w:hAnsi="Times New Roman" w:cs="Times New Roman"/>
          <w:sz w:val="24"/>
          <w:szCs w:val="24"/>
          <w:lang w:val="es-CR"/>
        </w:rPr>
        <w:t>-Balma</w:t>
      </w:r>
      <w:r w:rsidRPr="00094810">
        <w:rPr>
          <w:rFonts w:ascii="Times New Roman" w:hAnsi="Times New Roman" w:cs="Times New Roman"/>
          <w:sz w:val="24"/>
          <w:szCs w:val="24"/>
          <w:lang w:val="es-CR"/>
        </w:rPr>
        <w:t>, 2010) propone que la conciencia dentro de un paradigma</w:t>
      </w:r>
      <w:r>
        <w:rPr>
          <w:rFonts w:ascii="Times New Roman" w:hAnsi="Times New Roman" w:cs="Times New Roman"/>
          <w:sz w:val="24"/>
          <w:szCs w:val="24"/>
          <w:lang w:val="es-CR"/>
        </w:rPr>
        <w:t xml:space="preserve"> cerebral de actividad neurológic</w:t>
      </w:r>
      <w:r w:rsidRPr="00094810">
        <w:rPr>
          <w:rFonts w:ascii="Times New Roman" w:hAnsi="Times New Roman" w:cs="Times New Roman"/>
          <w:sz w:val="24"/>
          <w:szCs w:val="24"/>
          <w:lang w:val="es-CR"/>
        </w:rPr>
        <w:t>a del hemisferio derecho</w:t>
      </w:r>
      <w:r>
        <w:rPr>
          <w:rFonts w:ascii="Times New Roman" w:hAnsi="Times New Roman" w:cs="Times New Roman"/>
          <w:sz w:val="24"/>
          <w:szCs w:val="24"/>
          <w:lang w:val="es-CR"/>
        </w:rPr>
        <w:t>,</w:t>
      </w:r>
      <w:r w:rsidRPr="00094810">
        <w:rPr>
          <w:rFonts w:ascii="Times New Roman" w:hAnsi="Times New Roman" w:cs="Times New Roman"/>
          <w:sz w:val="24"/>
          <w:szCs w:val="24"/>
          <w:lang w:val="es-CR"/>
        </w:rPr>
        <w:t xml:space="preserve"> en dominancia sobre la actividad del izquierdo</w:t>
      </w:r>
      <w:r w:rsidRPr="00FD76E7">
        <w:rPr>
          <w:rFonts w:ascii="Times New Roman" w:hAnsi="Times New Roman" w:cs="Times New Roman"/>
          <w:sz w:val="24"/>
          <w:szCs w:val="24"/>
          <w:lang w:val="es-CR"/>
        </w:rPr>
        <w:t>, tal como sucede en efectos típicos de ciertos enteógenos alucinatorios, posee cinco características.</w:t>
      </w:r>
      <w:r w:rsidRPr="00094810">
        <w:rPr>
          <w:rFonts w:ascii="Times New Roman" w:hAnsi="Times New Roman" w:cs="Times New Roman"/>
          <w:sz w:val="24"/>
          <w:szCs w:val="24"/>
          <w:lang w:val="es-CR"/>
        </w:rPr>
        <w:t xml:space="preserve"> </w:t>
      </w:r>
    </w:p>
    <w:p w14:paraId="01E2CBEF" w14:textId="77777777" w:rsidR="001A3E86" w:rsidRPr="00094810" w:rsidRDefault="001A3E86" w:rsidP="001A3E86">
      <w:pPr>
        <w:pStyle w:val="ListParagraph"/>
        <w:numPr>
          <w:ilvl w:val="0"/>
          <w:numId w:val="2"/>
        </w:numPr>
        <w:autoSpaceDE w:val="0"/>
        <w:autoSpaceDN w:val="0"/>
        <w:adjustRightInd w:val="0"/>
        <w:spacing w:before="120" w:after="100" w:afterAutospacing="1" w:line="360" w:lineRule="auto"/>
        <w:jc w:val="both"/>
        <w:rPr>
          <w:rFonts w:ascii="Times New Roman" w:hAnsi="Times New Roman" w:cs="Times New Roman"/>
          <w:sz w:val="24"/>
          <w:szCs w:val="24"/>
          <w:lang w:val="es-CR"/>
        </w:rPr>
      </w:pPr>
      <w:r w:rsidRPr="00094810">
        <w:rPr>
          <w:rFonts w:ascii="Times New Roman" w:hAnsi="Times New Roman" w:cs="Times New Roman"/>
          <w:i/>
          <w:sz w:val="24"/>
          <w:szCs w:val="24"/>
          <w:lang w:val="es-CR"/>
        </w:rPr>
        <w:t>Espacialización:</w:t>
      </w:r>
      <w:r w:rsidRPr="00094810">
        <w:rPr>
          <w:rFonts w:ascii="Times New Roman" w:hAnsi="Times New Roman" w:cs="Times New Roman"/>
          <w:sz w:val="24"/>
          <w:szCs w:val="24"/>
          <w:lang w:val="es-CR"/>
        </w:rPr>
        <w:t xml:space="preserve"> donde las dimensiones del espacio y del tiempo se estiran. </w:t>
      </w:r>
    </w:p>
    <w:p w14:paraId="74B645B2" w14:textId="77777777" w:rsidR="001A3E86" w:rsidRPr="00094810" w:rsidRDefault="001A3E86" w:rsidP="001A3E86">
      <w:pPr>
        <w:pStyle w:val="ListParagraph"/>
        <w:numPr>
          <w:ilvl w:val="0"/>
          <w:numId w:val="2"/>
        </w:numPr>
        <w:autoSpaceDE w:val="0"/>
        <w:autoSpaceDN w:val="0"/>
        <w:adjustRightInd w:val="0"/>
        <w:spacing w:before="120" w:after="100" w:afterAutospacing="1" w:line="360" w:lineRule="auto"/>
        <w:jc w:val="both"/>
        <w:rPr>
          <w:rFonts w:ascii="Times New Roman" w:hAnsi="Times New Roman" w:cs="Times New Roman"/>
          <w:sz w:val="24"/>
          <w:szCs w:val="24"/>
          <w:lang w:val="es-CR"/>
        </w:rPr>
      </w:pPr>
      <w:r w:rsidRPr="00094810">
        <w:rPr>
          <w:rFonts w:ascii="Times New Roman" w:hAnsi="Times New Roman" w:cs="Times New Roman"/>
          <w:i/>
          <w:sz w:val="24"/>
          <w:szCs w:val="24"/>
          <w:lang w:val="es-CR"/>
        </w:rPr>
        <w:t>Indicación selectiva:</w:t>
      </w:r>
      <w:r w:rsidRPr="00094810">
        <w:rPr>
          <w:rFonts w:ascii="Times New Roman" w:hAnsi="Times New Roman" w:cs="Times New Roman"/>
          <w:sz w:val="24"/>
          <w:szCs w:val="24"/>
          <w:lang w:val="es-CR"/>
        </w:rPr>
        <w:t xml:space="preserve"> en la cual se escogen solamente ciertos elementos del territorio del mapa de la mente. </w:t>
      </w:r>
    </w:p>
    <w:p w14:paraId="0F9CAE83" w14:textId="77777777" w:rsidR="001A3E86" w:rsidRPr="00094810" w:rsidRDefault="001A3E86" w:rsidP="001A3E86">
      <w:pPr>
        <w:pStyle w:val="ListParagraph"/>
        <w:numPr>
          <w:ilvl w:val="0"/>
          <w:numId w:val="2"/>
        </w:numPr>
        <w:autoSpaceDE w:val="0"/>
        <w:autoSpaceDN w:val="0"/>
        <w:adjustRightInd w:val="0"/>
        <w:spacing w:before="120" w:after="100" w:afterAutospacing="1" w:line="360" w:lineRule="auto"/>
        <w:jc w:val="both"/>
        <w:rPr>
          <w:rFonts w:ascii="Times New Roman" w:hAnsi="Times New Roman" w:cs="Times New Roman"/>
          <w:sz w:val="24"/>
          <w:szCs w:val="24"/>
          <w:lang w:val="es-CR"/>
        </w:rPr>
      </w:pPr>
      <w:r w:rsidRPr="00094810">
        <w:rPr>
          <w:rFonts w:ascii="Times New Roman" w:hAnsi="Times New Roman" w:cs="Times New Roman"/>
          <w:i/>
          <w:sz w:val="24"/>
          <w:szCs w:val="24"/>
          <w:lang w:val="es-CR"/>
        </w:rPr>
        <w:t>La creación de un yo y un mí de tipo analógico:</w:t>
      </w:r>
      <w:r w:rsidRPr="00094810">
        <w:rPr>
          <w:rFonts w:ascii="Times New Roman" w:hAnsi="Times New Roman" w:cs="Times New Roman"/>
          <w:sz w:val="24"/>
          <w:szCs w:val="24"/>
          <w:lang w:val="es-CR"/>
        </w:rPr>
        <w:t xml:space="preserve"> es una proyección personificada de nosotros mismos, más moviéndose a través del espacio y del tiempo que anticipa el hacer nuestro y el ser hecho. </w:t>
      </w:r>
    </w:p>
    <w:p w14:paraId="08DF90EA" w14:textId="77777777" w:rsidR="001A3E86" w:rsidRPr="00094810" w:rsidRDefault="001A3E86" w:rsidP="001A3E86">
      <w:pPr>
        <w:pStyle w:val="ListParagraph"/>
        <w:numPr>
          <w:ilvl w:val="0"/>
          <w:numId w:val="2"/>
        </w:numPr>
        <w:autoSpaceDE w:val="0"/>
        <w:autoSpaceDN w:val="0"/>
        <w:adjustRightInd w:val="0"/>
        <w:spacing w:before="120" w:after="100" w:afterAutospacing="1" w:line="360" w:lineRule="auto"/>
        <w:jc w:val="both"/>
        <w:rPr>
          <w:rFonts w:ascii="Times New Roman" w:hAnsi="Times New Roman" w:cs="Times New Roman"/>
          <w:sz w:val="24"/>
          <w:szCs w:val="24"/>
          <w:lang w:val="es-CR"/>
        </w:rPr>
      </w:pPr>
      <w:r w:rsidRPr="00094810">
        <w:rPr>
          <w:rFonts w:ascii="Times New Roman" w:hAnsi="Times New Roman" w:cs="Times New Roman"/>
          <w:i/>
          <w:sz w:val="24"/>
          <w:szCs w:val="24"/>
          <w:lang w:val="es-CR"/>
        </w:rPr>
        <w:t>Narratización:</w:t>
      </w:r>
      <w:r w:rsidRPr="00094810">
        <w:rPr>
          <w:rFonts w:ascii="Times New Roman" w:hAnsi="Times New Roman" w:cs="Times New Roman"/>
          <w:sz w:val="24"/>
          <w:szCs w:val="24"/>
          <w:lang w:val="es-CR"/>
        </w:rPr>
        <w:t xml:space="preserve"> donde los eventos son seleccionados por su congruencia y desarrollo secuencial. </w:t>
      </w:r>
    </w:p>
    <w:p w14:paraId="03C712C4" w14:textId="77777777" w:rsidR="001A3E86" w:rsidRPr="00094810" w:rsidRDefault="001A3E86" w:rsidP="001A3E86">
      <w:pPr>
        <w:pStyle w:val="ListParagraph"/>
        <w:numPr>
          <w:ilvl w:val="0"/>
          <w:numId w:val="2"/>
        </w:numPr>
        <w:autoSpaceDE w:val="0"/>
        <w:autoSpaceDN w:val="0"/>
        <w:adjustRightInd w:val="0"/>
        <w:spacing w:before="120" w:after="100" w:afterAutospacing="1" w:line="360" w:lineRule="auto"/>
        <w:jc w:val="both"/>
        <w:rPr>
          <w:rFonts w:ascii="Times New Roman" w:hAnsi="Times New Roman" w:cs="Times New Roman"/>
          <w:sz w:val="24"/>
          <w:szCs w:val="24"/>
          <w:lang w:val="es-CR"/>
        </w:rPr>
      </w:pPr>
      <w:r w:rsidRPr="00094810">
        <w:rPr>
          <w:rFonts w:ascii="Times New Roman" w:hAnsi="Times New Roman" w:cs="Times New Roman"/>
          <w:i/>
          <w:sz w:val="24"/>
          <w:szCs w:val="24"/>
          <w:lang w:val="es-CR"/>
        </w:rPr>
        <w:t>Conciliación:</w:t>
      </w:r>
      <w:r w:rsidRPr="00094810">
        <w:rPr>
          <w:rFonts w:ascii="Times New Roman" w:hAnsi="Times New Roman" w:cs="Times New Roman"/>
          <w:sz w:val="24"/>
          <w:szCs w:val="24"/>
          <w:lang w:val="es-CR"/>
        </w:rPr>
        <w:t xml:space="preserve"> donde las experiencias son conscientemente asimiladas el uno al otro.</w:t>
      </w:r>
      <w:r w:rsidRPr="004F609D">
        <w:rPr>
          <w:rFonts w:ascii="Times New Roman" w:hAnsi="Times New Roman" w:cs="Times New Roman"/>
          <w:color w:val="231F20"/>
          <w:lang w:val="es-CR"/>
        </w:rPr>
        <w:t xml:space="preserve"> </w:t>
      </w:r>
    </w:p>
    <w:p w14:paraId="07278DB2" w14:textId="77777777" w:rsidR="001A3E86" w:rsidRPr="00BF1713" w:rsidRDefault="001A3E86" w:rsidP="001A3E86">
      <w:pPr>
        <w:pStyle w:val="ListParagraph"/>
        <w:autoSpaceDE w:val="0"/>
        <w:autoSpaceDN w:val="0"/>
        <w:adjustRightInd w:val="0"/>
        <w:spacing w:before="120" w:after="100" w:afterAutospacing="1" w:line="360" w:lineRule="auto"/>
        <w:jc w:val="both"/>
        <w:rPr>
          <w:rFonts w:ascii="Arial" w:hAnsi="Arial" w:cs="Arial"/>
          <w:sz w:val="24"/>
          <w:szCs w:val="24"/>
          <w:lang w:val="es-CR"/>
        </w:rPr>
      </w:pPr>
    </w:p>
    <w:p w14:paraId="1373AAC0" w14:textId="77777777" w:rsidR="001A3E86" w:rsidRPr="00952A5C" w:rsidRDefault="001A3E86" w:rsidP="001A3E86">
      <w:pPr>
        <w:pStyle w:val="yiv1427917474msonormal"/>
        <w:numPr>
          <w:ilvl w:val="0"/>
          <w:numId w:val="7"/>
        </w:numPr>
        <w:spacing w:line="360" w:lineRule="auto"/>
        <w:jc w:val="both"/>
      </w:pPr>
      <w:bookmarkStart w:id="23" w:name="_Toc474090223"/>
      <w:r w:rsidRPr="00952A5C">
        <w:rPr>
          <w:rStyle w:val="Heading2Char"/>
          <w:rFonts w:ascii="Times New Roman" w:hAnsi="Times New Roman"/>
          <w:color w:val="auto"/>
        </w:rPr>
        <w:t>Ontopraxis</w:t>
      </w:r>
      <w:bookmarkEnd w:id="23"/>
      <w:r w:rsidRPr="00952A5C">
        <w:t>.</w:t>
      </w:r>
    </w:p>
    <w:p w14:paraId="576A4D5B" w14:textId="77777777" w:rsidR="001A3E86" w:rsidRPr="00067ABE" w:rsidRDefault="001A3E86" w:rsidP="001A3E86">
      <w:pPr>
        <w:pStyle w:val="yiv1427917474msonormal"/>
        <w:spacing w:line="360" w:lineRule="auto"/>
        <w:ind w:firstLine="720"/>
        <w:jc w:val="both"/>
      </w:pPr>
      <w:r w:rsidRPr="00067ABE">
        <w:t xml:space="preserve">El término ontopraxis responde etimológicamente a los vocablos griegos ὄντος, genitivo de ὄν, ente, que es participio del verbo εἰμί, ser, y de πρᾶξις, práctica. La </w:t>
      </w:r>
      <w:r w:rsidRPr="00067ABE">
        <w:lastRenderedPageBreak/>
        <w:t>ontopraxis es definida por Quirce-Balma como una dialéctica en la vida humana entre lo familiar y lo no-familiar, con finalidad de transformación de orden ontológica, compréndase a su vez como una dialéctica de cambio individual como expresión de la dialéctica histórica de evolución social (Quirce-Balma, 1976, pp</w:t>
      </w:r>
      <w:r>
        <w:t>. 23-</w:t>
      </w:r>
      <w:r w:rsidR="001C19DD">
        <w:t>2</w:t>
      </w:r>
      <w:r w:rsidRPr="00067ABE">
        <w:t>4).</w:t>
      </w:r>
    </w:p>
    <w:p w14:paraId="24269273" w14:textId="77777777" w:rsidR="001A3E86" w:rsidRDefault="001A3E86" w:rsidP="001A3E86">
      <w:pPr>
        <w:pStyle w:val="yiv1427917474msonormal"/>
        <w:spacing w:line="360" w:lineRule="auto"/>
        <w:ind w:firstLine="720"/>
        <w:jc w:val="both"/>
        <w:rPr>
          <w:rFonts w:ascii="Arial" w:hAnsi="Arial" w:cs="Arial"/>
        </w:rPr>
      </w:pPr>
    </w:p>
    <w:p w14:paraId="76CCF8F3" w14:textId="77777777" w:rsidR="001B7D44" w:rsidRDefault="001B7D44" w:rsidP="001A3E86">
      <w:pPr>
        <w:pStyle w:val="yiv1427917474msonormal"/>
        <w:spacing w:line="360" w:lineRule="auto"/>
        <w:ind w:firstLine="720"/>
        <w:jc w:val="both"/>
        <w:rPr>
          <w:rFonts w:ascii="Arial" w:hAnsi="Arial" w:cs="Arial"/>
        </w:rPr>
      </w:pPr>
    </w:p>
    <w:p w14:paraId="307784CE" w14:textId="77777777" w:rsidR="001B7D44" w:rsidRDefault="001B7D44" w:rsidP="001A3E86">
      <w:pPr>
        <w:pStyle w:val="yiv1427917474msonormal"/>
        <w:spacing w:line="360" w:lineRule="auto"/>
        <w:ind w:firstLine="720"/>
        <w:jc w:val="both"/>
        <w:rPr>
          <w:rFonts w:ascii="Arial" w:hAnsi="Arial" w:cs="Arial"/>
        </w:rPr>
      </w:pPr>
    </w:p>
    <w:p w14:paraId="742E967E" w14:textId="77777777" w:rsidR="001A3E86" w:rsidRPr="001B7D44" w:rsidRDefault="001A3E86" w:rsidP="001A3E86">
      <w:pPr>
        <w:pStyle w:val="yiv1427917474msonormal"/>
        <w:numPr>
          <w:ilvl w:val="0"/>
          <w:numId w:val="7"/>
        </w:numPr>
        <w:spacing w:line="360" w:lineRule="auto"/>
        <w:jc w:val="both"/>
        <w:rPr>
          <w:rStyle w:val="Heading2Char"/>
          <w:rFonts w:ascii="Times New Roman" w:hAnsi="Times New Roman"/>
          <w:color w:val="auto"/>
        </w:rPr>
      </w:pPr>
      <w:bookmarkStart w:id="24" w:name="_Toc474090224"/>
      <w:r w:rsidRPr="001B7D44">
        <w:rPr>
          <w:rStyle w:val="Heading2Char"/>
          <w:rFonts w:ascii="Times New Roman" w:hAnsi="Times New Roman"/>
          <w:color w:val="auto"/>
        </w:rPr>
        <w:t>El Milieu teológico.</w:t>
      </w:r>
      <w:bookmarkEnd w:id="24"/>
    </w:p>
    <w:p w14:paraId="3A5060CD" w14:textId="77777777" w:rsidR="001A3E86" w:rsidRPr="00AE6A9C" w:rsidRDefault="001A3E86" w:rsidP="001A3E86">
      <w:pPr>
        <w:pStyle w:val="NoSpacing"/>
        <w:spacing w:line="360" w:lineRule="auto"/>
        <w:ind w:firstLine="720"/>
        <w:jc w:val="both"/>
        <w:rPr>
          <w:rFonts w:ascii="Times New Roman" w:hAnsi="Times New Roman" w:cs="Times New Roman"/>
          <w:sz w:val="24"/>
          <w:szCs w:val="24"/>
          <w:lang w:val="es-ES"/>
        </w:rPr>
      </w:pPr>
      <w:r w:rsidRPr="004F609D">
        <w:rPr>
          <w:rFonts w:ascii="Times New Roman" w:hAnsi="Times New Roman" w:cs="Times New Roman"/>
          <w:sz w:val="24"/>
          <w:szCs w:val="24"/>
          <w:lang w:val="es-CR"/>
        </w:rPr>
        <w:t>Contra el Milieu materialista, fenómeno de materialización humana, Quirce-Balma propone un Milieu teológico, caracterizado por ser “una época que glorifica al hombre y a su relación con Dios</w:t>
      </w:r>
      <w:r w:rsidRPr="00AE6A9C">
        <w:rPr>
          <w:rFonts w:ascii="Times New Roman" w:hAnsi="Times New Roman" w:cs="Times New Roman"/>
          <w:sz w:val="24"/>
          <w:szCs w:val="24"/>
          <w:lang w:val="es-ES"/>
        </w:rPr>
        <w:t>, crea personas más sanas y equilibradas que las épocas materialistas” (Quirce-</w:t>
      </w:r>
      <w:r w:rsidRPr="004F609D">
        <w:rPr>
          <w:rFonts w:ascii="Times New Roman" w:hAnsi="Times New Roman" w:cs="Times New Roman"/>
          <w:sz w:val="24"/>
          <w:szCs w:val="24"/>
          <w:lang w:val="es-CR"/>
        </w:rPr>
        <w:t>Balma, 2 de agosto de 2011).</w:t>
      </w:r>
      <w:r w:rsidRPr="00AE6A9C">
        <w:rPr>
          <w:rFonts w:ascii="Times New Roman" w:hAnsi="Times New Roman" w:cs="Times New Roman"/>
          <w:sz w:val="24"/>
          <w:szCs w:val="24"/>
          <w:lang w:val="es-ES"/>
        </w:rPr>
        <w:t xml:space="preserve"> </w:t>
      </w:r>
    </w:p>
    <w:p w14:paraId="389E6A38" w14:textId="77777777" w:rsidR="001A3E86" w:rsidRPr="00AE6A9C" w:rsidRDefault="001A3E86" w:rsidP="001A3E86">
      <w:pPr>
        <w:pStyle w:val="NoSpacing"/>
        <w:spacing w:line="360" w:lineRule="auto"/>
        <w:ind w:firstLine="720"/>
        <w:jc w:val="both"/>
        <w:rPr>
          <w:rStyle w:val="created"/>
          <w:rFonts w:ascii="Times New Roman" w:hAnsi="Times New Roman" w:cs="Times New Roman"/>
          <w:sz w:val="24"/>
          <w:szCs w:val="24"/>
          <w:lang w:val="es-ES"/>
        </w:rPr>
      </w:pPr>
      <w:r w:rsidRPr="00AE6A9C">
        <w:rPr>
          <w:rFonts w:ascii="Times New Roman" w:hAnsi="Times New Roman" w:cs="Times New Roman"/>
          <w:sz w:val="24"/>
          <w:szCs w:val="24"/>
          <w:lang w:val="es-ES"/>
        </w:rPr>
        <w:t>La materialización consiste en tener, para ser alguien en la sociedad de consumo, aunque aclara el autor que “el tener no es algo negativo: si la conciencia también lo es, no existe un antagonismo adonde existe demarcación, a no ser que haya un error entre lo mío y aquello” (Quirce-Balma, 1994, p. 151).</w:t>
      </w:r>
    </w:p>
    <w:p w14:paraId="305DC6B4" w14:textId="77777777" w:rsidR="001A3E86" w:rsidRPr="00AE6A9C" w:rsidRDefault="001A3E86" w:rsidP="001A3E86">
      <w:pPr>
        <w:pStyle w:val="NoSpacing"/>
        <w:spacing w:line="360" w:lineRule="auto"/>
        <w:ind w:firstLine="720"/>
        <w:jc w:val="both"/>
        <w:rPr>
          <w:rStyle w:val="created"/>
          <w:rFonts w:ascii="Times New Roman" w:hAnsi="Times New Roman" w:cs="Times New Roman"/>
          <w:sz w:val="24"/>
          <w:szCs w:val="24"/>
          <w:lang w:val="es-ES"/>
        </w:rPr>
      </w:pPr>
      <w:r w:rsidRPr="004F609D">
        <w:rPr>
          <w:rStyle w:val="created"/>
          <w:rFonts w:ascii="Times New Roman" w:hAnsi="Times New Roman" w:cs="Times New Roman"/>
          <w:sz w:val="24"/>
          <w:szCs w:val="24"/>
          <w:lang w:val="es-CR"/>
        </w:rPr>
        <w:t>Quirce-Balma comprende el concepto de Milieu teológico a partir del “Milieu divino” de Teilhard de Chardin, el cual es descrito por Gibellini (1998) de la siguiente manera:</w:t>
      </w:r>
    </w:p>
    <w:p w14:paraId="189CB17F" w14:textId="77777777" w:rsidR="001A3E86" w:rsidRPr="00067ABE" w:rsidRDefault="001A3E86" w:rsidP="001A3E86">
      <w:pPr>
        <w:pStyle w:val="yiv1427917474msonormal"/>
        <w:spacing w:beforeAutospacing="0" w:afterAutospacing="0"/>
        <w:ind w:left="851" w:right="6"/>
        <w:jc w:val="both"/>
        <w:rPr>
          <w:rStyle w:val="created"/>
          <w:sz w:val="22"/>
          <w:szCs w:val="22"/>
        </w:rPr>
      </w:pPr>
      <w:r w:rsidRPr="00067ABE">
        <w:rPr>
          <w:sz w:val="22"/>
          <w:szCs w:val="22"/>
        </w:rPr>
        <w:t xml:space="preserve">El atributo esencial del medio divino es la omnipresencia divina. Pero ¿cómo se explica esta omnipresencia? M. Barthélemy-Madule, en un estudio comparado de dos obras teilhardianas semejante en su título y en su contenido, </w:t>
      </w:r>
      <w:r w:rsidRPr="00067ABE">
        <w:rPr>
          <w:i/>
          <w:sz w:val="22"/>
          <w:szCs w:val="22"/>
        </w:rPr>
        <w:t xml:space="preserve">El medio místico </w:t>
      </w:r>
      <w:r w:rsidRPr="00067ABE">
        <w:rPr>
          <w:sz w:val="22"/>
          <w:szCs w:val="22"/>
        </w:rPr>
        <w:t xml:space="preserve">(1917) y </w:t>
      </w:r>
      <w:r w:rsidRPr="00067ABE">
        <w:rPr>
          <w:i/>
          <w:sz w:val="22"/>
          <w:szCs w:val="22"/>
        </w:rPr>
        <w:t>El medio divino</w:t>
      </w:r>
      <w:r w:rsidRPr="00067ABE">
        <w:rPr>
          <w:sz w:val="22"/>
          <w:szCs w:val="22"/>
        </w:rPr>
        <w:t xml:space="preserve"> (1926-1927), ha tratado de definir el exacto significado del concepto-clave </w:t>
      </w:r>
      <w:r w:rsidRPr="00067ABE">
        <w:rPr>
          <w:i/>
          <w:sz w:val="22"/>
          <w:szCs w:val="22"/>
        </w:rPr>
        <w:t>milieu</w:t>
      </w:r>
      <w:r w:rsidRPr="00067ABE">
        <w:rPr>
          <w:sz w:val="22"/>
          <w:szCs w:val="22"/>
        </w:rPr>
        <w:t xml:space="preserve">. </w:t>
      </w:r>
      <w:r w:rsidRPr="00067ABE">
        <w:rPr>
          <w:i/>
          <w:sz w:val="22"/>
          <w:szCs w:val="22"/>
        </w:rPr>
        <w:t>Milieu</w:t>
      </w:r>
      <w:r w:rsidRPr="00067ABE">
        <w:rPr>
          <w:sz w:val="22"/>
          <w:szCs w:val="22"/>
        </w:rPr>
        <w:t xml:space="preserve"> asume tres significados sucesivos de los cuales el tercero es totalizante: a) ante todo, </w:t>
      </w:r>
      <w:r w:rsidRPr="00067ABE">
        <w:rPr>
          <w:i/>
          <w:sz w:val="22"/>
          <w:szCs w:val="22"/>
        </w:rPr>
        <w:t>milieu</w:t>
      </w:r>
      <w:r w:rsidRPr="00067ABE">
        <w:rPr>
          <w:sz w:val="22"/>
          <w:szCs w:val="22"/>
        </w:rPr>
        <w:t xml:space="preserve"> significa ambiente, lugar, ámbito en el que existe o sucede algo; b) además, </w:t>
      </w:r>
      <w:r w:rsidRPr="00067ABE">
        <w:rPr>
          <w:i/>
          <w:sz w:val="22"/>
          <w:szCs w:val="22"/>
        </w:rPr>
        <w:t>milieu</w:t>
      </w:r>
      <w:r w:rsidRPr="00067ABE">
        <w:rPr>
          <w:sz w:val="22"/>
          <w:szCs w:val="22"/>
        </w:rPr>
        <w:t xml:space="preserve"> significa </w:t>
      </w:r>
      <w:r w:rsidRPr="00067ABE">
        <w:rPr>
          <w:i/>
          <w:sz w:val="22"/>
          <w:szCs w:val="22"/>
        </w:rPr>
        <w:t>medium</w:t>
      </w:r>
      <w:r w:rsidRPr="00067ABE">
        <w:rPr>
          <w:sz w:val="22"/>
          <w:szCs w:val="22"/>
        </w:rPr>
        <w:t xml:space="preserve">, aquello por lo que o a través de lo cual existe o sucede algo: significado </w:t>
      </w:r>
      <w:r w:rsidRPr="00067ABE">
        <w:rPr>
          <w:i/>
          <w:sz w:val="22"/>
          <w:szCs w:val="22"/>
        </w:rPr>
        <w:t>dia</w:t>
      </w:r>
      <w:r w:rsidRPr="00067ABE">
        <w:rPr>
          <w:sz w:val="22"/>
          <w:szCs w:val="22"/>
        </w:rPr>
        <w:t xml:space="preserve">-fánico y mediador; c) y finalmente, </w:t>
      </w:r>
      <w:r w:rsidRPr="00067ABE">
        <w:rPr>
          <w:i/>
          <w:sz w:val="22"/>
          <w:szCs w:val="22"/>
        </w:rPr>
        <w:t>milieu</w:t>
      </w:r>
      <w:r w:rsidRPr="00067ABE">
        <w:rPr>
          <w:sz w:val="22"/>
          <w:szCs w:val="22"/>
        </w:rPr>
        <w:t xml:space="preserve"> significa centro, centro de, y centro que está por doquier: significado totalizante. Es decir, Dios, a quien tratamos de asir a tientas con nuestras vidas, está en torno a nosotros (primer significado); penetra el universo como un rayo penetra un cristal (segundo significado); Dios nos espera en todas partes, en cuanto él es el centro que hace sólido el mundo, el centro que ocupa toda la esfera, el centro que tiene el poder absoluto y último de reunir y completar a todos los seres el punto extremo hacia el cual converge toda la realidad (tercer significado). El </w:t>
      </w:r>
      <w:r w:rsidRPr="00067ABE">
        <w:rPr>
          <w:sz w:val="22"/>
          <w:szCs w:val="22"/>
        </w:rPr>
        <w:lastRenderedPageBreak/>
        <w:t>medio divino es, pues, el universo en cuanto movido y co-penetrado por Dios en la totalidad de su evolución</w:t>
      </w:r>
      <w:r w:rsidRPr="00BA6B02">
        <w:rPr>
          <w:sz w:val="22"/>
          <w:szCs w:val="22"/>
        </w:rPr>
        <w:t>. (Gibellini, 1998, p. 191)</w:t>
      </w:r>
      <w:r w:rsidRPr="00067ABE">
        <w:rPr>
          <w:sz w:val="22"/>
          <w:szCs w:val="22"/>
        </w:rPr>
        <w:t xml:space="preserve"> </w:t>
      </w:r>
    </w:p>
    <w:p w14:paraId="4E522143" w14:textId="77777777" w:rsidR="001A3E86" w:rsidRPr="004F609D" w:rsidRDefault="001A3E86" w:rsidP="001A3E86">
      <w:pPr>
        <w:pStyle w:val="NoSpacing"/>
        <w:spacing w:line="360" w:lineRule="auto"/>
        <w:ind w:firstLine="720"/>
        <w:jc w:val="both"/>
        <w:rPr>
          <w:rStyle w:val="created"/>
          <w:rFonts w:ascii="Times New Roman" w:hAnsi="Times New Roman" w:cs="Times New Roman"/>
          <w:sz w:val="24"/>
          <w:szCs w:val="24"/>
          <w:lang w:val="es-CR"/>
        </w:rPr>
      </w:pPr>
    </w:p>
    <w:p w14:paraId="3FD2F629" w14:textId="77777777" w:rsidR="001A3E86" w:rsidRPr="00AE6A9C" w:rsidRDefault="001A3E86" w:rsidP="001A3E86">
      <w:pPr>
        <w:pStyle w:val="NoSpacing"/>
        <w:spacing w:line="360" w:lineRule="auto"/>
        <w:ind w:firstLine="720"/>
        <w:jc w:val="both"/>
        <w:rPr>
          <w:rFonts w:ascii="Times New Roman" w:hAnsi="Times New Roman" w:cs="Times New Roman"/>
          <w:sz w:val="24"/>
          <w:szCs w:val="24"/>
          <w:lang w:val="es-ES"/>
        </w:rPr>
      </w:pPr>
      <w:r w:rsidRPr="004F609D">
        <w:rPr>
          <w:rStyle w:val="created"/>
          <w:rFonts w:ascii="Times New Roman" w:hAnsi="Times New Roman" w:cs="Times New Roman"/>
          <w:sz w:val="24"/>
          <w:szCs w:val="24"/>
          <w:lang w:val="es-CR"/>
        </w:rPr>
        <w:t xml:space="preserve">Sobre el sentido de milieu totalizante, Quirce-Balma establece una época mejor de forma similar a Teilhard de Chardin quien visualiza una alternativa a </w:t>
      </w:r>
      <w:r w:rsidRPr="00067ABE">
        <w:rPr>
          <w:rFonts w:ascii="Times New Roman" w:hAnsi="Times New Roman" w:cs="Times New Roman"/>
          <w:sz w:val="24"/>
          <w:szCs w:val="24"/>
          <w:lang w:val="es-CR"/>
        </w:rPr>
        <w:t xml:space="preserve">la experiencia de la Guerra, pues </w:t>
      </w:r>
      <w:r w:rsidRPr="00AE6A9C">
        <w:rPr>
          <w:rFonts w:ascii="Times New Roman" w:hAnsi="Times New Roman" w:cs="Times New Roman"/>
          <w:sz w:val="24"/>
          <w:szCs w:val="24"/>
          <w:lang w:val="es-ES"/>
        </w:rPr>
        <w:t>toma conciencia del don o facultad de percibir la realidad y organicidad de las magnitudes colectivas, despertar que percibe en una fantasía un tanto extraña, escrita hacia 1917 en las trincheras y titulada «La Grande Monade». De hecho</w:t>
      </w:r>
      <w:r>
        <w:rPr>
          <w:rFonts w:ascii="Times New Roman" w:hAnsi="Times New Roman" w:cs="Times New Roman"/>
          <w:sz w:val="24"/>
          <w:szCs w:val="24"/>
          <w:lang w:val="es-ES"/>
        </w:rPr>
        <w:t>,</w:t>
      </w:r>
      <w:r w:rsidRPr="00AE6A9C">
        <w:rPr>
          <w:rFonts w:ascii="Times New Roman" w:hAnsi="Times New Roman" w:cs="Times New Roman"/>
          <w:sz w:val="24"/>
          <w:szCs w:val="24"/>
          <w:lang w:val="es-ES"/>
        </w:rPr>
        <w:t xml:space="preserve"> los impactos de Asia y de la Guerra, maduran su mística «pan-crística», que se refleja en sus obras </w:t>
      </w:r>
      <w:r w:rsidRPr="00AE6A9C">
        <w:rPr>
          <w:rFonts w:ascii="Times New Roman" w:hAnsi="Times New Roman" w:cs="Times New Roman"/>
          <w:i/>
          <w:sz w:val="24"/>
          <w:szCs w:val="24"/>
          <w:lang w:val="es-ES"/>
        </w:rPr>
        <w:t xml:space="preserve">La Misa sobre el Mundo </w:t>
      </w:r>
      <w:r w:rsidRPr="00AE6A9C">
        <w:rPr>
          <w:rFonts w:ascii="Times New Roman" w:hAnsi="Times New Roman" w:cs="Times New Roman"/>
          <w:sz w:val="24"/>
          <w:szCs w:val="24"/>
          <w:lang w:val="es-ES"/>
        </w:rPr>
        <w:t xml:space="preserve">(1924) y </w:t>
      </w:r>
      <w:r w:rsidRPr="00AE6A9C">
        <w:rPr>
          <w:rFonts w:ascii="Times New Roman" w:hAnsi="Times New Roman" w:cs="Times New Roman"/>
          <w:i/>
          <w:sz w:val="24"/>
          <w:szCs w:val="24"/>
          <w:lang w:val="es-ES"/>
        </w:rPr>
        <w:t xml:space="preserve">El Medio Divino </w:t>
      </w:r>
      <w:r w:rsidRPr="00AE6A9C">
        <w:rPr>
          <w:rFonts w:ascii="Times New Roman" w:hAnsi="Times New Roman" w:cs="Times New Roman"/>
          <w:sz w:val="24"/>
          <w:szCs w:val="24"/>
          <w:lang w:val="es-ES"/>
        </w:rPr>
        <w:t xml:space="preserve">(1927). Sobre el objeto principal de esta última </w:t>
      </w:r>
      <w:r w:rsidRPr="00FD76E7">
        <w:rPr>
          <w:rFonts w:ascii="Times New Roman" w:hAnsi="Times New Roman" w:cs="Times New Roman"/>
          <w:sz w:val="24"/>
          <w:szCs w:val="24"/>
          <w:lang w:val="es-ES"/>
        </w:rPr>
        <w:t>indica que la pesadilla del pavor ante un final por mecanización termina con el despertar genera</w:t>
      </w:r>
      <w:r w:rsidRPr="00AE6A9C">
        <w:rPr>
          <w:rFonts w:ascii="Times New Roman" w:hAnsi="Times New Roman" w:cs="Times New Roman"/>
          <w:sz w:val="24"/>
          <w:szCs w:val="24"/>
          <w:lang w:val="es-ES"/>
        </w:rPr>
        <w:t xml:space="preserve">do por los primeros rayos de un Centro universal de convergencia y de atracción (Teilhard de Chardin, 2002, pp. 34, 51, 54). Este pensamiento adquiere especial importancia en su ensayo </w:t>
      </w:r>
      <w:r w:rsidRPr="00AE6A9C">
        <w:rPr>
          <w:rFonts w:ascii="Times New Roman" w:hAnsi="Times New Roman" w:cs="Times New Roman"/>
          <w:i/>
          <w:sz w:val="24"/>
          <w:szCs w:val="24"/>
          <w:lang w:val="es-ES"/>
        </w:rPr>
        <w:t>La hora de elegir</w:t>
      </w:r>
      <w:r w:rsidRPr="00AE6A9C">
        <w:rPr>
          <w:rFonts w:ascii="Times New Roman" w:hAnsi="Times New Roman" w:cs="Times New Roman"/>
          <w:sz w:val="24"/>
          <w:szCs w:val="24"/>
          <w:lang w:val="es-ES"/>
        </w:rPr>
        <w:t xml:space="preserve"> en </w:t>
      </w:r>
      <w:r w:rsidRPr="00AE6A9C">
        <w:rPr>
          <w:rFonts w:ascii="Times New Roman" w:hAnsi="Times New Roman" w:cs="Times New Roman"/>
          <w:i/>
          <w:sz w:val="24"/>
          <w:szCs w:val="24"/>
          <w:lang w:val="es-ES"/>
        </w:rPr>
        <w:t>La activación de la energía</w:t>
      </w:r>
      <w:r w:rsidRPr="00AE6A9C">
        <w:rPr>
          <w:rFonts w:ascii="Times New Roman" w:hAnsi="Times New Roman" w:cs="Times New Roman"/>
          <w:sz w:val="24"/>
          <w:szCs w:val="24"/>
          <w:lang w:val="es-ES"/>
        </w:rPr>
        <w:t xml:space="preserve"> (1967), ello en el contexto de la Segunda Guerra Mundial (pp. 15-23).</w:t>
      </w:r>
    </w:p>
    <w:p w14:paraId="1B3A4F2D" w14:textId="77777777" w:rsidR="001A3E86" w:rsidRPr="004F609D" w:rsidRDefault="001A3E86" w:rsidP="001A3E86">
      <w:pPr>
        <w:pStyle w:val="NoSpacing"/>
        <w:spacing w:line="360" w:lineRule="auto"/>
        <w:ind w:firstLine="720"/>
        <w:jc w:val="both"/>
        <w:rPr>
          <w:rStyle w:val="created"/>
          <w:rFonts w:ascii="Times New Roman" w:hAnsi="Times New Roman" w:cs="Times New Roman"/>
          <w:sz w:val="24"/>
          <w:szCs w:val="24"/>
          <w:lang w:val="es-CR"/>
        </w:rPr>
      </w:pPr>
      <w:r w:rsidRPr="004F609D">
        <w:rPr>
          <w:rStyle w:val="created"/>
          <w:rFonts w:ascii="Times New Roman" w:hAnsi="Times New Roman" w:cs="Times New Roman"/>
          <w:sz w:val="24"/>
          <w:szCs w:val="24"/>
          <w:lang w:val="es-CR"/>
        </w:rPr>
        <w:t>Al respecto, Teilhard de Chardin describe la misma organización humana en los siguientes términos:</w:t>
      </w:r>
    </w:p>
    <w:p w14:paraId="26FC2161" w14:textId="77777777" w:rsidR="001A3E86" w:rsidRPr="00067ABE" w:rsidRDefault="001A3E86" w:rsidP="001A3E86">
      <w:pPr>
        <w:pStyle w:val="yiv1427917474msonormal"/>
        <w:spacing w:beforeAutospacing="0" w:afterAutospacing="0"/>
        <w:ind w:left="851" w:right="6"/>
        <w:jc w:val="both"/>
        <w:rPr>
          <w:rStyle w:val="created"/>
          <w:sz w:val="22"/>
          <w:szCs w:val="22"/>
        </w:rPr>
      </w:pPr>
      <w:r w:rsidRPr="00067ABE">
        <w:rPr>
          <w:rStyle w:val="created"/>
          <w:sz w:val="22"/>
          <w:szCs w:val="22"/>
        </w:rPr>
        <w:t>En ninguna otra edad de la Historia, el hombre llegó a estar tan perfectamente equipado y a realizar tantos esfuerzos para ordenar a sus multitudes. “Movimientos de masas”. Y no aquellas hordas descendiendo, a riadas, de los bosques nórdicos o de las estepas asiáticas. Por el contrario, se trata ahora del “Millón de Hombres”, como se ha dicho acertadamente, agrupado de manera científica. El millón de hombres agrupados en los campos de instrucción militar. El Millón de hombres estandarizado en las fábricas. El Millón de hombres motorizado... Todo ello encaminado, con el Comunismo y el Nacionalsocialismo, hacia la más espantosa de las agrupaciones encadenadas. El cristal, en lugar de la célula. El hormiguero, en lugar de la Fraternidad. En lugar del esperado espíritu sobresalto de la conciencia, la mecanización, que emerge de una manera inevitable, según parece, de la totalización... (Teilhard de Chardin, El Fenómeno Humano, p. 310)</w:t>
      </w:r>
    </w:p>
    <w:p w14:paraId="31994A46" w14:textId="77777777" w:rsidR="001A3E86" w:rsidRPr="004F4E0A" w:rsidRDefault="001A3E86" w:rsidP="001A3E86">
      <w:pPr>
        <w:pStyle w:val="yiv1427917474msonormal"/>
        <w:spacing w:beforeAutospacing="0" w:afterAutospacing="0" w:line="360" w:lineRule="auto"/>
        <w:ind w:left="851" w:right="4"/>
        <w:jc w:val="both"/>
        <w:rPr>
          <w:rFonts w:ascii="Arial" w:hAnsi="Arial" w:cs="Arial"/>
        </w:rPr>
      </w:pPr>
    </w:p>
    <w:p w14:paraId="60C33692" w14:textId="77777777" w:rsidR="001A3E86" w:rsidRPr="00067ABE" w:rsidRDefault="001A3E86" w:rsidP="001A3E86">
      <w:pPr>
        <w:pStyle w:val="Heading2"/>
        <w:numPr>
          <w:ilvl w:val="0"/>
          <w:numId w:val="7"/>
        </w:numPr>
        <w:jc w:val="both"/>
        <w:rPr>
          <w:rFonts w:ascii="Times New Roman" w:hAnsi="Times New Roman"/>
          <w:color w:val="auto"/>
          <w:sz w:val="24"/>
          <w:szCs w:val="24"/>
        </w:rPr>
      </w:pPr>
      <w:bookmarkStart w:id="25" w:name="_Toc474090225"/>
      <w:r w:rsidRPr="00067ABE">
        <w:rPr>
          <w:rFonts w:ascii="Times New Roman" w:hAnsi="Times New Roman"/>
          <w:color w:val="auto"/>
          <w:sz w:val="24"/>
          <w:szCs w:val="24"/>
        </w:rPr>
        <w:t>Teología intercultural</w:t>
      </w:r>
      <w:bookmarkEnd w:id="25"/>
      <w:r>
        <w:rPr>
          <w:rFonts w:ascii="Times New Roman" w:hAnsi="Times New Roman"/>
          <w:color w:val="auto"/>
          <w:sz w:val="24"/>
          <w:szCs w:val="24"/>
        </w:rPr>
        <w:t>.</w:t>
      </w:r>
    </w:p>
    <w:p w14:paraId="3C116265" w14:textId="77777777" w:rsidR="001A3E86" w:rsidRPr="00067ABE" w:rsidRDefault="001A3E86" w:rsidP="001A3E86">
      <w:pPr>
        <w:rPr>
          <w:rFonts w:ascii="Times New Roman" w:hAnsi="Times New Roman" w:cs="Times New Roman"/>
          <w:lang w:val="es-CR"/>
        </w:rPr>
      </w:pPr>
    </w:p>
    <w:p w14:paraId="01F890FD" w14:textId="77777777" w:rsidR="001A3E86" w:rsidRPr="004F609D" w:rsidRDefault="001A3E86" w:rsidP="001A3E86">
      <w:pPr>
        <w:spacing w:after="200" w:line="360" w:lineRule="auto"/>
        <w:ind w:firstLine="36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teología intercultural es presentada por Fornet-Betanourt (2004) bajo los siguientes principios básicos:</w:t>
      </w:r>
    </w:p>
    <w:p w14:paraId="37DEFAA6" w14:textId="77777777" w:rsidR="001A3E86" w:rsidRPr="004F609D" w:rsidRDefault="001A3E86" w:rsidP="001A3E86">
      <w:pPr>
        <w:pStyle w:val="ListParagraph"/>
        <w:numPr>
          <w:ilvl w:val="1"/>
          <w:numId w:val="3"/>
        </w:numPr>
        <w:spacing w:after="200" w:line="360" w:lineRule="auto"/>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lastRenderedPageBreak/>
        <w:t>Plantear los supuestos teóricos y prácticos</w:t>
      </w:r>
      <w:r w:rsidRPr="004F609D">
        <w:rPr>
          <w:rFonts w:ascii="Times New Roman" w:hAnsi="Times New Roman" w:cs="Times New Roman"/>
          <w:lang w:val="es-CR"/>
        </w:rPr>
        <w:t xml:space="preserve"> </w:t>
      </w:r>
      <w:r w:rsidRPr="004F609D">
        <w:rPr>
          <w:rFonts w:ascii="Times New Roman" w:hAnsi="Times New Roman" w:cs="Times New Roman"/>
          <w:sz w:val="24"/>
          <w:szCs w:val="24"/>
          <w:lang w:val="es-CR"/>
        </w:rPr>
        <w:t xml:space="preserve">desde un enfoque de la dimisión en lugar del enfoque de la misión (tradicionalmente “colonizar al otro”). Por dimisión, el autor rescata el hecho de que se parte desde el punto de la vivencia, del diálogo en su sentido más amplio, la dimisión de los derechos culturales que poseemos y que generan, a su vez, una contracción en la interrelación con el otro; de manera tal que se plasme una vivencia fijada más bien desde la convivencia de las diferentes perspectivas. </w:t>
      </w:r>
    </w:p>
    <w:p w14:paraId="004289C1" w14:textId="77777777" w:rsidR="001A3E86" w:rsidRPr="004F609D" w:rsidRDefault="001A3E86" w:rsidP="001A3E86">
      <w:pPr>
        <w:pStyle w:val="ListParagraph"/>
        <w:numPr>
          <w:ilvl w:val="1"/>
          <w:numId w:val="3"/>
        </w:numPr>
        <w:spacing w:after="200" w:line="360" w:lineRule="auto"/>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Renunciar al enfoque de la teología de la unidad, reconociendo –y conviviendo- con las diferencias. Decantar a las perspectivas que parten de las identidades que hacen una división entre el registro de lo propio y lo ajeno, y más bien, proyectado desde el sincretismo dialógico y respetuoso. La renuncia incluye, además, la sacralización del origen de la propia tradición religiosa, coexistente con muchas otras, y a la vez, relacionada en mayor o menor medida.</w:t>
      </w:r>
    </w:p>
    <w:p w14:paraId="13AB5442"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Tradicionalmente la teología dominada por la visión del cristianismo, se plasma con un discurso que más allá de algunos principios propios de esta religión, ha trabajado desde la posición de la colonización del otro, la inculturación hacia una tradición religiosa eurocéntrica, poco abierta al diálogo, y por tanto, a las necesidades propias del contexto actual, en donde se reconoce la variedad interreligiosa y la diversidad cultural como un fenómeno que atañe múltiples contextos latinoamericanos (Fornet-Betanourt, 2004).</w:t>
      </w:r>
    </w:p>
    <w:p w14:paraId="2ECC22B9"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Ciertamente la teología intercultural debe este cambio de enfoque a la filosofía intercultural que le plantea retos como propuesta de un nuevo modelo de filosofía y de una racionalidad al servicio de liberar la polifonía cultural latinoamericana (Madrigal, 2008).</w:t>
      </w:r>
    </w:p>
    <w:p w14:paraId="685CE4A2"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filosofía intercultural parte de supuestos, como por ejemplo que</w:t>
      </w:r>
      <w:r w:rsidR="001C19DD">
        <w:rPr>
          <w:rFonts w:ascii="Times New Roman" w:hAnsi="Times New Roman" w:cs="Times New Roman"/>
          <w:sz w:val="24"/>
          <w:szCs w:val="24"/>
          <w:lang w:val="es-CR"/>
        </w:rPr>
        <w:t>,</w:t>
      </w:r>
      <w:r w:rsidRPr="004F609D">
        <w:rPr>
          <w:rFonts w:ascii="Times New Roman" w:hAnsi="Times New Roman" w:cs="Times New Roman"/>
          <w:sz w:val="24"/>
          <w:szCs w:val="24"/>
          <w:lang w:val="es-CR"/>
        </w:rPr>
        <w:t xml:space="preserve"> en nombre de la Historia, caracterizada por su programa de progreso, se marginan y niegan historias, por lo que propone un nuevo paradigma de diálogo entre las culturas, en que se intercambien historias, es decir, aquellas memorias culturales que como documentos memorizan otra relación del ser humano con el tiempo. De ahí la estrechez de la Historia líneal para entender el devenir de lo humano en todas sus revelaciones y la posibilidad de que no todo sea Historia, sino de que existan también otros caminos en el tiempo y del tiempo. Motivos </w:t>
      </w:r>
      <w:r w:rsidRPr="004F609D">
        <w:rPr>
          <w:rFonts w:ascii="Times New Roman" w:hAnsi="Times New Roman" w:cs="Times New Roman"/>
          <w:sz w:val="24"/>
          <w:szCs w:val="24"/>
          <w:lang w:val="es-CR"/>
        </w:rPr>
        <w:lastRenderedPageBreak/>
        <w:t>por los que dicha filosofía sea ponderada como aquella que es para el mundo, para engrandecer éste y aportar a dignificarlo</w:t>
      </w:r>
      <w:sdt>
        <w:sdtPr>
          <w:rPr>
            <w:rFonts w:ascii="Times New Roman" w:hAnsi="Times New Roman" w:cs="Times New Roman"/>
            <w:sz w:val="24"/>
            <w:szCs w:val="24"/>
          </w:rPr>
          <w:id w:val="1651325921"/>
          <w:citation/>
        </w:sdtPr>
        <w:sdtContent>
          <w:r w:rsidRPr="00067ABE">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For08 \l 22538 </w:instrText>
          </w:r>
          <w:r w:rsidRPr="00067ABE">
            <w:rPr>
              <w:rFonts w:ascii="Times New Roman" w:hAnsi="Times New Roman" w:cs="Times New Roman"/>
              <w:sz w:val="24"/>
              <w:szCs w:val="24"/>
            </w:rPr>
            <w:fldChar w:fldCharType="separate"/>
          </w:r>
          <w:r w:rsidRPr="004F609D">
            <w:rPr>
              <w:rFonts w:ascii="Times New Roman" w:hAnsi="Times New Roman" w:cs="Times New Roman"/>
              <w:sz w:val="24"/>
              <w:szCs w:val="24"/>
              <w:lang w:val="es-CR"/>
            </w:rPr>
            <w:t xml:space="preserve"> (Fornet-Betancourt, 2008)</w:t>
          </w:r>
          <w:r w:rsidRPr="00067ABE">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w:t>
      </w:r>
    </w:p>
    <w:p w14:paraId="4EBC0D91" w14:textId="77777777" w:rsidR="001A3E86"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Por tanto, se pueden extraer al menos tres dimensiones de la teología intercultural:</w:t>
      </w:r>
    </w:p>
    <w:p w14:paraId="1F61510A" w14:textId="77777777" w:rsidR="001B7D44" w:rsidRPr="004F609D" w:rsidRDefault="001B7D44" w:rsidP="001A3E86">
      <w:pPr>
        <w:pStyle w:val="NoSpacing"/>
        <w:spacing w:line="360" w:lineRule="auto"/>
        <w:ind w:firstLine="720"/>
        <w:jc w:val="both"/>
        <w:rPr>
          <w:rFonts w:ascii="Times New Roman" w:hAnsi="Times New Roman" w:cs="Times New Roman"/>
          <w:sz w:val="24"/>
          <w:szCs w:val="24"/>
          <w:lang w:val="es-CR"/>
        </w:rPr>
      </w:pPr>
    </w:p>
    <w:p w14:paraId="736EAC8B" w14:textId="77777777" w:rsidR="001A3E86" w:rsidRPr="004F609D" w:rsidRDefault="001A3E86" w:rsidP="001A3E86">
      <w:pPr>
        <w:pStyle w:val="ListParagraph"/>
        <w:numPr>
          <w:ilvl w:val="0"/>
          <w:numId w:val="5"/>
        </w:numPr>
        <w:spacing w:after="200" w:line="360" w:lineRule="auto"/>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Diálogo y pluralismo: la convivencia de distintas perspectivas y el abandono de la pretensión colonizadora del otro.</w:t>
      </w:r>
    </w:p>
    <w:p w14:paraId="77DE4E5F" w14:textId="77777777" w:rsidR="001A3E86" w:rsidRPr="004F609D" w:rsidRDefault="001A3E86" w:rsidP="001A3E86">
      <w:pPr>
        <w:pStyle w:val="ListParagraph"/>
        <w:numPr>
          <w:ilvl w:val="0"/>
          <w:numId w:val="5"/>
        </w:numPr>
        <w:spacing w:after="200" w:line="360" w:lineRule="auto"/>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Atención a la polifonía cultural: en el diálogo se escuchan aquellas memorias culturales como alternativas a la linealidad del tiempo, incluso caracterizadas como no-linealidad del tiempo.</w:t>
      </w:r>
    </w:p>
    <w:p w14:paraId="267198B6" w14:textId="77777777" w:rsidR="001A3E86" w:rsidRPr="004F609D" w:rsidRDefault="001A3E86" w:rsidP="001A3E86">
      <w:pPr>
        <w:pStyle w:val="ListParagraph"/>
        <w:numPr>
          <w:ilvl w:val="0"/>
          <w:numId w:val="5"/>
        </w:numPr>
        <w:spacing w:after="200" w:line="360" w:lineRule="auto"/>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Dignificación del mundo: se busca engrandecer éste y aportar para dignificarlo.</w:t>
      </w:r>
    </w:p>
    <w:p w14:paraId="6EFC3DE1" w14:textId="77777777" w:rsidR="001A3E86" w:rsidRDefault="001A3E86" w:rsidP="001A3E86">
      <w:pPr>
        <w:pStyle w:val="ListParagraph"/>
        <w:spacing w:after="200" w:line="360" w:lineRule="auto"/>
        <w:jc w:val="both"/>
        <w:rPr>
          <w:rFonts w:ascii="Arial" w:hAnsi="Arial" w:cs="Arial"/>
          <w:sz w:val="24"/>
          <w:szCs w:val="24"/>
          <w:lang w:val="es-CR"/>
        </w:rPr>
      </w:pPr>
    </w:p>
    <w:p w14:paraId="5DDED0AE" w14:textId="77777777" w:rsidR="001B7D44" w:rsidRPr="004F609D" w:rsidRDefault="001B7D44" w:rsidP="001A3E86">
      <w:pPr>
        <w:pStyle w:val="ListParagraph"/>
        <w:spacing w:after="200" w:line="360" w:lineRule="auto"/>
        <w:jc w:val="both"/>
        <w:rPr>
          <w:rFonts w:ascii="Arial" w:hAnsi="Arial" w:cs="Arial"/>
          <w:sz w:val="24"/>
          <w:szCs w:val="24"/>
          <w:lang w:val="es-CR"/>
        </w:rPr>
      </w:pPr>
    </w:p>
    <w:p w14:paraId="47F88B70" w14:textId="77777777" w:rsidR="001A3E86" w:rsidRPr="00A855C8" w:rsidRDefault="001A3E86" w:rsidP="001A3E86">
      <w:pPr>
        <w:pStyle w:val="Heading2"/>
        <w:numPr>
          <w:ilvl w:val="0"/>
          <w:numId w:val="7"/>
        </w:numPr>
        <w:jc w:val="both"/>
        <w:rPr>
          <w:rFonts w:ascii="Times New Roman" w:hAnsi="Times New Roman"/>
          <w:color w:val="auto"/>
          <w:sz w:val="24"/>
          <w:szCs w:val="24"/>
        </w:rPr>
      </w:pPr>
      <w:bookmarkStart w:id="26" w:name="_Toc474090226"/>
      <w:r w:rsidRPr="00A855C8">
        <w:rPr>
          <w:rFonts w:ascii="Times New Roman" w:hAnsi="Times New Roman"/>
          <w:color w:val="auto"/>
          <w:sz w:val="24"/>
          <w:szCs w:val="24"/>
        </w:rPr>
        <w:t>Teología tradicional y teología de la liberación</w:t>
      </w:r>
      <w:bookmarkEnd w:id="26"/>
      <w:r>
        <w:rPr>
          <w:rFonts w:ascii="Times New Roman" w:hAnsi="Times New Roman"/>
          <w:color w:val="auto"/>
          <w:sz w:val="24"/>
          <w:szCs w:val="24"/>
        </w:rPr>
        <w:t>.</w:t>
      </w:r>
    </w:p>
    <w:p w14:paraId="250A1491" w14:textId="77777777" w:rsidR="001A3E86" w:rsidRPr="00853ACC" w:rsidRDefault="001A3E86" w:rsidP="001A3E86">
      <w:pPr>
        <w:pStyle w:val="BodyText"/>
        <w:spacing w:after="0" w:line="360" w:lineRule="auto"/>
        <w:ind w:left="1080"/>
        <w:jc w:val="both"/>
        <w:rPr>
          <w:rFonts w:ascii="Arial" w:hAnsi="Arial" w:cs="Arial"/>
          <w:b/>
          <w:sz w:val="24"/>
          <w:szCs w:val="24"/>
          <w:lang w:val="es-CR"/>
        </w:rPr>
      </w:pPr>
    </w:p>
    <w:p w14:paraId="0EC3C017" w14:textId="77777777" w:rsidR="001A3E86" w:rsidRPr="00A855C8" w:rsidRDefault="001A3E86" w:rsidP="001A3E86">
      <w:pPr>
        <w:pStyle w:val="NoSpacing"/>
        <w:spacing w:line="360" w:lineRule="auto"/>
        <w:ind w:firstLine="567"/>
        <w:jc w:val="both"/>
        <w:rPr>
          <w:rFonts w:ascii="Times New Roman" w:hAnsi="Times New Roman" w:cs="Times New Roman"/>
          <w:sz w:val="24"/>
          <w:szCs w:val="24"/>
          <w:lang w:val="es-MX"/>
        </w:rPr>
      </w:pPr>
      <w:r w:rsidRPr="004F609D">
        <w:rPr>
          <w:rFonts w:ascii="Times New Roman" w:hAnsi="Times New Roman" w:cs="Times New Roman"/>
          <w:sz w:val="24"/>
          <w:szCs w:val="24"/>
          <w:lang w:val="es-CR"/>
        </w:rPr>
        <w:t>La teología tradicional puede entenderse como aquella que parte de</w:t>
      </w:r>
      <w:r w:rsidRPr="00A855C8">
        <w:rPr>
          <w:rFonts w:ascii="Times New Roman" w:hAnsi="Times New Roman" w:cs="Times New Roman"/>
          <w:sz w:val="24"/>
          <w:szCs w:val="24"/>
          <w:lang w:val="es-MX"/>
        </w:rPr>
        <w:t xml:space="preserve"> fuentes que no crea, se trata de una construcción levantada sobre los </w:t>
      </w:r>
      <w:r w:rsidRPr="00A855C8">
        <w:rPr>
          <w:rFonts w:ascii="Times New Roman" w:hAnsi="Times New Roman" w:cs="Times New Roman"/>
          <w:i/>
          <w:sz w:val="24"/>
          <w:szCs w:val="24"/>
          <w:lang w:val="es-MX"/>
        </w:rPr>
        <w:t>loci</w:t>
      </w:r>
      <w:r w:rsidRPr="00A855C8">
        <w:rPr>
          <w:rFonts w:ascii="Times New Roman" w:hAnsi="Times New Roman" w:cs="Times New Roman"/>
          <w:sz w:val="24"/>
          <w:szCs w:val="24"/>
          <w:lang w:val="es-MX"/>
        </w:rPr>
        <w:t xml:space="preserve"> que da la Iglesia y las Escrituras canónicas (Wicks, 2001, p. 147). Los </w:t>
      </w:r>
      <w:r w:rsidRPr="00A855C8">
        <w:rPr>
          <w:rFonts w:ascii="Times New Roman" w:hAnsi="Times New Roman" w:cs="Times New Roman"/>
          <w:i/>
          <w:sz w:val="24"/>
          <w:szCs w:val="24"/>
          <w:lang w:val="es-MX"/>
        </w:rPr>
        <w:t>loci</w:t>
      </w:r>
      <w:r w:rsidRPr="00A855C8">
        <w:rPr>
          <w:rFonts w:ascii="Times New Roman" w:hAnsi="Times New Roman" w:cs="Times New Roman"/>
          <w:sz w:val="24"/>
          <w:szCs w:val="24"/>
          <w:lang w:val="es-MX"/>
        </w:rPr>
        <w:t xml:space="preserve"> de la Iglesia son aquellos cimientos o lugares de los cuales parte el teólogo, tarea iniciada en </w:t>
      </w:r>
      <w:r w:rsidRPr="00A855C8">
        <w:rPr>
          <w:rFonts w:ascii="Times New Roman" w:hAnsi="Times New Roman" w:cs="Times New Roman"/>
          <w:i/>
          <w:sz w:val="24"/>
          <w:szCs w:val="24"/>
          <w:lang w:val="es-MX"/>
        </w:rPr>
        <w:t>De locis theologicis</w:t>
      </w:r>
      <w:r w:rsidRPr="00A855C8">
        <w:rPr>
          <w:rFonts w:ascii="Times New Roman" w:hAnsi="Times New Roman" w:cs="Times New Roman"/>
          <w:sz w:val="24"/>
          <w:szCs w:val="24"/>
          <w:lang w:val="es-MX"/>
        </w:rPr>
        <w:t xml:space="preserve"> de Melchor Cano, que se inspiró en el </w:t>
      </w:r>
      <w:r w:rsidRPr="00A855C8">
        <w:rPr>
          <w:rFonts w:ascii="Times New Roman" w:hAnsi="Times New Roman" w:cs="Times New Roman"/>
          <w:i/>
          <w:sz w:val="24"/>
          <w:szCs w:val="24"/>
          <w:lang w:val="es-MX"/>
        </w:rPr>
        <w:t>De oratore</w:t>
      </w:r>
      <w:r w:rsidRPr="00A855C8">
        <w:rPr>
          <w:rFonts w:ascii="Times New Roman" w:hAnsi="Times New Roman" w:cs="Times New Roman"/>
          <w:sz w:val="24"/>
          <w:szCs w:val="24"/>
          <w:lang w:val="es-MX"/>
        </w:rPr>
        <w:t xml:space="preserve"> de Cicerón, y que es continuada por el Vaticano I (1870), Pío XII (1950) y el Vaticano II, permeado con la pertinente reformulación doctrinal de Juan XII en beneficio de los seres humanos (Wicks, 2001, pp</w:t>
      </w:r>
      <w:r>
        <w:rPr>
          <w:rFonts w:ascii="Times New Roman" w:hAnsi="Times New Roman" w:cs="Times New Roman"/>
          <w:sz w:val="24"/>
          <w:szCs w:val="24"/>
          <w:lang w:val="es-MX"/>
        </w:rPr>
        <w:t>. 21-</w:t>
      </w:r>
      <w:r w:rsidRPr="00A855C8">
        <w:rPr>
          <w:rFonts w:ascii="Times New Roman" w:hAnsi="Times New Roman" w:cs="Times New Roman"/>
          <w:sz w:val="24"/>
          <w:szCs w:val="24"/>
          <w:lang w:val="es-MX"/>
        </w:rPr>
        <w:t xml:space="preserve">22, 24-45). </w:t>
      </w:r>
    </w:p>
    <w:p w14:paraId="06ACFBCA" w14:textId="77777777" w:rsidR="001A3E86" w:rsidRPr="00A855C8" w:rsidRDefault="001A3E86" w:rsidP="001A3E86">
      <w:pPr>
        <w:pStyle w:val="NoSpacing"/>
        <w:spacing w:line="360" w:lineRule="auto"/>
        <w:ind w:firstLine="567"/>
        <w:jc w:val="both"/>
        <w:rPr>
          <w:rFonts w:ascii="Times New Roman" w:hAnsi="Times New Roman" w:cs="Times New Roman"/>
          <w:sz w:val="24"/>
          <w:szCs w:val="24"/>
          <w:lang w:val="es-MX"/>
        </w:rPr>
      </w:pPr>
      <w:r w:rsidRPr="004F609D">
        <w:rPr>
          <w:rFonts w:ascii="Times New Roman" w:hAnsi="Times New Roman" w:cs="Times New Roman"/>
          <w:sz w:val="24"/>
          <w:szCs w:val="24"/>
          <w:lang w:val="es-CR"/>
        </w:rPr>
        <w:t>Ciertamente l</w:t>
      </w:r>
      <w:r w:rsidRPr="00A855C8">
        <w:rPr>
          <w:rFonts w:ascii="Times New Roman" w:hAnsi="Times New Roman" w:cs="Times New Roman"/>
          <w:sz w:val="24"/>
          <w:szCs w:val="24"/>
          <w:lang w:val="es-MX"/>
        </w:rPr>
        <w:t>a teología tradicional se inscribe en la institucionalidad, aunque también presenta una implicación ecuménica de acuerdo a las enseñanzas del Vaticano II, pues sostiene que “la teología que utiliza una base eclesial y reflexiona habitualmente sobre lo que el Espíritu dice en las Iglesias también tendrá una sensibilidad ecuménica”, e indica sobre el citado concilio la afirmación de “que, las iglesias y las comunidades ahora fuera de la comunión católica, se mantiene</w:t>
      </w:r>
      <w:r>
        <w:rPr>
          <w:rFonts w:ascii="Times New Roman" w:hAnsi="Times New Roman" w:cs="Times New Roman"/>
          <w:sz w:val="24"/>
          <w:szCs w:val="24"/>
          <w:lang w:val="es-MX"/>
        </w:rPr>
        <w:t>n</w:t>
      </w:r>
      <w:r w:rsidRPr="00A855C8">
        <w:rPr>
          <w:rFonts w:ascii="Times New Roman" w:hAnsi="Times New Roman" w:cs="Times New Roman"/>
          <w:sz w:val="24"/>
          <w:szCs w:val="24"/>
          <w:lang w:val="es-MX"/>
        </w:rPr>
        <w:t xml:space="preserve"> y transmiten ciertamente elementos de verdad y medios de santificación</w:t>
      </w:r>
      <w:r>
        <w:rPr>
          <w:rFonts w:ascii="Times New Roman" w:hAnsi="Times New Roman" w:cs="Times New Roman"/>
          <w:sz w:val="24"/>
          <w:szCs w:val="24"/>
          <w:lang w:val="es-MX"/>
        </w:rPr>
        <w:t>”</w:t>
      </w:r>
      <w:r w:rsidRPr="00A855C8">
        <w:rPr>
          <w:rFonts w:ascii="Times New Roman" w:hAnsi="Times New Roman" w:cs="Times New Roman"/>
          <w:sz w:val="24"/>
          <w:szCs w:val="24"/>
          <w:lang w:val="es-MX"/>
        </w:rPr>
        <w:t xml:space="preserve"> (LG 1</w:t>
      </w:r>
      <w:r>
        <w:rPr>
          <w:rFonts w:ascii="Times New Roman" w:hAnsi="Times New Roman" w:cs="Times New Roman"/>
          <w:sz w:val="24"/>
          <w:szCs w:val="24"/>
          <w:lang w:val="es-MX"/>
        </w:rPr>
        <w:t>5, UR 3, 20-23) (</w:t>
      </w:r>
      <w:r w:rsidRPr="00A855C8">
        <w:rPr>
          <w:rFonts w:ascii="Times New Roman" w:hAnsi="Times New Roman" w:cs="Times New Roman"/>
          <w:sz w:val="24"/>
          <w:szCs w:val="24"/>
          <w:lang w:val="es-MX"/>
        </w:rPr>
        <w:t>Wicks</w:t>
      </w:r>
      <w:r w:rsidR="001B7D44">
        <w:rPr>
          <w:rFonts w:ascii="Times New Roman" w:hAnsi="Times New Roman" w:cs="Times New Roman"/>
          <w:sz w:val="24"/>
          <w:szCs w:val="24"/>
          <w:lang w:val="es-MX"/>
        </w:rPr>
        <w:t>,</w:t>
      </w:r>
      <w:r w:rsidRPr="00A855C8">
        <w:rPr>
          <w:rFonts w:ascii="Times New Roman" w:hAnsi="Times New Roman" w:cs="Times New Roman"/>
          <w:sz w:val="24"/>
          <w:szCs w:val="24"/>
          <w:lang w:val="es-MX"/>
        </w:rPr>
        <w:t xml:space="preserve"> 2001, p</w:t>
      </w:r>
      <w:r>
        <w:rPr>
          <w:rFonts w:ascii="Times New Roman" w:hAnsi="Times New Roman" w:cs="Times New Roman"/>
          <w:sz w:val="24"/>
          <w:szCs w:val="24"/>
          <w:lang w:val="es-MX"/>
        </w:rPr>
        <w:t>.</w:t>
      </w:r>
      <w:r w:rsidR="001B7D44">
        <w:rPr>
          <w:rFonts w:ascii="Times New Roman" w:hAnsi="Times New Roman" w:cs="Times New Roman"/>
          <w:sz w:val="24"/>
          <w:szCs w:val="24"/>
          <w:lang w:val="es-MX"/>
        </w:rPr>
        <w:t xml:space="preserve"> </w:t>
      </w:r>
      <w:r>
        <w:rPr>
          <w:rFonts w:ascii="Times New Roman" w:hAnsi="Times New Roman" w:cs="Times New Roman"/>
          <w:sz w:val="24"/>
          <w:szCs w:val="24"/>
          <w:lang w:val="es-MX"/>
        </w:rPr>
        <w:t>155)</w:t>
      </w:r>
      <w:r w:rsidRPr="00A855C8">
        <w:rPr>
          <w:rFonts w:ascii="Times New Roman" w:hAnsi="Times New Roman" w:cs="Times New Roman"/>
          <w:sz w:val="24"/>
          <w:szCs w:val="24"/>
          <w:lang w:val="es-MX"/>
        </w:rPr>
        <w:t>.</w:t>
      </w:r>
    </w:p>
    <w:p w14:paraId="35442829" w14:textId="77777777" w:rsidR="001A3E86" w:rsidRPr="00A855C8" w:rsidRDefault="001A3E86" w:rsidP="001A3E86">
      <w:pPr>
        <w:pStyle w:val="NoSpacing"/>
        <w:spacing w:line="360" w:lineRule="auto"/>
        <w:ind w:firstLine="567"/>
        <w:jc w:val="both"/>
        <w:rPr>
          <w:rFonts w:ascii="Times New Roman" w:hAnsi="Times New Roman" w:cs="Times New Roman"/>
          <w:sz w:val="24"/>
          <w:szCs w:val="24"/>
          <w:lang w:val="es-MX"/>
        </w:rPr>
      </w:pPr>
      <w:r w:rsidRPr="00A855C8">
        <w:rPr>
          <w:rFonts w:ascii="Times New Roman" w:hAnsi="Times New Roman" w:cs="Times New Roman"/>
          <w:sz w:val="24"/>
          <w:szCs w:val="24"/>
          <w:lang w:val="es-MX"/>
        </w:rPr>
        <w:t>Sin embargo, la teología tradicional es bastante omisa de un quehacer teológico caracterizado por un diálogo horizontal con otras religiones y espiritualidades, antes se ve la Iglesia y su tradición, así como</w:t>
      </w:r>
      <w:r>
        <w:rPr>
          <w:rFonts w:ascii="Times New Roman" w:hAnsi="Times New Roman" w:cs="Times New Roman"/>
          <w:sz w:val="24"/>
          <w:szCs w:val="24"/>
          <w:lang w:val="es-MX"/>
        </w:rPr>
        <w:t xml:space="preserve"> que el soporte de la misma</w:t>
      </w:r>
      <w:r w:rsidRPr="00A855C8">
        <w:rPr>
          <w:rFonts w:ascii="Times New Roman" w:hAnsi="Times New Roman" w:cs="Times New Roman"/>
          <w:sz w:val="24"/>
          <w:szCs w:val="24"/>
          <w:lang w:val="es-MX"/>
        </w:rPr>
        <w:t xml:space="preserve"> subyace en sus fuentes, la </w:t>
      </w:r>
      <w:r w:rsidRPr="00A855C8">
        <w:rPr>
          <w:rFonts w:ascii="Times New Roman" w:hAnsi="Times New Roman" w:cs="Times New Roman"/>
          <w:sz w:val="24"/>
          <w:szCs w:val="24"/>
          <w:lang w:val="es-MX"/>
        </w:rPr>
        <w:lastRenderedPageBreak/>
        <w:t>matriz del quehacer teológico. A su vez, en no pocas ocasiones se encuentra ausente el tema de América Latina, sus problemáticas y rique</w:t>
      </w:r>
      <w:r>
        <w:rPr>
          <w:rFonts w:ascii="Times New Roman" w:hAnsi="Times New Roman" w:cs="Times New Roman"/>
          <w:sz w:val="24"/>
          <w:szCs w:val="24"/>
          <w:lang w:val="es-MX"/>
        </w:rPr>
        <w:t>zas, y no</w:t>
      </w:r>
      <w:r w:rsidRPr="00A855C8">
        <w:rPr>
          <w:rFonts w:ascii="Times New Roman" w:hAnsi="Times New Roman" w:cs="Times New Roman"/>
          <w:sz w:val="24"/>
          <w:szCs w:val="24"/>
          <w:lang w:val="es-MX"/>
        </w:rPr>
        <w:t xml:space="preserve"> es posible escuchar una voz que le sea pertinente a esta realidad o a similares, salvo algunas excepciones como en el Vaticano II.</w:t>
      </w:r>
    </w:p>
    <w:p w14:paraId="12C57414" w14:textId="77777777" w:rsidR="001A3E86" w:rsidRPr="00A855C8" w:rsidRDefault="001A3E86" w:rsidP="001A3E86">
      <w:pPr>
        <w:pStyle w:val="NoSpacing"/>
        <w:spacing w:line="360" w:lineRule="auto"/>
        <w:ind w:firstLine="567"/>
        <w:jc w:val="both"/>
        <w:rPr>
          <w:rFonts w:ascii="Times New Roman" w:hAnsi="Times New Roman" w:cs="Times New Roman"/>
          <w:sz w:val="24"/>
          <w:szCs w:val="24"/>
          <w:lang w:val="es-MX"/>
        </w:rPr>
      </w:pPr>
      <w:r w:rsidRPr="004F609D">
        <w:rPr>
          <w:rFonts w:ascii="Times New Roman" w:hAnsi="Times New Roman" w:cs="Times New Roman"/>
          <w:sz w:val="24"/>
          <w:szCs w:val="24"/>
          <w:lang w:val="es-CR"/>
        </w:rPr>
        <w:t xml:space="preserve">Claramente el Concilio Vaticano II (1962-1966) manifiesta la voluntad de la Iglesia institucional de ser interlocutora de la modernidad, planteamiento que implicó abrirse al mundo con la comprensión de sus esperanzas, sus aspiraciones y su dramatismo, desde un previo y profundo examen de los signos de la época y con una interpretación a la luz del Evangelio </w:t>
      </w:r>
      <w:r w:rsidRPr="004F609D">
        <w:rPr>
          <w:rFonts w:ascii="Times New Roman" w:hAnsi="Times New Roman" w:cs="Times New Roman"/>
          <w:i/>
          <w:sz w:val="24"/>
          <w:szCs w:val="24"/>
          <w:lang w:val="es-CR"/>
        </w:rPr>
        <w:t>(Constitución</w:t>
      </w:r>
      <w:r w:rsidRPr="004F609D">
        <w:rPr>
          <w:rFonts w:ascii="Times New Roman" w:hAnsi="Times New Roman" w:cs="Times New Roman"/>
          <w:sz w:val="24"/>
          <w:szCs w:val="24"/>
          <w:lang w:val="es-CR"/>
        </w:rPr>
        <w:t xml:space="preserve"> </w:t>
      </w:r>
      <w:r w:rsidRPr="004F609D">
        <w:rPr>
          <w:rFonts w:ascii="Times New Roman" w:hAnsi="Times New Roman" w:cs="Times New Roman"/>
          <w:i/>
          <w:sz w:val="24"/>
          <w:szCs w:val="24"/>
          <w:lang w:val="es-CR"/>
        </w:rPr>
        <w:t>Gadium et Spes</w:t>
      </w:r>
      <w:r w:rsidRPr="004F609D">
        <w:rPr>
          <w:rFonts w:ascii="Times New Roman" w:hAnsi="Times New Roman" w:cs="Times New Roman"/>
          <w:sz w:val="24"/>
          <w:szCs w:val="24"/>
          <w:lang w:val="es-CR"/>
        </w:rPr>
        <w:t xml:space="preserve">, 4). Desde diversos puntos, entre los que destaca el elemento macroecuménico por el cual la gracia de Dios es extensible a cristianos y no-cristianos -en tanto sean personas de buena voluntad (GS 1, 22)-, el Concilio dejó atrás la dicotomía natural-sobrenatural desde la comprensión de la encarnación, razón desde la que se sostuvo teológicamente el proceso liberador de los oprimidos latinoamericanos: </w:t>
      </w:r>
    </w:p>
    <w:p w14:paraId="3C02EC2C" w14:textId="77777777" w:rsidR="001A3E86" w:rsidRPr="004F609D" w:rsidRDefault="001A3E86" w:rsidP="001A3E86">
      <w:pPr>
        <w:spacing w:line="360" w:lineRule="auto"/>
        <w:ind w:left="567" w:right="616"/>
        <w:jc w:val="both"/>
        <w:rPr>
          <w:rFonts w:ascii="Times New Roman" w:hAnsi="Times New Roman" w:cs="Times New Roman"/>
          <w:sz w:val="24"/>
          <w:lang w:val="es-CR"/>
        </w:rPr>
      </w:pPr>
    </w:p>
    <w:p w14:paraId="572B23B5" w14:textId="77777777" w:rsidR="001A3E86" w:rsidRPr="004F609D" w:rsidRDefault="001A3E86" w:rsidP="001A3E86">
      <w:pPr>
        <w:spacing w:line="240" w:lineRule="auto"/>
        <w:ind w:left="567" w:right="618"/>
        <w:jc w:val="both"/>
        <w:rPr>
          <w:rFonts w:ascii="Times New Roman" w:hAnsi="Times New Roman" w:cs="Times New Roman"/>
          <w:lang w:val="es-CR"/>
        </w:rPr>
      </w:pPr>
      <w:r w:rsidRPr="004F609D">
        <w:rPr>
          <w:rFonts w:ascii="Times New Roman" w:hAnsi="Times New Roman" w:cs="Times New Roman"/>
          <w:lang w:val="es-CR"/>
        </w:rPr>
        <w:t>Y al contemplar la realidad en América Latina, el mundo de las mayorías y abrir los ojos a ellas, nos encontramos cara a cara con la injusticia secular e institucionalizada que somete a millones y millones de personas a inhumana pobreza. Tropezar a cada paso con esa injusta pobreza sacudió profundamente los corazones cristianos bien intencionados. Esta experiencia, aunque lejana en el tiempo, permitió acercarnos a la de Moisés ante la situación de sus hermanos israelitas en Egipto: ¡esa situación de esclavitud no podía ser la voluntad de Dios! Y desde la fe en el Dios de Israel comprendió su misión.</w:t>
      </w:r>
      <w:sdt>
        <w:sdtPr>
          <w:rPr>
            <w:rFonts w:ascii="Times New Roman" w:hAnsi="Times New Roman" w:cs="Times New Roman"/>
          </w:rPr>
          <w:id w:val="26270736"/>
          <w:citation/>
        </w:sdtPr>
        <w:sdtContent>
          <w:r w:rsidRPr="00A855C8">
            <w:rPr>
              <w:rFonts w:ascii="Times New Roman" w:hAnsi="Times New Roman" w:cs="Times New Roman"/>
            </w:rPr>
            <w:fldChar w:fldCharType="begin"/>
          </w:r>
          <w:r w:rsidRPr="004F609D">
            <w:rPr>
              <w:rFonts w:ascii="Times New Roman" w:hAnsi="Times New Roman" w:cs="Times New Roman"/>
              <w:lang w:val="es-CR"/>
            </w:rPr>
            <w:instrText xml:space="preserve"> CITATION Oli90 \l 5130 </w:instrText>
          </w:r>
          <w:r w:rsidRPr="00A855C8">
            <w:rPr>
              <w:rFonts w:ascii="Times New Roman" w:hAnsi="Times New Roman" w:cs="Times New Roman"/>
            </w:rPr>
            <w:fldChar w:fldCharType="separate"/>
          </w:r>
          <w:r w:rsidRPr="004F609D">
            <w:rPr>
              <w:rFonts w:ascii="Times New Roman" w:hAnsi="Times New Roman" w:cs="Times New Roman"/>
              <w:noProof/>
              <w:lang w:val="es-CR"/>
            </w:rPr>
            <w:t xml:space="preserve"> (Oliveros Maqueo, 1990)</w:t>
          </w:r>
          <w:r w:rsidRPr="00A855C8">
            <w:rPr>
              <w:rFonts w:ascii="Times New Roman" w:hAnsi="Times New Roman" w:cs="Times New Roman"/>
            </w:rPr>
            <w:fldChar w:fldCharType="end"/>
          </w:r>
        </w:sdtContent>
      </w:sdt>
    </w:p>
    <w:p w14:paraId="2D05BAC9" w14:textId="77777777" w:rsidR="001A3E86" w:rsidRPr="004F609D" w:rsidRDefault="001A3E86" w:rsidP="001A3E86">
      <w:pPr>
        <w:pStyle w:val="NoSpacing"/>
        <w:spacing w:line="360" w:lineRule="auto"/>
        <w:jc w:val="both"/>
        <w:rPr>
          <w:rFonts w:ascii="Times New Roman" w:hAnsi="Times New Roman" w:cs="Times New Roman"/>
          <w:sz w:val="24"/>
          <w:szCs w:val="24"/>
          <w:lang w:val="es-CR"/>
        </w:rPr>
      </w:pPr>
    </w:p>
    <w:p w14:paraId="4FDB774D"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De este modo se enmarca en parte la misión de la Teología de la Liberación, que reflexiona desde la realidad de los pueblos y la fe (GS 1, 11), y que también se sustentó en la tradición de los papas como Juan XXIII, tan plausible en el mensaje al mundo antes de la apertura del Concilio Vaticano II, el 11 de setiembre de 1962, en el que se refiriera a la Iglesia de todos y particularmente de los pobres (Bravo-Gallardo, 1993); así como Pablo VI, principalmente en sus respetivas encíclicas </w:t>
      </w:r>
      <w:r w:rsidRPr="004F609D">
        <w:rPr>
          <w:rFonts w:ascii="Times New Roman" w:hAnsi="Times New Roman" w:cs="Times New Roman"/>
          <w:i/>
          <w:sz w:val="24"/>
          <w:szCs w:val="24"/>
          <w:lang w:val="es-CR"/>
        </w:rPr>
        <w:t xml:space="preserve">Pacem in terris </w:t>
      </w:r>
      <w:r w:rsidRPr="004F609D">
        <w:rPr>
          <w:rFonts w:ascii="Times New Roman" w:hAnsi="Times New Roman" w:cs="Times New Roman"/>
          <w:sz w:val="24"/>
          <w:szCs w:val="24"/>
          <w:lang w:val="es-CR"/>
        </w:rPr>
        <w:t xml:space="preserve">y  </w:t>
      </w:r>
      <w:r w:rsidRPr="004F609D">
        <w:rPr>
          <w:rFonts w:ascii="Times New Roman" w:hAnsi="Times New Roman" w:cs="Times New Roman"/>
          <w:i/>
          <w:sz w:val="24"/>
          <w:szCs w:val="24"/>
          <w:lang w:val="es-CR"/>
        </w:rPr>
        <w:t>Populorum Progressio</w:t>
      </w:r>
      <w:r w:rsidRPr="004F609D">
        <w:rPr>
          <w:rFonts w:ascii="Times New Roman" w:hAnsi="Times New Roman" w:cs="Times New Roman"/>
          <w:sz w:val="24"/>
          <w:szCs w:val="24"/>
          <w:lang w:val="es-CR"/>
        </w:rPr>
        <w:t>. Posturas que repercutieron en el proyecto de la nueva evangelización que se propusiera en Medellín (1968).</w:t>
      </w:r>
    </w:p>
    <w:p w14:paraId="317CAD59" w14:textId="77777777" w:rsidR="001A3E86" w:rsidRPr="00A855C8" w:rsidRDefault="001A3E86" w:rsidP="001A3E86">
      <w:pPr>
        <w:pStyle w:val="NoSpacing"/>
        <w:spacing w:line="360" w:lineRule="auto"/>
        <w:jc w:val="both"/>
        <w:rPr>
          <w:rFonts w:ascii="Times New Roman" w:hAnsi="Times New Roman" w:cs="Times New Roman"/>
          <w:color w:val="000000"/>
          <w:sz w:val="24"/>
          <w:szCs w:val="24"/>
          <w:lang w:val="es-MX"/>
        </w:rPr>
      </w:pPr>
      <w:r w:rsidRPr="00A855C8">
        <w:rPr>
          <w:rFonts w:ascii="Times New Roman" w:hAnsi="Times New Roman" w:cs="Times New Roman"/>
          <w:color w:val="000000"/>
          <w:sz w:val="24"/>
          <w:szCs w:val="24"/>
          <w:lang w:val="es-MX"/>
        </w:rPr>
        <w:t xml:space="preserve"> </w:t>
      </w:r>
      <w:r>
        <w:rPr>
          <w:rFonts w:ascii="Times New Roman" w:hAnsi="Times New Roman" w:cs="Times New Roman"/>
          <w:color w:val="000000"/>
          <w:sz w:val="24"/>
          <w:szCs w:val="24"/>
          <w:lang w:val="es-MX"/>
        </w:rPr>
        <w:tab/>
      </w:r>
      <w:r w:rsidRPr="00A855C8">
        <w:rPr>
          <w:rFonts w:ascii="Times New Roman" w:hAnsi="Times New Roman" w:cs="Times New Roman"/>
          <w:color w:val="000000"/>
          <w:sz w:val="24"/>
          <w:szCs w:val="24"/>
          <w:lang w:val="es-MX"/>
        </w:rPr>
        <w:t xml:space="preserve">No obstante, es común que la teología tradicional adolezca de un discernimiento de los signos de los tiempos, en lo atinente a las sociedades de conocimiento o al auge en la </w:t>
      </w:r>
      <w:r w:rsidRPr="00A855C8">
        <w:rPr>
          <w:rFonts w:ascii="Times New Roman" w:hAnsi="Times New Roman" w:cs="Times New Roman"/>
          <w:color w:val="000000"/>
          <w:sz w:val="24"/>
          <w:szCs w:val="24"/>
          <w:lang w:val="es-MX"/>
        </w:rPr>
        <w:lastRenderedPageBreak/>
        <w:t>diversidad confesional. Mayoritariamente es un quehacer teológico eclesiocéntrico y común denominador del cristianismo occidental.</w:t>
      </w:r>
    </w:p>
    <w:p w14:paraId="17130A26" w14:textId="77777777" w:rsidR="001A3E86" w:rsidRPr="004F609D" w:rsidRDefault="001A3E86" w:rsidP="001A3E86">
      <w:pPr>
        <w:pStyle w:val="NoSpacing"/>
        <w:spacing w:line="360" w:lineRule="auto"/>
        <w:ind w:firstLine="720"/>
        <w:jc w:val="both"/>
        <w:rPr>
          <w:rFonts w:ascii="Times New Roman" w:hAnsi="Times New Roman" w:cs="Times New Roman"/>
          <w:noProof/>
          <w:sz w:val="24"/>
          <w:szCs w:val="24"/>
          <w:lang w:val="es-CR"/>
        </w:rPr>
      </w:pPr>
      <w:r w:rsidRPr="004F609D">
        <w:rPr>
          <w:rFonts w:ascii="Times New Roman" w:hAnsi="Times New Roman" w:cs="Times New Roman"/>
          <w:sz w:val="24"/>
          <w:szCs w:val="24"/>
          <w:lang w:val="es-CR"/>
        </w:rPr>
        <w:t xml:space="preserve">De acuerdo con Fornet-Betancourt (2007), el cristianismo occidental es solo una forma de vivir el cristianismo, en tanto trata de una tradición monocultural que se ha sumado al expansionismo de Occidente, que afecta, particularmente, a América latina desde 1492. Desde la recepción evangélica a partir de los testimonios amerindios, en los que es posible ver la agresión religiosa, desde la cosmovisión de los sabios mexicas (en remisión a </w:t>
      </w:r>
      <w:r w:rsidRPr="004F609D">
        <w:rPr>
          <w:rFonts w:ascii="Times New Roman" w:hAnsi="Times New Roman" w:cs="Times New Roman"/>
          <w:i/>
          <w:sz w:val="24"/>
          <w:szCs w:val="24"/>
          <w:lang w:val="es-CR"/>
        </w:rPr>
        <w:t>Los colloquios y doctrina cristiana</w:t>
      </w:r>
      <w:r w:rsidRPr="004F609D">
        <w:rPr>
          <w:rFonts w:ascii="Times New Roman" w:hAnsi="Times New Roman" w:cs="Times New Roman"/>
          <w:sz w:val="24"/>
          <w:szCs w:val="24"/>
          <w:lang w:val="es-CR"/>
        </w:rPr>
        <w:t xml:space="preserve"> de Bernandino de Sahagún, 1524) y desde la tradición religiosa y profética maya recogida en el </w:t>
      </w:r>
      <w:r w:rsidRPr="004F609D">
        <w:rPr>
          <w:rFonts w:ascii="Times New Roman" w:hAnsi="Times New Roman" w:cs="Times New Roman"/>
          <w:i/>
          <w:sz w:val="24"/>
          <w:szCs w:val="24"/>
          <w:lang w:val="es-CR"/>
        </w:rPr>
        <w:t>Chilam Balam</w:t>
      </w:r>
      <w:r w:rsidRPr="004F609D">
        <w:rPr>
          <w:rFonts w:ascii="Times New Roman" w:hAnsi="Times New Roman" w:cs="Times New Roman"/>
          <w:sz w:val="24"/>
          <w:szCs w:val="24"/>
          <w:lang w:val="es-CR"/>
        </w:rPr>
        <w:t xml:space="preserve"> de </w:t>
      </w:r>
      <w:r w:rsidRPr="004F609D">
        <w:rPr>
          <w:rFonts w:ascii="Times New Roman" w:hAnsi="Times New Roman" w:cs="Times New Roman"/>
          <w:i/>
          <w:sz w:val="24"/>
          <w:szCs w:val="24"/>
          <w:lang w:val="es-CR"/>
        </w:rPr>
        <w:t>Chumayel</w:t>
      </w:r>
      <w:r w:rsidRPr="004F609D">
        <w:rPr>
          <w:rFonts w:ascii="Times New Roman" w:hAnsi="Times New Roman" w:cs="Times New Roman"/>
          <w:sz w:val="24"/>
          <w:szCs w:val="24"/>
          <w:lang w:val="es-CR"/>
        </w:rPr>
        <w:t>, se constata un cristianismo que corta la historia, no dialoga y causa muerte</w:t>
      </w:r>
      <w:r w:rsidRPr="004F609D">
        <w:rPr>
          <w:rFonts w:ascii="Times New Roman" w:hAnsi="Times New Roman" w:cs="Times New Roman"/>
          <w:noProof/>
          <w:sz w:val="24"/>
          <w:szCs w:val="24"/>
          <w:lang w:val="es-CR"/>
        </w:rPr>
        <w:t xml:space="preserve"> (Fornet-Betancourt, 2007).</w:t>
      </w:r>
    </w:p>
    <w:p w14:paraId="50790CF9" w14:textId="77777777" w:rsidR="001A3E86" w:rsidRPr="004F609D" w:rsidRDefault="001A3E86" w:rsidP="001A3E86">
      <w:pPr>
        <w:pStyle w:val="NoSpacing"/>
        <w:spacing w:line="360" w:lineRule="auto"/>
        <w:ind w:firstLine="720"/>
        <w:jc w:val="both"/>
        <w:rPr>
          <w:rFonts w:ascii="Times New Roman" w:hAnsi="Times New Roman" w:cs="Times New Roman"/>
          <w:noProof/>
          <w:sz w:val="24"/>
          <w:szCs w:val="24"/>
          <w:lang w:val="es-CR"/>
        </w:rPr>
      </w:pPr>
      <w:r w:rsidRPr="004F609D">
        <w:rPr>
          <w:rFonts w:ascii="Times New Roman" w:hAnsi="Times New Roman" w:cs="Times New Roman"/>
          <w:sz w:val="24"/>
          <w:szCs w:val="24"/>
          <w:lang w:val="es-CR"/>
        </w:rPr>
        <w:t xml:space="preserve">Si bien bastaría con indicar su ligamen con el ritualismo y los aparatos clericales, a la vez que es el cristianismo la constante desde el poder con el cual se conquistó y colonizó América, se estaría ante una definición que puede perfectamente ser objeto de críticas, pues la teología tradicional contempla en medio de dogmas la riqueza de experiencias que se transmiten, aunque no necesariamente son problematizadas, como en sus mismas fuentes o </w:t>
      </w:r>
      <w:r w:rsidRPr="004F609D">
        <w:rPr>
          <w:rFonts w:ascii="Times New Roman" w:hAnsi="Times New Roman" w:cs="Times New Roman"/>
          <w:i/>
          <w:sz w:val="24"/>
          <w:szCs w:val="24"/>
          <w:lang w:val="es-CR"/>
        </w:rPr>
        <w:t>loci</w:t>
      </w:r>
      <w:r w:rsidRPr="004F609D">
        <w:rPr>
          <w:rFonts w:ascii="Times New Roman" w:hAnsi="Times New Roman" w:cs="Times New Roman"/>
          <w:sz w:val="24"/>
          <w:szCs w:val="24"/>
          <w:lang w:val="es-CR"/>
        </w:rPr>
        <w:t>, siendo el caso de las Sagradas Escrituras.</w:t>
      </w:r>
    </w:p>
    <w:p w14:paraId="4EF39D00" w14:textId="77777777" w:rsidR="001C19DD" w:rsidRDefault="001A3E86" w:rsidP="001C19DD">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De forma distinta, Gallardo (2009) es quien presenta una síntesis de lo que podría entenderse como teología de la liberación, donde se comprende que no se trata de una postura uniforme, sino diversa, pues las variantes poseen metodologías y prácticas diferentes, con la particularidad de remitir al pobre como centro de la discusión y experiencia teológica. La Teología Latinoamericana de la Liberación consiste en un proceso que engloba experiencias disímiles: producción teológica, prácticas pastorales, movimientos extraeclesiales, movimientos intraeclesiales (v.gr. de la Iglesia Católica), movilizaciones políticas (incluidas organizaciones político-militares), Comunidades Eclesiales de Base y otros movimientos liberadores (Gallardo, 2009). Tampoco resulta ser un paradigma sin conflictos y diferencias en sus planteamientos, por ejemplo, salta a la vista una considerable diferencia metodológica entre una misa guerrilla con Ernesto Cardenal y la propuesta económica de Franz Hinkelammert.</w:t>
      </w:r>
      <w:bookmarkStart w:id="27" w:name="_Toc474090227"/>
    </w:p>
    <w:p w14:paraId="72DADC18" w14:textId="77777777" w:rsidR="001C19DD" w:rsidRPr="001C19DD" w:rsidRDefault="001C19DD" w:rsidP="001C19DD">
      <w:pPr>
        <w:pStyle w:val="NoSpacing"/>
        <w:spacing w:line="360" w:lineRule="auto"/>
        <w:ind w:firstLine="720"/>
        <w:jc w:val="both"/>
        <w:rPr>
          <w:rFonts w:ascii="Times New Roman" w:hAnsi="Times New Roman" w:cs="Times New Roman"/>
          <w:sz w:val="24"/>
          <w:szCs w:val="24"/>
          <w:lang w:val="es-CR"/>
        </w:rPr>
      </w:pPr>
    </w:p>
    <w:p w14:paraId="513A6F6A" w14:textId="77777777" w:rsidR="001A3E86" w:rsidRPr="00A855C8" w:rsidRDefault="001A3E86" w:rsidP="001A3E86">
      <w:pPr>
        <w:pStyle w:val="Heading1"/>
        <w:rPr>
          <w:rFonts w:ascii="Times New Roman" w:hAnsi="Times New Roman"/>
          <w:sz w:val="24"/>
          <w:szCs w:val="24"/>
        </w:rPr>
      </w:pPr>
      <w:r w:rsidRPr="00A855C8">
        <w:rPr>
          <w:rFonts w:ascii="Times New Roman" w:hAnsi="Times New Roman"/>
          <w:sz w:val="24"/>
          <w:szCs w:val="24"/>
        </w:rPr>
        <w:lastRenderedPageBreak/>
        <w:t xml:space="preserve">Capítulo III </w:t>
      </w:r>
    </w:p>
    <w:p w14:paraId="49D12886" w14:textId="77777777" w:rsidR="001A3E86" w:rsidRPr="00A855C8" w:rsidRDefault="001A3E86" w:rsidP="001A3E86">
      <w:pPr>
        <w:pStyle w:val="Heading1"/>
        <w:rPr>
          <w:rFonts w:ascii="Times New Roman" w:hAnsi="Times New Roman"/>
          <w:sz w:val="24"/>
          <w:szCs w:val="24"/>
        </w:rPr>
      </w:pPr>
      <w:r w:rsidRPr="00A855C8">
        <w:rPr>
          <w:rFonts w:ascii="Times New Roman" w:hAnsi="Times New Roman"/>
          <w:sz w:val="24"/>
          <w:szCs w:val="24"/>
        </w:rPr>
        <w:t>Metodología</w:t>
      </w:r>
      <w:bookmarkEnd w:id="27"/>
    </w:p>
    <w:p w14:paraId="780C6F8C" w14:textId="77777777" w:rsidR="001A3E86" w:rsidRPr="00A855C8" w:rsidRDefault="001A3E86" w:rsidP="001A3E86">
      <w:pPr>
        <w:pStyle w:val="Heading2"/>
        <w:numPr>
          <w:ilvl w:val="3"/>
          <w:numId w:val="2"/>
        </w:numPr>
        <w:jc w:val="both"/>
        <w:rPr>
          <w:rFonts w:ascii="Times New Roman" w:hAnsi="Times New Roman"/>
          <w:color w:val="auto"/>
          <w:sz w:val="24"/>
          <w:szCs w:val="24"/>
        </w:rPr>
      </w:pPr>
      <w:bookmarkStart w:id="28" w:name="_Toc474090228"/>
      <w:r w:rsidRPr="00A855C8">
        <w:rPr>
          <w:rFonts w:ascii="Times New Roman" w:hAnsi="Times New Roman"/>
          <w:color w:val="auto"/>
          <w:sz w:val="24"/>
          <w:szCs w:val="24"/>
        </w:rPr>
        <w:t>Fuentes:</w:t>
      </w:r>
      <w:bookmarkEnd w:id="28"/>
    </w:p>
    <w:p w14:paraId="10204A05" w14:textId="77777777" w:rsidR="001A3E86" w:rsidRDefault="001A3E86" w:rsidP="001A3E86">
      <w:pPr>
        <w:pStyle w:val="BodyText"/>
        <w:spacing w:after="0" w:line="360" w:lineRule="auto"/>
        <w:ind w:firstLine="720"/>
        <w:jc w:val="both"/>
        <w:rPr>
          <w:rFonts w:ascii="Arial" w:hAnsi="Arial" w:cs="Arial"/>
          <w:sz w:val="24"/>
          <w:szCs w:val="24"/>
        </w:rPr>
      </w:pPr>
    </w:p>
    <w:p w14:paraId="41C4548B"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De acuerdo con el objetivo general de analizar la espiritualidad de las drogas enteogénicas del mundo precolombino estudiada por Quirce-Balma desde la teología intercultural y después de estudiar las publicaciones de este autor, se escoge la siguiente muestra:</w:t>
      </w:r>
    </w:p>
    <w:p w14:paraId="23EC3137" w14:textId="77777777" w:rsidR="001A3E86" w:rsidRPr="004F609D" w:rsidRDefault="001A3E86" w:rsidP="001A3E86">
      <w:pPr>
        <w:pStyle w:val="BodyText"/>
        <w:spacing w:after="0" w:line="360" w:lineRule="auto"/>
        <w:ind w:left="108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a) Quirce-Balma, C. M. (1994). Señor Dios Príncipe de las</w:t>
      </w:r>
      <w:r w:rsidR="002E6139">
        <w:rPr>
          <w:rFonts w:ascii="Times New Roman" w:hAnsi="Times New Roman" w:cs="Times New Roman"/>
          <w:sz w:val="24"/>
          <w:szCs w:val="24"/>
          <w:lang w:val="es-CR"/>
        </w:rPr>
        <w:t xml:space="preserve"> flores. Ciencias Sociales, 65,</w:t>
      </w:r>
      <w:r w:rsidR="001B7D44">
        <w:rPr>
          <w:rFonts w:ascii="Times New Roman" w:hAnsi="Times New Roman" w:cs="Times New Roman"/>
          <w:sz w:val="24"/>
          <w:szCs w:val="24"/>
          <w:lang w:val="es-CR"/>
        </w:rPr>
        <w:t xml:space="preserve"> </w:t>
      </w:r>
      <w:r w:rsidR="002E6139">
        <w:rPr>
          <w:rFonts w:ascii="Times New Roman" w:hAnsi="Times New Roman" w:cs="Times New Roman"/>
          <w:sz w:val="24"/>
          <w:szCs w:val="24"/>
          <w:lang w:val="es-CR"/>
        </w:rPr>
        <w:t xml:space="preserve">pp. </w:t>
      </w:r>
      <w:r w:rsidRPr="004F609D">
        <w:rPr>
          <w:rFonts w:ascii="Times New Roman" w:hAnsi="Times New Roman" w:cs="Times New Roman"/>
          <w:sz w:val="24"/>
          <w:szCs w:val="24"/>
          <w:lang w:val="es-CR"/>
        </w:rPr>
        <w:t>149-163. En el texto se destaca metafóricamente la experiencia chamánica. Se muestra el estado “normal” caracterizado fenomenológicamente por la contraposición entre lo tuyo y lo mío, que nutre el pensamiento del ser como real y dejar de ser como maldito a ser: el tener de un aquí y un allá en la ausencia de esto o de aquello y el antiser en pobreza. En cambio, en lo alucinatorio, lo engrámico y lo arquetipal, se tiene el sentido en donde se es, fue y será simultáneo: el ser así, mediante la concreción del ser y el antiser. El perder de vista el proceso lleva a la confusión entre lo mío como esto de yo y aquello como esto de vosotros, origen de la falsa demarcación propuesta por la paranoia. De modo que lo nuestro es una lucha entre lo mío y lo vuestro. Dilema solucionado por los incas al establecer el poder como “aquello” donde lo “tuyo” no niega lo “mío”, solución que cae al olvido por el “advenimiento del desastre en el pensamiento y el lenguaje adrede de lo experiencial” (Quirce-Balma, 1994, p. 151).</w:t>
      </w:r>
    </w:p>
    <w:p w14:paraId="3728C0DB" w14:textId="77777777" w:rsidR="001A3E86" w:rsidRPr="004F609D" w:rsidRDefault="001A3E86" w:rsidP="001A3E86">
      <w:pPr>
        <w:pStyle w:val="BodyText"/>
        <w:spacing w:after="0" w:line="360" w:lineRule="auto"/>
        <w:ind w:left="108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b) Quirce-Balma, C. y Maickel, R. (2009). Los alucinógenos y los teoremas de “Gating” en la acción psicofarmacológica alucinatoria y en la esquizofrenia. Revista Costarricens</w:t>
      </w:r>
      <w:r w:rsidR="002E6139">
        <w:rPr>
          <w:rFonts w:ascii="Times New Roman" w:hAnsi="Times New Roman" w:cs="Times New Roman"/>
          <w:sz w:val="24"/>
          <w:szCs w:val="24"/>
          <w:lang w:val="es-CR"/>
        </w:rPr>
        <w:t>e de Psicología, 28 (41-42),</w:t>
      </w:r>
      <w:r w:rsidR="001B7D44">
        <w:rPr>
          <w:rFonts w:ascii="Times New Roman" w:hAnsi="Times New Roman" w:cs="Times New Roman"/>
          <w:sz w:val="24"/>
          <w:szCs w:val="24"/>
          <w:lang w:val="es-CR"/>
        </w:rPr>
        <w:t xml:space="preserve"> </w:t>
      </w:r>
      <w:r w:rsidR="002E6139">
        <w:rPr>
          <w:rFonts w:ascii="Times New Roman" w:hAnsi="Times New Roman" w:cs="Times New Roman"/>
          <w:sz w:val="24"/>
          <w:szCs w:val="24"/>
          <w:lang w:val="es-CR"/>
        </w:rPr>
        <w:t xml:space="preserve">pp. </w:t>
      </w:r>
      <w:r w:rsidRPr="004F609D">
        <w:rPr>
          <w:rFonts w:ascii="Times New Roman" w:hAnsi="Times New Roman" w:cs="Times New Roman"/>
          <w:sz w:val="24"/>
          <w:szCs w:val="24"/>
          <w:lang w:val="es-CR"/>
        </w:rPr>
        <w:t xml:space="preserve">85-99. Trabajo interdisciplinario (psicofarmacología, antropología, religión y botánica) en el que se pretende establecer las diferencias entre los EAC generados por estados típicos de la esquizofrenia y fármacos botánicos, dentro de determinados contextos culturales, sea del aborigen precolombino (también del actual) así </w:t>
      </w:r>
      <w:r w:rsidRPr="004F609D">
        <w:rPr>
          <w:rFonts w:ascii="Times New Roman" w:hAnsi="Times New Roman" w:cs="Times New Roman"/>
          <w:sz w:val="24"/>
          <w:szCs w:val="24"/>
          <w:lang w:val="es-CR"/>
        </w:rPr>
        <w:lastRenderedPageBreak/>
        <w:t>como el de la brujería medieval. Se clasifican los psicodélicos y se trata el teorema del déficit del portonazo o el Gating déficit, correspondiente al proceso neuronal cerebral: la corteza-el estriatum-el tálamo y de nuevo la corteza.</w:t>
      </w:r>
    </w:p>
    <w:p w14:paraId="317B5C0A" w14:textId="77777777" w:rsidR="001A3E86" w:rsidRPr="004F609D" w:rsidRDefault="001A3E86" w:rsidP="001A3E86">
      <w:pPr>
        <w:pStyle w:val="BodyText"/>
        <w:spacing w:after="0" w:line="360" w:lineRule="auto"/>
        <w:ind w:left="108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c) Quirce-Balma, C.M., Tyler, V. &amp; Maickel, R. P. (1988). Concepciones culturales de los estados alterados de la conciencia. Neuroeje: Asociación Costarricense de Ciencias Neuróticas, 6,</w:t>
      </w:r>
      <w:r w:rsidR="001B7D44">
        <w:rPr>
          <w:rFonts w:ascii="Times New Roman" w:hAnsi="Times New Roman" w:cs="Times New Roman"/>
          <w:sz w:val="24"/>
          <w:szCs w:val="24"/>
          <w:lang w:val="es-CR"/>
        </w:rPr>
        <w:t xml:space="preserve"> </w:t>
      </w:r>
      <w:r w:rsidR="002E6139">
        <w:rPr>
          <w:rFonts w:ascii="Times New Roman" w:hAnsi="Times New Roman" w:cs="Times New Roman"/>
          <w:sz w:val="24"/>
          <w:szCs w:val="24"/>
          <w:lang w:val="es-CR"/>
        </w:rPr>
        <w:t xml:space="preserve">pp. </w:t>
      </w:r>
      <w:r w:rsidRPr="004F609D">
        <w:rPr>
          <w:rFonts w:ascii="Times New Roman" w:hAnsi="Times New Roman" w:cs="Times New Roman"/>
          <w:sz w:val="24"/>
          <w:szCs w:val="24"/>
          <w:lang w:val="es-CR"/>
        </w:rPr>
        <w:t xml:space="preserve">15-30. Se trata de una exposición de tradiciones espirituales que han utilizado los EAC para su desarrollo. Dichas tradiciones son analizadas desde un enfoque etnofarmacológico y neurológico, y entre éstas las que destaca la mística medieval, los movimientos religiosos orientales (principalmente budismo e hinduismo) y las espiritualidades indígenas.  </w:t>
      </w:r>
    </w:p>
    <w:p w14:paraId="6486B43D" w14:textId="77777777" w:rsidR="001A3E86" w:rsidRPr="004F609D" w:rsidRDefault="001A3E86" w:rsidP="001A3E86">
      <w:pPr>
        <w:pStyle w:val="BodyText"/>
        <w:spacing w:after="0" w:line="360" w:lineRule="auto"/>
        <w:ind w:left="108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d) Quirce-Balma, C. M. (1976). Estados Alterados de Conciencia. Revista de Filosofía de la Universid</w:t>
      </w:r>
      <w:r w:rsidR="002E6139">
        <w:rPr>
          <w:rFonts w:ascii="Times New Roman" w:hAnsi="Times New Roman" w:cs="Times New Roman"/>
          <w:sz w:val="24"/>
          <w:szCs w:val="24"/>
          <w:lang w:val="es-CR"/>
        </w:rPr>
        <w:t>ad de Costa Rica. Vol. 16 n. 38,</w:t>
      </w:r>
      <w:r w:rsidRPr="004F609D">
        <w:rPr>
          <w:rFonts w:ascii="Times New Roman" w:hAnsi="Times New Roman" w:cs="Times New Roman"/>
          <w:sz w:val="24"/>
          <w:szCs w:val="24"/>
          <w:lang w:val="es-CR"/>
        </w:rPr>
        <w:t xml:space="preserve"> </w:t>
      </w:r>
      <w:r w:rsidR="002E6139">
        <w:rPr>
          <w:rFonts w:ascii="Times New Roman" w:hAnsi="Times New Roman" w:cs="Times New Roman"/>
          <w:sz w:val="24"/>
          <w:szCs w:val="24"/>
          <w:lang w:val="es-CR"/>
        </w:rPr>
        <w:t xml:space="preserve">pp. </w:t>
      </w:r>
      <w:r w:rsidRPr="004F609D">
        <w:rPr>
          <w:rFonts w:ascii="Times New Roman" w:hAnsi="Times New Roman" w:cs="Times New Roman"/>
          <w:sz w:val="24"/>
          <w:szCs w:val="24"/>
          <w:lang w:val="es-CR"/>
        </w:rPr>
        <w:t>15-24. Estudio de los EAC originados por meditación, consumo de enteógenos y esquizofrenia. Se muestran los mecanismos de rechazo social y de aceptación de la experiencia de los EAC.</w:t>
      </w:r>
    </w:p>
    <w:p w14:paraId="1EBD6260" w14:textId="77777777" w:rsidR="001A3E86" w:rsidRPr="004F609D" w:rsidRDefault="001A3E86" w:rsidP="001A3E86">
      <w:pPr>
        <w:pStyle w:val="BodyText"/>
        <w:spacing w:after="0" w:line="360" w:lineRule="auto"/>
        <w:ind w:left="108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e) Quirce-Balma, C. M. (2010). El chamanismo y las drogas enteogénicas/alucinatorias del mundo precolombino. Revista Costarricense de Psicología, Vol. 29, n. 43. pp. 1-15. Análisis de diversas teorías en torno al chamanismo de la antigüedad y actual, con interpretación neurofisiológica de estados alterados/alternativos de conciencia. Contraposición a la propuesta de Mircea Eliade, por inclusión del análisis de antropológico psicodélico. Importancia enteogénica de las plantas psicodélicas de las Américas.</w:t>
      </w:r>
    </w:p>
    <w:p w14:paraId="6273CB06" w14:textId="77777777" w:rsidR="001A3E86" w:rsidRPr="004F609D" w:rsidRDefault="001A3E86" w:rsidP="001A3E86">
      <w:pPr>
        <w:pStyle w:val="BodyText"/>
        <w:spacing w:after="0" w:line="360" w:lineRule="auto"/>
        <w:ind w:left="108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f) Quirce-Balma, C. M. (2010, 7 de abril). Algunas Reflexiones sobre el Chamanismo. Semanario Universidad, 1845. Importancia antropológica del chamán en el paleolítico y el neolítico. Estudio del chamanismo actual, más que todo del amazónico, y la discusión científica sobre las capacidades chamánicas. Se contrasta esta posición con la tradición antropológica de Mircea Eliade.</w:t>
      </w:r>
    </w:p>
    <w:p w14:paraId="0F409055" w14:textId="77777777" w:rsidR="001A3E86" w:rsidRPr="004F609D" w:rsidRDefault="001A3E86" w:rsidP="001A3E86">
      <w:pPr>
        <w:pStyle w:val="BodyText"/>
        <w:spacing w:after="0" w:line="360" w:lineRule="auto"/>
        <w:ind w:left="108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g) Quirce-Balma, C. M. (2010). El modelo arriba y debajo de la conciencia. Revista Reflexiones, 90 (1). pp. 195-214. Explica la trasmutación de dioses a demonios y viceversa, en alusión a diversas culturas. Puede ser considerado un </w:t>
      </w:r>
      <w:r w:rsidRPr="004F609D">
        <w:rPr>
          <w:rFonts w:ascii="Times New Roman" w:hAnsi="Times New Roman" w:cs="Times New Roman"/>
          <w:sz w:val="24"/>
          <w:szCs w:val="24"/>
          <w:lang w:val="es-CR"/>
        </w:rPr>
        <w:lastRenderedPageBreak/>
        <w:t>acercamiento a determinada mítica talamanqueña bribrí, a través de implicaciones etnofarmacológicas y botánicas.</w:t>
      </w:r>
    </w:p>
    <w:p w14:paraId="3AEDB69D" w14:textId="77777777" w:rsidR="001A3E86" w:rsidRPr="004F609D" w:rsidRDefault="001A3E86" w:rsidP="001A3E86">
      <w:pPr>
        <w:pStyle w:val="BodyText"/>
        <w:spacing w:after="0" w:line="360" w:lineRule="auto"/>
        <w:ind w:left="108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h) Quirce-Balma, C. M &amp; alt. (2010). Los alucinógenos: su historia, antropología, química y farmacología. Psicogente, 13 (23): pp. 174-192. Se estudia la historia, la antropología, la química y la farmacología de las sustancias alucinógenas, desde la Antigüedad hasta la actualidad, pretendiendo ser así la contraparte a posiciones condenatorias del uso ritual y terapéutico de estas sustancias. Se estudia también el “set de anticipación” y tres fases de la experiencia alucinatoria.</w:t>
      </w:r>
    </w:p>
    <w:p w14:paraId="4C83858B" w14:textId="77777777" w:rsidR="001A3E86" w:rsidRPr="004F609D" w:rsidRDefault="001A3E86" w:rsidP="001A3E86">
      <w:pPr>
        <w:rPr>
          <w:rFonts w:ascii="Arial" w:hAnsi="Arial" w:cs="Arial"/>
          <w:sz w:val="24"/>
          <w:szCs w:val="24"/>
          <w:lang w:val="es-CR"/>
        </w:rPr>
      </w:pPr>
    </w:p>
    <w:p w14:paraId="6CA6FD89" w14:textId="77777777" w:rsidR="001A3E86" w:rsidRPr="004F609D" w:rsidRDefault="001A3E86" w:rsidP="001A3E86">
      <w:pPr>
        <w:pStyle w:val="ListParagraph"/>
        <w:numPr>
          <w:ilvl w:val="3"/>
          <w:numId w:val="2"/>
        </w:numPr>
        <w:jc w:val="both"/>
        <w:rPr>
          <w:rFonts w:ascii="Times New Roman" w:hAnsi="Times New Roman" w:cs="Times New Roman"/>
          <w:b/>
          <w:sz w:val="24"/>
          <w:szCs w:val="24"/>
          <w:lang w:val="es-CR"/>
        </w:rPr>
      </w:pPr>
      <w:bookmarkStart w:id="29" w:name="_Toc474090229"/>
      <w:r w:rsidRPr="00A855C8">
        <w:rPr>
          <w:rStyle w:val="Heading2Char"/>
          <w:rFonts w:ascii="Times New Roman" w:eastAsiaTheme="minorHAnsi" w:hAnsi="Times New Roman"/>
          <w:color w:val="auto"/>
          <w:sz w:val="24"/>
          <w:szCs w:val="24"/>
        </w:rPr>
        <w:t>Recopilación y sistematización de la información documental</w:t>
      </w:r>
      <w:bookmarkEnd w:id="29"/>
      <w:r w:rsidRPr="004F609D">
        <w:rPr>
          <w:rFonts w:ascii="Times New Roman" w:hAnsi="Times New Roman" w:cs="Times New Roman"/>
          <w:b/>
          <w:sz w:val="24"/>
          <w:szCs w:val="24"/>
          <w:lang w:val="es-CR"/>
        </w:rPr>
        <w:t>.</w:t>
      </w:r>
    </w:p>
    <w:p w14:paraId="5D595B04" w14:textId="77777777" w:rsidR="001A3E86" w:rsidRPr="004F609D" w:rsidRDefault="001A3E86" w:rsidP="001A3E86">
      <w:pPr>
        <w:spacing w:line="360" w:lineRule="auto"/>
        <w:ind w:firstLine="360"/>
        <w:jc w:val="both"/>
        <w:rPr>
          <w:rFonts w:ascii="Arial" w:hAnsi="Arial" w:cs="Arial"/>
          <w:sz w:val="24"/>
          <w:szCs w:val="24"/>
          <w:lang w:val="es-CR"/>
        </w:rPr>
      </w:pPr>
    </w:p>
    <w:p w14:paraId="4805982C" w14:textId="77777777" w:rsidR="001A3E86" w:rsidRPr="004F609D" w:rsidRDefault="001A3E86" w:rsidP="001A3E86">
      <w:pPr>
        <w:spacing w:line="360" w:lineRule="auto"/>
        <w:ind w:firstLine="36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información es recopilada y sistematizada de acuerdo con los objetivos específicos, los cuales responden a líneas esenciales de la teología intercultural, a saber:</w:t>
      </w:r>
    </w:p>
    <w:tbl>
      <w:tblPr>
        <w:tblStyle w:val="TableGrid"/>
        <w:tblW w:w="0" w:type="auto"/>
        <w:tblLook w:val="04A0" w:firstRow="1" w:lastRow="0" w:firstColumn="1" w:lastColumn="0" w:noHBand="0" w:noVBand="1"/>
      </w:tblPr>
      <w:tblGrid>
        <w:gridCol w:w="2983"/>
        <w:gridCol w:w="3057"/>
        <w:gridCol w:w="3014"/>
      </w:tblGrid>
      <w:tr w:rsidR="001A3E86" w:rsidRPr="00EF016B" w14:paraId="2A9582AD" w14:textId="77777777" w:rsidTr="00652EF1">
        <w:tc>
          <w:tcPr>
            <w:tcW w:w="3116" w:type="dxa"/>
          </w:tcPr>
          <w:p w14:paraId="19ABA328" w14:textId="77777777" w:rsidR="001A3E86" w:rsidRPr="00A855C8" w:rsidRDefault="001A3E86" w:rsidP="00652EF1">
            <w:pPr>
              <w:jc w:val="both"/>
              <w:rPr>
                <w:rFonts w:ascii="Times New Roman" w:hAnsi="Times New Roman" w:cs="Times New Roman"/>
                <w:sz w:val="24"/>
                <w:szCs w:val="24"/>
              </w:rPr>
            </w:pPr>
            <w:r w:rsidRPr="00A855C8">
              <w:rPr>
                <w:rFonts w:ascii="Times New Roman" w:hAnsi="Times New Roman" w:cs="Times New Roman"/>
                <w:sz w:val="24"/>
                <w:szCs w:val="24"/>
              </w:rPr>
              <w:t>Teología Intercultural</w:t>
            </w:r>
          </w:p>
        </w:tc>
        <w:tc>
          <w:tcPr>
            <w:tcW w:w="3117" w:type="dxa"/>
          </w:tcPr>
          <w:p w14:paraId="689F00D5" w14:textId="77777777" w:rsidR="001A3E86" w:rsidRPr="00A855C8" w:rsidRDefault="001A3E86" w:rsidP="00652EF1">
            <w:pPr>
              <w:rPr>
                <w:rFonts w:ascii="Times New Roman" w:hAnsi="Times New Roman" w:cs="Times New Roman"/>
                <w:sz w:val="24"/>
                <w:szCs w:val="24"/>
              </w:rPr>
            </w:pPr>
            <w:r w:rsidRPr="00A855C8">
              <w:rPr>
                <w:rFonts w:ascii="Times New Roman" w:hAnsi="Times New Roman" w:cs="Times New Roman"/>
                <w:sz w:val="24"/>
                <w:szCs w:val="24"/>
              </w:rPr>
              <w:t>Objetivos</w:t>
            </w:r>
          </w:p>
        </w:tc>
        <w:tc>
          <w:tcPr>
            <w:tcW w:w="3117" w:type="dxa"/>
          </w:tcPr>
          <w:p w14:paraId="36EFDA46" w14:textId="77777777" w:rsidR="001A3E86" w:rsidRPr="00A855C8" w:rsidRDefault="001A3E86" w:rsidP="00652EF1">
            <w:pPr>
              <w:jc w:val="both"/>
              <w:rPr>
                <w:rFonts w:ascii="Times New Roman" w:hAnsi="Times New Roman" w:cs="Times New Roman"/>
                <w:sz w:val="24"/>
                <w:szCs w:val="24"/>
              </w:rPr>
            </w:pPr>
            <w:r>
              <w:rPr>
                <w:rFonts w:ascii="Times New Roman" w:hAnsi="Times New Roman" w:cs="Times New Roman"/>
                <w:sz w:val="24"/>
                <w:szCs w:val="24"/>
              </w:rPr>
              <w:t>Quirce-</w:t>
            </w:r>
            <w:r w:rsidRPr="00A855C8">
              <w:rPr>
                <w:rFonts w:ascii="Times New Roman" w:hAnsi="Times New Roman" w:cs="Times New Roman"/>
                <w:sz w:val="24"/>
                <w:szCs w:val="24"/>
              </w:rPr>
              <w:t>Balma</w:t>
            </w:r>
          </w:p>
        </w:tc>
      </w:tr>
      <w:tr w:rsidR="001A3E86" w:rsidRPr="004F609D" w14:paraId="0A7A1A90" w14:textId="77777777" w:rsidTr="00652EF1">
        <w:tc>
          <w:tcPr>
            <w:tcW w:w="3116" w:type="dxa"/>
          </w:tcPr>
          <w:p w14:paraId="44C2F91E" w14:textId="77777777" w:rsidR="001A3E86" w:rsidRPr="00A855C8" w:rsidRDefault="001A3E86" w:rsidP="00652EF1">
            <w:pPr>
              <w:jc w:val="both"/>
              <w:rPr>
                <w:rFonts w:ascii="Times New Roman" w:hAnsi="Times New Roman" w:cs="Times New Roman"/>
                <w:sz w:val="24"/>
                <w:szCs w:val="24"/>
              </w:rPr>
            </w:pPr>
            <w:r w:rsidRPr="00A855C8">
              <w:rPr>
                <w:rFonts w:ascii="Times New Roman" w:hAnsi="Times New Roman" w:cs="Times New Roman"/>
                <w:sz w:val="24"/>
                <w:szCs w:val="24"/>
              </w:rPr>
              <w:t xml:space="preserve">Diálogo y </w:t>
            </w:r>
            <w:r>
              <w:rPr>
                <w:rFonts w:ascii="Times New Roman" w:hAnsi="Times New Roman" w:cs="Times New Roman"/>
                <w:sz w:val="24"/>
                <w:szCs w:val="24"/>
              </w:rPr>
              <w:t>pluralism</w:t>
            </w:r>
            <w:r w:rsidR="002E6139">
              <w:rPr>
                <w:rFonts w:ascii="Times New Roman" w:hAnsi="Times New Roman" w:cs="Times New Roman"/>
                <w:sz w:val="24"/>
                <w:szCs w:val="24"/>
              </w:rPr>
              <w:t>o</w:t>
            </w:r>
          </w:p>
        </w:tc>
        <w:tc>
          <w:tcPr>
            <w:tcW w:w="3117" w:type="dxa"/>
          </w:tcPr>
          <w:p w14:paraId="06DBDEAD" w14:textId="77777777" w:rsidR="001A3E86" w:rsidRPr="004F609D" w:rsidRDefault="001A3E86" w:rsidP="00652EF1">
            <w:pPr>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Establecer un primer acercamiento dialógico entre la psicoetnofarmacología de Quirce-Balma, la teología intercultural, la teología de la liberación y la teología tradicional</w:t>
            </w:r>
          </w:p>
        </w:tc>
        <w:tc>
          <w:tcPr>
            <w:tcW w:w="3117" w:type="dxa"/>
          </w:tcPr>
          <w:p w14:paraId="3BFA401B" w14:textId="77777777" w:rsidR="001A3E86" w:rsidRPr="004F609D" w:rsidRDefault="001A3E86" w:rsidP="00652EF1">
            <w:pPr>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Mundo precolombino, enteógenos, etnofarmacología y Estados Alterados de Conciencia</w:t>
            </w:r>
          </w:p>
        </w:tc>
      </w:tr>
      <w:tr w:rsidR="001A3E86" w:rsidRPr="00EF016B" w14:paraId="15F6529D" w14:textId="77777777" w:rsidTr="00652EF1">
        <w:tc>
          <w:tcPr>
            <w:tcW w:w="3116" w:type="dxa"/>
          </w:tcPr>
          <w:p w14:paraId="0959B61F" w14:textId="77777777" w:rsidR="001A3E86" w:rsidRPr="00A855C8" w:rsidRDefault="001A3E86" w:rsidP="00652EF1">
            <w:pPr>
              <w:jc w:val="both"/>
              <w:rPr>
                <w:rFonts w:ascii="Times New Roman" w:hAnsi="Times New Roman" w:cs="Times New Roman"/>
                <w:sz w:val="24"/>
                <w:szCs w:val="24"/>
              </w:rPr>
            </w:pPr>
            <w:r w:rsidRPr="00A855C8">
              <w:rPr>
                <w:rFonts w:ascii="Times New Roman" w:hAnsi="Times New Roman" w:cs="Times New Roman"/>
                <w:sz w:val="24"/>
                <w:szCs w:val="24"/>
              </w:rPr>
              <w:t>Memorias culturales</w:t>
            </w:r>
          </w:p>
        </w:tc>
        <w:tc>
          <w:tcPr>
            <w:tcW w:w="3117" w:type="dxa"/>
          </w:tcPr>
          <w:p w14:paraId="51AC7264" w14:textId="77777777" w:rsidR="001A3E86" w:rsidRPr="004F609D" w:rsidRDefault="001A3E86" w:rsidP="00652EF1">
            <w:pPr>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Distinguir la espiritualidad de las drogas enteogénicas del mundo precolombino como memoria cultural</w:t>
            </w:r>
          </w:p>
        </w:tc>
        <w:tc>
          <w:tcPr>
            <w:tcW w:w="3117" w:type="dxa"/>
          </w:tcPr>
          <w:p w14:paraId="5FAD49D5" w14:textId="77777777" w:rsidR="001A3E86" w:rsidRPr="00DE5E16" w:rsidRDefault="001A3E86" w:rsidP="00652EF1">
            <w:pPr>
              <w:jc w:val="both"/>
              <w:rPr>
                <w:rFonts w:ascii="Times New Roman" w:hAnsi="Times New Roman" w:cs="Times New Roman"/>
                <w:sz w:val="24"/>
                <w:szCs w:val="24"/>
              </w:rPr>
            </w:pPr>
            <w:r w:rsidRPr="00DE5E16">
              <w:rPr>
                <w:rFonts w:ascii="Times New Roman" w:hAnsi="Times New Roman" w:cs="Times New Roman"/>
                <w:sz w:val="24"/>
                <w:szCs w:val="24"/>
              </w:rPr>
              <w:t>Ontopraxis</w:t>
            </w:r>
          </w:p>
        </w:tc>
      </w:tr>
      <w:tr w:rsidR="001A3E86" w:rsidRPr="00EF016B" w14:paraId="2FA1A7BF" w14:textId="77777777" w:rsidTr="00652EF1">
        <w:tc>
          <w:tcPr>
            <w:tcW w:w="3116" w:type="dxa"/>
          </w:tcPr>
          <w:p w14:paraId="25CC0988" w14:textId="77777777" w:rsidR="001A3E86" w:rsidRPr="00DE5E16" w:rsidRDefault="001A3E86" w:rsidP="00652EF1">
            <w:pPr>
              <w:rPr>
                <w:rFonts w:ascii="Times New Roman" w:hAnsi="Times New Roman" w:cs="Times New Roman"/>
                <w:sz w:val="24"/>
                <w:szCs w:val="24"/>
              </w:rPr>
            </w:pPr>
            <w:r w:rsidRPr="00DE5E16">
              <w:rPr>
                <w:rFonts w:ascii="Times New Roman" w:hAnsi="Times New Roman" w:cs="Times New Roman"/>
                <w:sz w:val="24"/>
                <w:szCs w:val="24"/>
              </w:rPr>
              <w:t>Dignificación del mundo</w:t>
            </w:r>
          </w:p>
        </w:tc>
        <w:tc>
          <w:tcPr>
            <w:tcW w:w="3117" w:type="dxa"/>
          </w:tcPr>
          <w:p w14:paraId="1F967E99" w14:textId="77777777" w:rsidR="001A3E86" w:rsidRPr="004F609D" w:rsidRDefault="001A3E86" w:rsidP="00652EF1">
            <w:pPr>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Reconocer los aportes de la espiritualidad de las drogas enteogénicas del mundo precolombino estudiada por Quirce-Balma en el enriquecimiento de la teología intercultural</w:t>
            </w:r>
          </w:p>
        </w:tc>
        <w:tc>
          <w:tcPr>
            <w:tcW w:w="3117" w:type="dxa"/>
          </w:tcPr>
          <w:p w14:paraId="6B838567" w14:textId="77777777" w:rsidR="001A3E86" w:rsidRPr="00DE5E16" w:rsidRDefault="001A3E86" w:rsidP="00652EF1">
            <w:pPr>
              <w:jc w:val="both"/>
              <w:rPr>
                <w:rFonts w:ascii="Times New Roman" w:hAnsi="Times New Roman" w:cs="Times New Roman"/>
                <w:sz w:val="24"/>
                <w:szCs w:val="24"/>
              </w:rPr>
            </w:pPr>
            <w:r w:rsidRPr="00DE5E16">
              <w:rPr>
                <w:rFonts w:ascii="Times New Roman" w:hAnsi="Times New Roman" w:cs="Times New Roman"/>
                <w:sz w:val="24"/>
                <w:szCs w:val="24"/>
              </w:rPr>
              <w:t>Milieu teológico</w:t>
            </w:r>
          </w:p>
        </w:tc>
      </w:tr>
    </w:tbl>
    <w:p w14:paraId="67AD1071" w14:textId="77777777" w:rsidR="001A3E86" w:rsidRDefault="001A3E86" w:rsidP="001A3E86">
      <w:pPr>
        <w:rPr>
          <w:rFonts w:ascii="Arial" w:hAnsi="Arial" w:cs="Arial"/>
          <w:sz w:val="24"/>
          <w:szCs w:val="24"/>
        </w:rPr>
      </w:pPr>
    </w:p>
    <w:p w14:paraId="755CB8E2" w14:textId="77777777" w:rsidR="001A3E86" w:rsidRPr="00EF016B" w:rsidRDefault="001A3E86" w:rsidP="001A3E86">
      <w:pPr>
        <w:rPr>
          <w:rFonts w:ascii="Arial" w:hAnsi="Arial" w:cs="Arial"/>
          <w:sz w:val="24"/>
          <w:szCs w:val="24"/>
        </w:rPr>
      </w:pPr>
    </w:p>
    <w:p w14:paraId="012D9D48" w14:textId="77777777" w:rsidR="001A3E86" w:rsidRPr="00DE5E16" w:rsidRDefault="001A3E86" w:rsidP="001A3E86">
      <w:pPr>
        <w:pStyle w:val="Heading2"/>
        <w:numPr>
          <w:ilvl w:val="3"/>
          <w:numId w:val="2"/>
        </w:numPr>
        <w:jc w:val="both"/>
        <w:rPr>
          <w:rFonts w:ascii="Times New Roman" w:hAnsi="Times New Roman"/>
          <w:color w:val="auto"/>
          <w:sz w:val="24"/>
          <w:szCs w:val="24"/>
        </w:rPr>
      </w:pPr>
      <w:bookmarkStart w:id="30" w:name="_Toc474090230"/>
      <w:r w:rsidRPr="00DE5E16">
        <w:rPr>
          <w:rFonts w:ascii="Times New Roman" w:hAnsi="Times New Roman"/>
          <w:color w:val="auto"/>
          <w:sz w:val="24"/>
          <w:szCs w:val="24"/>
        </w:rPr>
        <w:lastRenderedPageBreak/>
        <w:t>Procedimientos de análisis de la información:</w:t>
      </w:r>
      <w:bookmarkEnd w:id="30"/>
      <w:r w:rsidRPr="00DE5E16">
        <w:rPr>
          <w:rFonts w:ascii="Times New Roman" w:hAnsi="Times New Roman"/>
          <w:color w:val="auto"/>
          <w:sz w:val="24"/>
          <w:szCs w:val="24"/>
        </w:rPr>
        <w:t xml:space="preserve"> </w:t>
      </w:r>
    </w:p>
    <w:p w14:paraId="4DF78B47" w14:textId="77777777" w:rsidR="001A3E86" w:rsidRPr="00A75608" w:rsidRDefault="001A3E86" w:rsidP="001A3E86">
      <w:pPr>
        <w:rPr>
          <w:lang w:val="es-CR"/>
        </w:rPr>
      </w:pPr>
    </w:p>
    <w:p w14:paraId="2CA6FE82" w14:textId="77777777" w:rsidR="001A3E86" w:rsidRPr="004F609D" w:rsidRDefault="001A3E86" w:rsidP="001A3E86">
      <w:pPr>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En cuanto a los procedimientos se cuestiona cómo se va a analizar la información. Sobre esto cabe indicar que la información se va analizar desde el marco de la teología intercultural, desde sus premisas y busca cuestionar los presupuestos teológicos a partir del problema. En este sentido, se ponderan tres campos temáticos correspondientes a los objetivos específicos, mismos que se traducen en tres capítulos, a saber:</w:t>
      </w:r>
    </w:p>
    <w:p w14:paraId="1D7E8CC2" w14:textId="77777777" w:rsidR="001A3E86" w:rsidRPr="004F609D" w:rsidRDefault="001A3E86" w:rsidP="001A3E86">
      <w:pPr>
        <w:pStyle w:val="BodyText"/>
        <w:numPr>
          <w:ilvl w:val="0"/>
          <w:numId w:val="4"/>
        </w:numPr>
        <w:spacing w:after="0" w:line="360" w:lineRule="auto"/>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Etnopsicofarmacología y teología: Este primer capítulo versa sobre un acercamiento dialógico entre la etnofarmacología de Quirce-Balma, la teología intercultural, la teología de la liberación y la teología tradicional. Destaca al respecto el abordaje del consumo farmacológico por parte de la teología tradicional, con los conceptos santidad y brujería.</w:t>
      </w:r>
    </w:p>
    <w:p w14:paraId="1AEAA58D" w14:textId="77777777" w:rsidR="001A3E86" w:rsidRPr="004F609D" w:rsidRDefault="001A3E86" w:rsidP="001A3E86">
      <w:pPr>
        <w:pStyle w:val="BodyText"/>
        <w:numPr>
          <w:ilvl w:val="0"/>
          <w:numId w:val="4"/>
        </w:numPr>
        <w:spacing w:after="0" w:line="360" w:lineRule="auto"/>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memoria cultural y la ontopraxis: Este segundo capítulo pone sobre la mesa la linealidad del tiempo en la espiritualidad de las drogas enteogénicas del mundo precolombino, introducción a cosmovisiones que no se enmarcan en la estrechez del paradigma de la Historia con carácter universal. Al respecto problematiza el paradigma historicista totalizante con el concepto de ontopraxis. Interpretaciones de Quirce-Balma por las que se busca entender aquellas memorias históricas que han sido excluidas de la Historia universal.</w:t>
      </w:r>
    </w:p>
    <w:p w14:paraId="36DDD91B" w14:textId="77777777" w:rsidR="001A3E86" w:rsidRPr="004F609D" w:rsidRDefault="001A3E86" w:rsidP="001A3E86">
      <w:pPr>
        <w:pStyle w:val="BodyText"/>
        <w:numPr>
          <w:ilvl w:val="0"/>
          <w:numId w:val="4"/>
        </w:numPr>
        <w:spacing w:after="0" w:line="360" w:lineRule="auto"/>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Milieu Teológico: en este tercer capítulo la espiritualidad de las drogas enteogénicas del mundo precolombino, estudiada por Quirce-Balma, es considerada en cuento al aporte que da a la teología intercultural, pues tanto esta como el Milieu teológico sustentada en esta espiritualidad buscan una dignificación del mundo.</w:t>
      </w:r>
    </w:p>
    <w:p w14:paraId="77DEB433" w14:textId="77777777" w:rsidR="001A3E86" w:rsidRPr="004F609D" w:rsidRDefault="001A3E86" w:rsidP="001A3E86">
      <w:pPr>
        <w:pStyle w:val="BodyText"/>
        <w:spacing w:after="0" w:line="360" w:lineRule="auto"/>
        <w:ind w:firstLine="720"/>
        <w:jc w:val="both"/>
        <w:rPr>
          <w:rFonts w:ascii="Arial" w:hAnsi="Arial" w:cs="Arial"/>
          <w:sz w:val="24"/>
          <w:szCs w:val="24"/>
          <w:lang w:val="es-CR"/>
        </w:rPr>
      </w:pPr>
    </w:p>
    <w:p w14:paraId="35B40F19" w14:textId="77777777" w:rsidR="001A3E86" w:rsidRPr="004F609D" w:rsidRDefault="001A3E86" w:rsidP="001A3E86">
      <w:pPr>
        <w:pStyle w:val="BodyText"/>
        <w:spacing w:after="0" w:line="360" w:lineRule="auto"/>
        <w:ind w:firstLine="720"/>
        <w:jc w:val="both"/>
        <w:rPr>
          <w:rFonts w:ascii="Arial" w:hAnsi="Arial" w:cs="Arial"/>
          <w:sz w:val="24"/>
          <w:szCs w:val="24"/>
          <w:lang w:val="es-CR"/>
        </w:rPr>
      </w:pPr>
    </w:p>
    <w:p w14:paraId="57B4149D" w14:textId="77777777" w:rsidR="001A3E86" w:rsidRPr="004F609D" w:rsidRDefault="001A3E86" w:rsidP="001A3E86">
      <w:pPr>
        <w:pStyle w:val="BodyText"/>
        <w:spacing w:after="0" w:line="360" w:lineRule="auto"/>
        <w:ind w:firstLine="720"/>
        <w:jc w:val="both"/>
        <w:rPr>
          <w:rFonts w:ascii="Arial" w:hAnsi="Arial" w:cs="Arial"/>
          <w:sz w:val="24"/>
          <w:szCs w:val="24"/>
          <w:lang w:val="es-CR"/>
        </w:rPr>
      </w:pPr>
    </w:p>
    <w:p w14:paraId="32879F68" w14:textId="77777777" w:rsidR="001A3E86" w:rsidRPr="004F609D" w:rsidRDefault="001A3E86" w:rsidP="001A3E86">
      <w:pPr>
        <w:pStyle w:val="BodyText"/>
        <w:spacing w:after="0" w:line="360" w:lineRule="auto"/>
        <w:ind w:firstLine="720"/>
        <w:jc w:val="both"/>
        <w:rPr>
          <w:rFonts w:ascii="Arial" w:hAnsi="Arial" w:cs="Arial"/>
          <w:sz w:val="24"/>
          <w:szCs w:val="24"/>
          <w:lang w:val="es-CR"/>
        </w:rPr>
      </w:pPr>
    </w:p>
    <w:p w14:paraId="17FB207E" w14:textId="77777777" w:rsidR="001A3E86" w:rsidRPr="004F609D" w:rsidRDefault="001A3E86" w:rsidP="001A3E86">
      <w:pPr>
        <w:spacing w:after="200" w:line="276" w:lineRule="auto"/>
        <w:rPr>
          <w:lang w:val="es-CR"/>
        </w:rPr>
      </w:pPr>
    </w:p>
    <w:p w14:paraId="181A2EBC" w14:textId="77777777" w:rsidR="001A3E86" w:rsidRPr="004F609D" w:rsidRDefault="001A3E86" w:rsidP="001A3E86">
      <w:pPr>
        <w:spacing w:after="200" w:line="276" w:lineRule="auto"/>
        <w:rPr>
          <w:lang w:val="es-CR"/>
        </w:rPr>
      </w:pPr>
    </w:p>
    <w:p w14:paraId="3F7F952C" w14:textId="77777777" w:rsidR="001A3E86" w:rsidRPr="004F609D" w:rsidRDefault="001A3E86" w:rsidP="001A3E86">
      <w:pPr>
        <w:spacing w:after="200" w:line="276" w:lineRule="auto"/>
        <w:rPr>
          <w:lang w:val="es-CR"/>
        </w:rPr>
      </w:pPr>
    </w:p>
    <w:p w14:paraId="1C8A9FA3" w14:textId="77777777" w:rsidR="001A3E86" w:rsidRDefault="001A3E86" w:rsidP="001A3E86">
      <w:pPr>
        <w:spacing w:after="200" w:line="276" w:lineRule="auto"/>
        <w:rPr>
          <w:lang w:val="es-CR"/>
        </w:rPr>
      </w:pPr>
    </w:p>
    <w:p w14:paraId="0D1B0437" w14:textId="77777777" w:rsidR="00B56345" w:rsidRDefault="00B56345" w:rsidP="001A3E86">
      <w:pPr>
        <w:spacing w:after="200" w:line="276" w:lineRule="auto"/>
        <w:rPr>
          <w:lang w:val="es-CR"/>
        </w:rPr>
      </w:pPr>
    </w:p>
    <w:p w14:paraId="607D56D8" w14:textId="77777777" w:rsidR="00B56345" w:rsidRDefault="00B56345" w:rsidP="001A3E86">
      <w:pPr>
        <w:spacing w:after="200" w:line="276" w:lineRule="auto"/>
        <w:rPr>
          <w:lang w:val="es-CR"/>
        </w:rPr>
      </w:pPr>
    </w:p>
    <w:p w14:paraId="43798465" w14:textId="77777777" w:rsidR="00B56345" w:rsidRDefault="00B56345" w:rsidP="001A3E86">
      <w:pPr>
        <w:spacing w:after="200" w:line="276" w:lineRule="auto"/>
        <w:rPr>
          <w:lang w:val="es-CR"/>
        </w:rPr>
      </w:pPr>
    </w:p>
    <w:p w14:paraId="27D8EE0F" w14:textId="77777777" w:rsidR="00B56345" w:rsidRDefault="00B56345" w:rsidP="001A3E86">
      <w:pPr>
        <w:spacing w:after="200" w:line="276" w:lineRule="auto"/>
        <w:rPr>
          <w:lang w:val="es-CR"/>
        </w:rPr>
      </w:pPr>
    </w:p>
    <w:p w14:paraId="48318758" w14:textId="77777777" w:rsidR="00B56345" w:rsidRDefault="00B56345" w:rsidP="001A3E86">
      <w:pPr>
        <w:spacing w:after="200" w:line="276" w:lineRule="auto"/>
        <w:rPr>
          <w:lang w:val="es-CR"/>
        </w:rPr>
      </w:pPr>
    </w:p>
    <w:p w14:paraId="2F222944" w14:textId="77777777" w:rsidR="00B56345" w:rsidRDefault="00B56345" w:rsidP="001A3E86">
      <w:pPr>
        <w:spacing w:after="200" w:line="276" w:lineRule="auto"/>
        <w:rPr>
          <w:lang w:val="es-CR"/>
        </w:rPr>
      </w:pPr>
    </w:p>
    <w:p w14:paraId="4C95D791" w14:textId="77777777" w:rsidR="00B56345" w:rsidRDefault="00B56345" w:rsidP="001A3E86">
      <w:pPr>
        <w:spacing w:after="200" w:line="276" w:lineRule="auto"/>
        <w:rPr>
          <w:lang w:val="es-CR"/>
        </w:rPr>
      </w:pPr>
    </w:p>
    <w:p w14:paraId="2B7BA28E" w14:textId="77777777" w:rsidR="00B56345" w:rsidRDefault="00B56345" w:rsidP="001A3E86">
      <w:pPr>
        <w:spacing w:after="200" w:line="276" w:lineRule="auto"/>
        <w:rPr>
          <w:lang w:val="es-CR"/>
        </w:rPr>
      </w:pPr>
    </w:p>
    <w:p w14:paraId="4117E300" w14:textId="77777777" w:rsidR="00B56345" w:rsidRDefault="00B56345" w:rsidP="001A3E86">
      <w:pPr>
        <w:spacing w:after="200" w:line="276" w:lineRule="auto"/>
        <w:rPr>
          <w:lang w:val="es-CR"/>
        </w:rPr>
      </w:pPr>
    </w:p>
    <w:p w14:paraId="4C6C406E" w14:textId="77777777" w:rsidR="00B56345" w:rsidRDefault="00B56345" w:rsidP="001A3E86">
      <w:pPr>
        <w:spacing w:after="200" w:line="276" w:lineRule="auto"/>
        <w:rPr>
          <w:lang w:val="es-CR"/>
        </w:rPr>
      </w:pPr>
    </w:p>
    <w:p w14:paraId="6FF09619" w14:textId="77777777" w:rsidR="00B56345" w:rsidRDefault="00B56345" w:rsidP="001A3E86">
      <w:pPr>
        <w:spacing w:after="200" w:line="276" w:lineRule="auto"/>
        <w:rPr>
          <w:lang w:val="es-CR"/>
        </w:rPr>
      </w:pPr>
    </w:p>
    <w:p w14:paraId="7BBB2AA0" w14:textId="77777777" w:rsidR="00B56345" w:rsidRDefault="00B56345" w:rsidP="001A3E86">
      <w:pPr>
        <w:spacing w:after="200" w:line="276" w:lineRule="auto"/>
        <w:rPr>
          <w:lang w:val="es-CR"/>
        </w:rPr>
      </w:pPr>
    </w:p>
    <w:p w14:paraId="565F2B8B" w14:textId="77777777" w:rsidR="00B56345" w:rsidRPr="004F609D" w:rsidRDefault="00B56345" w:rsidP="001A3E86">
      <w:pPr>
        <w:spacing w:after="200" w:line="276" w:lineRule="auto"/>
        <w:rPr>
          <w:lang w:val="es-CR"/>
        </w:rPr>
      </w:pPr>
    </w:p>
    <w:p w14:paraId="1C16513C" w14:textId="77777777" w:rsidR="001A3E86" w:rsidRPr="00DE5E16" w:rsidRDefault="00B56345" w:rsidP="001A3E86">
      <w:pPr>
        <w:pStyle w:val="Heading1"/>
        <w:rPr>
          <w:rFonts w:ascii="Times New Roman" w:hAnsi="Times New Roman"/>
          <w:sz w:val="24"/>
          <w:szCs w:val="24"/>
        </w:rPr>
      </w:pPr>
      <w:bookmarkStart w:id="31" w:name="_Toc474090231"/>
      <w:r>
        <w:rPr>
          <w:rFonts w:ascii="Times New Roman" w:hAnsi="Times New Roman"/>
          <w:sz w:val="24"/>
          <w:szCs w:val="24"/>
        </w:rPr>
        <w:t xml:space="preserve">Primer </w:t>
      </w:r>
      <w:r w:rsidR="001A3E86" w:rsidRPr="00DE5E16">
        <w:rPr>
          <w:rFonts w:ascii="Times New Roman" w:hAnsi="Times New Roman"/>
          <w:sz w:val="24"/>
          <w:szCs w:val="24"/>
        </w:rPr>
        <w:t>Capítulo</w:t>
      </w:r>
      <w:bookmarkEnd w:id="31"/>
      <w:r>
        <w:rPr>
          <w:rFonts w:ascii="Times New Roman" w:hAnsi="Times New Roman"/>
          <w:sz w:val="24"/>
          <w:szCs w:val="24"/>
        </w:rPr>
        <w:t xml:space="preserve"> </w:t>
      </w:r>
    </w:p>
    <w:p w14:paraId="1F372731" w14:textId="77777777" w:rsidR="001A3E86" w:rsidRPr="00DE5E16" w:rsidRDefault="001A3E86" w:rsidP="001A3E86">
      <w:pPr>
        <w:pStyle w:val="Heading1"/>
        <w:rPr>
          <w:rFonts w:ascii="Times New Roman" w:hAnsi="Times New Roman"/>
          <w:sz w:val="24"/>
          <w:szCs w:val="24"/>
        </w:rPr>
      </w:pPr>
      <w:bookmarkStart w:id="32" w:name="_Toc474090232"/>
      <w:r w:rsidRPr="00DE5E16">
        <w:rPr>
          <w:rFonts w:ascii="Times New Roman" w:hAnsi="Times New Roman"/>
          <w:sz w:val="24"/>
          <w:szCs w:val="24"/>
        </w:rPr>
        <w:t>La etnopsicofarmacología desde la reflexión teológica</w:t>
      </w:r>
      <w:bookmarkEnd w:id="32"/>
    </w:p>
    <w:p w14:paraId="21E745B7" w14:textId="77777777" w:rsidR="00B56345" w:rsidRDefault="00B56345" w:rsidP="001A3E86">
      <w:pPr>
        <w:pStyle w:val="NoSpacing"/>
        <w:spacing w:line="360" w:lineRule="auto"/>
        <w:ind w:firstLine="720"/>
        <w:jc w:val="both"/>
        <w:rPr>
          <w:rFonts w:ascii="Times New Roman" w:hAnsi="Times New Roman" w:cs="Times New Roman"/>
          <w:sz w:val="24"/>
          <w:szCs w:val="24"/>
          <w:lang w:val="es-CR"/>
        </w:rPr>
      </w:pPr>
    </w:p>
    <w:p w14:paraId="406A38D3"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Un acercamiento dialógico entre la psicoetnofarmacología de Quirce-Balma, la teología intercultural, la teología de la liberación y la teología tradicional, implica que estos campos temáticos, a manera de actores, se acerquen a una misma mesa con la posibilidad de interactuar sobre la espiritualidad farmacológica. Sirva como premisa considerar quién convoca y quiénes han de ser invitados, con el fin de lograr una discusión en que enriquezca la reflexión teológica, misma que versa sobre la relación entre la realidad y lo divino, tratado de ver cómo la religión expresa u opaca la espiritualidad. (Avendaño-Herrera, 2005, p. 206)</w:t>
      </w:r>
    </w:p>
    <w:p w14:paraId="4612CB19"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En este punto del camino la reflexión se suscita por la teología intercultural que llama a la mesa a la psicoetnofarmacología de Quirce-Balma, la teología de la liberación y </w:t>
      </w:r>
      <w:r w:rsidRPr="004F609D">
        <w:rPr>
          <w:rFonts w:ascii="Times New Roman" w:hAnsi="Times New Roman" w:cs="Times New Roman"/>
          <w:sz w:val="24"/>
          <w:szCs w:val="24"/>
          <w:lang w:val="es-CR"/>
        </w:rPr>
        <w:lastRenderedPageBreak/>
        <w:t>la teología tradicional, siendo menester conocer cada una según sus características esenciales y sus orientaciones con respecto al objeto de estudio.</w:t>
      </w:r>
    </w:p>
    <w:p w14:paraId="5A064CC1" w14:textId="77777777" w:rsidR="001A3E86" w:rsidRPr="004F609D" w:rsidRDefault="001A3E86" w:rsidP="001A3E86">
      <w:pPr>
        <w:spacing w:after="200" w:line="360" w:lineRule="auto"/>
        <w:ind w:firstLine="720"/>
        <w:jc w:val="both"/>
        <w:rPr>
          <w:rFonts w:ascii="Arial" w:hAnsi="Arial" w:cs="Arial"/>
          <w:sz w:val="24"/>
          <w:szCs w:val="24"/>
          <w:lang w:val="es-CR"/>
        </w:rPr>
      </w:pPr>
    </w:p>
    <w:p w14:paraId="3EBB7DAD" w14:textId="77777777" w:rsidR="001A3E86" w:rsidRPr="00DE5E16" w:rsidRDefault="001A3E86" w:rsidP="001A3E86">
      <w:pPr>
        <w:pStyle w:val="Heading2"/>
        <w:numPr>
          <w:ilvl w:val="0"/>
          <w:numId w:val="9"/>
        </w:numPr>
        <w:jc w:val="both"/>
        <w:rPr>
          <w:rFonts w:ascii="Times New Roman" w:hAnsi="Times New Roman"/>
          <w:color w:val="auto"/>
          <w:sz w:val="24"/>
          <w:szCs w:val="24"/>
        </w:rPr>
      </w:pPr>
      <w:bookmarkStart w:id="33" w:name="_Toc474090233"/>
      <w:r w:rsidRPr="00DE5E16">
        <w:rPr>
          <w:rFonts w:ascii="Times New Roman" w:hAnsi="Times New Roman"/>
          <w:color w:val="auto"/>
          <w:sz w:val="24"/>
          <w:szCs w:val="24"/>
        </w:rPr>
        <w:t>Un diálogo desde la teología intercultural</w:t>
      </w:r>
      <w:bookmarkEnd w:id="33"/>
      <w:r w:rsidRPr="00DE5E16">
        <w:rPr>
          <w:rFonts w:ascii="Times New Roman" w:hAnsi="Times New Roman"/>
          <w:color w:val="auto"/>
          <w:sz w:val="24"/>
          <w:szCs w:val="24"/>
        </w:rPr>
        <w:t xml:space="preserve"> </w:t>
      </w:r>
    </w:p>
    <w:p w14:paraId="39D12F76" w14:textId="77777777" w:rsidR="001A3E86" w:rsidRPr="00A75608" w:rsidRDefault="001A3E86" w:rsidP="001A3E86">
      <w:pPr>
        <w:rPr>
          <w:lang w:val="es-CR"/>
        </w:rPr>
      </w:pPr>
    </w:p>
    <w:p w14:paraId="2916A500"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teología intercultural busca un diálogo con voces o saberes que han sido callados por la Historia oficial, por un discurso que se ha impuesto como válido respecto a otras visiones de la realidad o cosmovisiones (Fornet-Betanourt, 2004 &amp; 2008). En este caso, antes de hablar de un diálogo con la teología intercultural, es más conveniente hablar de un diálogo desde la teología intercultural (Madrigal, 2008). A manera de metáfora, la teología intercultural es la que prepara la mesa para que dialoguen distintas formas de ver el mundo, en este caso la etnopsicofarmacología, la teología tradicional y la teología de la liberación.</w:t>
      </w:r>
    </w:p>
    <w:p w14:paraId="64C4B063"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Surgen entonces algunos inconvenientes, con la propuesta de Quirce-Balma, pues si bien se estaría a la escucha de las espiritualidades precolombinas, para ello se estaría recurriendo a un saber suscrito, de alguna forma, a un discurso científico, una matriz revestida de poder, que filtra lo que viene a ser considerado válido frente a visiones “mágicas o primitivas”, es decir, es con el discurso de la ciencia de Quirce-Balma que se entienden los saberes y experiencias espirituales derivadas del consumo enteogénico.</w:t>
      </w:r>
    </w:p>
    <w:p w14:paraId="68AFB96D"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En este caso, cabe cuestionarse porqué sería pertinente que en la mesa preparada por la teología intercultural solo se puede ingresar teniendo el visto bueno de la ciencia ¿Acaso no son válidas por sí mismas las experiencias espirituales de corte enteogénico ante una de índole no enteogénica, por ejemplo, una práctica meditativa u oracional? </w:t>
      </w:r>
    </w:p>
    <w:p w14:paraId="38698747"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Por otro lado, cabe cuestionar si es necesario recurrir a esta fundamentación científica para dialogar con la teología tradicional o la teología de la liberación, cuando estas no han tenido que recurrir a esta instrumentación para darse un lugar en este escenario dialógico o bien para referirse a lo espiritual. </w:t>
      </w:r>
    </w:p>
    <w:p w14:paraId="43779239"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Ante estos cuestionamientos, cabe indicar que lo que Quirce-Balma devela, como hombre de ciencia, es una bioquímica a nivel cerebral producto del consumo enteogénico catalogándola de forma similar a otras experiencias espirituales (Quirce-Balma, C. y Maickel, R., 2009), y que depende de una valoración cultural para que adquiera ese reconocimiento (Quirce-Balma, C.M., Tyler, V. &amp; Maickel, R. P., 1988). De este modo, </w:t>
      </w:r>
      <w:r w:rsidRPr="004F609D">
        <w:rPr>
          <w:rFonts w:ascii="Times New Roman" w:hAnsi="Times New Roman" w:cs="Times New Roman"/>
          <w:sz w:val="24"/>
          <w:szCs w:val="24"/>
          <w:lang w:val="es-CR"/>
        </w:rPr>
        <w:lastRenderedPageBreak/>
        <w:t>demuestra que existe una experiencia espiritual, que varía el método, no así de finalidad, y que su reconocimiento depende la sociedad.</w:t>
      </w:r>
    </w:p>
    <w:p w14:paraId="5D316FF8" w14:textId="77777777" w:rsidR="001A3E86" w:rsidRPr="004F609D" w:rsidRDefault="001A3E86" w:rsidP="001A3E86">
      <w:pPr>
        <w:pStyle w:val="BodyText"/>
        <w:spacing w:after="0" w:line="360" w:lineRule="auto"/>
        <w:ind w:firstLine="720"/>
        <w:jc w:val="both"/>
        <w:rPr>
          <w:rFonts w:ascii="Arial" w:hAnsi="Arial" w:cs="Arial"/>
          <w:sz w:val="24"/>
          <w:szCs w:val="24"/>
          <w:lang w:val="es-CR"/>
        </w:rPr>
      </w:pPr>
    </w:p>
    <w:p w14:paraId="4CA16013" w14:textId="77777777" w:rsidR="001A3E86" w:rsidRPr="00DE5E16" w:rsidRDefault="001A3E86" w:rsidP="001A3E86">
      <w:pPr>
        <w:pStyle w:val="Heading2"/>
        <w:numPr>
          <w:ilvl w:val="0"/>
          <w:numId w:val="9"/>
        </w:numPr>
        <w:jc w:val="both"/>
        <w:rPr>
          <w:rFonts w:ascii="Times New Roman" w:hAnsi="Times New Roman"/>
          <w:color w:val="auto"/>
          <w:sz w:val="24"/>
          <w:szCs w:val="24"/>
        </w:rPr>
      </w:pPr>
      <w:bookmarkStart w:id="34" w:name="_Toc474090234"/>
      <w:r w:rsidRPr="00DE5E16">
        <w:rPr>
          <w:rFonts w:ascii="Times New Roman" w:hAnsi="Times New Roman"/>
          <w:color w:val="auto"/>
          <w:sz w:val="24"/>
          <w:szCs w:val="24"/>
        </w:rPr>
        <w:t>El uso farmacológico desde la teología tradicional y la teología de la liberación</w:t>
      </w:r>
      <w:bookmarkEnd w:id="34"/>
    </w:p>
    <w:p w14:paraId="65EF90B7" w14:textId="77777777" w:rsidR="001A3E86" w:rsidRPr="00A75608" w:rsidRDefault="001A3E86" w:rsidP="001A3E86">
      <w:pPr>
        <w:rPr>
          <w:lang w:val="es-CR"/>
        </w:rPr>
      </w:pPr>
    </w:p>
    <w:p w14:paraId="328FB830"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noProof/>
          <w:sz w:val="24"/>
          <w:szCs w:val="24"/>
          <w:lang w:val="es-CR"/>
        </w:rPr>
        <w:t>La teología de la liberación si bien, como se ha indicado, presenta una diferencia considerable con la teología tradicional, en lo que respecta al reconocimiento de la experiencia espiritual derivada del consumo de fármacos, parece estar en un estado bastante similar a la teología tradicional. E</w:t>
      </w:r>
      <w:r w:rsidRPr="004F609D">
        <w:rPr>
          <w:rFonts w:ascii="Times New Roman" w:hAnsi="Times New Roman" w:cs="Times New Roman"/>
          <w:sz w:val="24"/>
          <w:szCs w:val="24"/>
          <w:lang w:val="es-CR"/>
        </w:rPr>
        <w:t xml:space="preserve">l abordaje que se ha dado a esta experiencia enteogénica desde la teología de la liberación ha sido escaso, como en el caso de la Doctrina de Santo Daime </w:t>
      </w:r>
      <w:sdt>
        <w:sdtPr>
          <w:rPr>
            <w:rFonts w:ascii="Times New Roman" w:hAnsi="Times New Roman" w:cs="Times New Roman"/>
            <w:sz w:val="24"/>
            <w:szCs w:val="24"/>
          </w:rPr>
          <w:id w:val="1864782656"/>
          <w:citation/>
        </w:sdtPr>
        <w:sdtContent>
          <w:r w:rsidRPr="005A4252">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Bof16 \l 22538 </w:instrText>
          </w:r>
          <w:r w:rsidRPr="005A4252">
            <w:rPr>
              <w:rFonts w:ascii="Times New Roman" w:hAnsi="Times New Roman" w:cs="Times New Roman"/>
              <w:sz w:val="24"/>
              <w:szCs w:val="24"/>
            </w:rPr>
            <w:fldChar w:fldCharType="separate"/>
          </w:r>
          <w:r w:rsidRPr="004F609D">
            <w:rPr>
              <w:rFonts w:ascii="Times New Roman" w:hAnsi="Times New Roman" w:cs="Times New Roman"/>
              <w:noProof/>
              <w:sz w:val="24"/>
              <w:szCs w:val="24"/>
              <w:lang w:val="es-CR"/>
            </w:rPr>
            <w:t>(Boff, 2016)</w:t>
          </w:r>
          <w:r w:rsidRPr="005A4252">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 dejando dudas si se está ante una reflexión teológica liberadora centrada en el pobre o bien ante un reconocimiento de esta espiritualidad, sin ahondar en cuestiones como represión y censura.</w:t>
      </w:r>
    </w:p>
    <w:p w14:paraId="4E99DF01"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Llama la atención que estas espiritualidades enteogénicas son milenarias de América y propias de pueblos que la sociedad occidental ha marginado y aplastado, pretendiendo borrar su legado ancestral. El cristianismo ha ayudado con esta tarea, en este sentido no se ha planteado una espiritualidad del pobre, y que ha sido negada con éste, una espiritualidad enteogénica. Tampoco es secreto que el pobre en América Latina ha sido conquistado y colonizado, cuya espiritualidad en no-pocas ocasiones ha sido enteogénica.</w:t>
      </w:r>
    </w:p>
    <w:p w14:paraId="000D13D7"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No obstante, cabe considerar que Madrigal (2008) destaca que la teología intercultural puede enriquecer a la teología de la liberación, permitiendo la escucha de otros saberes y experiencias. En este caso, si la teología de la liberación no ha ahondado suficientemente en la discusión de la experiencia enteogénica puede ser, por un lado, debido a que se han encargado de eclipsar o condenar la teología tradicional y, por otro lado, en repetidas ocasiones, no se le ha dado un valor espiritual a estas experiencias suscitadas por el consumo fármacos. En este sentido, la teología intercultural con el develamiento de la experiencia espiritual enteogénica, por parte de la etnopsicofarmacología, puede enriquecer la teología de la liberación.</w:t>
      </w:r>
    </w:p>
    <w:p w14:paraId="10BED6DB"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La teología intercultural en relación a América Latina propone la ruptura con la monoculturalidad occidental del cristianismo y un alejamiento de la verdad excluyente del cristianismo, no solo en la involución y restauración preconciliares, sino en la misma </w:t>
      </w:r>
      <w:r w:rsidRPr="004F609D">
        <w:rPr>
          <w:rFonts w:ascii="Times New Roman" w:hAnsi="Times New Roman" w:cs="Times New Roman"/>
          <w:sz w:val="24"/>
          <w:szCs w:val="24"/>
          <w:lang w:val="es-CR"/>
        </w:rPr>
        <w:lastRenderedPageBreak/>
        <w:t>inculturación. De este modo, la teología tradicional, aun la que pretende una inculturación, es deudora de la agresividad de cristianismo: la carencia de respeto a la diferencia del otro, la instrumentalización de la pluralidad cultural, la corrección de las culturas por el mensaje cristiano, la absolutización de lo propio, el silenciamiento del peso de la historia de dogmatización de la fe cristiana y la insuficiencia de la encarnación en las culturas, para pasar a la heterotopía y heterología de la fe cristiana (Fornet-Betancourt, 2007).</w:t>
      </w:r>
    </w:p>
    <w:p w14:paraId="0445486F"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Sin embargo, caben consideraciones respecto a la teología tradicional, si bien bastaría con indicar su ligamen con el ritualismo y los aparatos clericales, a la vez que es la constante del cristianismo desde el poder con el que se conquistó y colonizó América, esta definición puede ser perfectamente objeto de críticas, pues la teología tradicional contempla en medio de algunos dogmas la riqueza de experiencias que se transmiten, pero que no necesariamente son problematizadas. </w:t>
      </w:r>
      <w:r w:rsidRPr="004F609D">
        <w:rPr>
          <w:rFonts w:ascii="Times New Roman" w:hAnsi="Times New Roman" w:cs="Times New Roman"/>
          <w:noProof/>
          <w:sz w:val="24"/>
          <w:szCs w:val="24"/>
          <w:lang w:val="es-CR"/>
        </w:rPr>
        <w:t xml:space="preserve">La teología tradicional podría tener una relación ambivalente con respecto al uso farmacológico, pues aunque se </w:t>
      </w:r>
      <w:r w:rsidRPr="004F609D">
        <w:rPr>
          <w:rFonts w:ascii="Times New Roman" w:hAnsi="Times New Roman" w:cs="Times New Roman"/>
          <w:sz w:val="24"/>
          <w:szCs w:val="24"/>
          <w:lang w:val="es-CR"/>
        </w:rPr>
        <w:t>considere el consumo de fármacos como parte del tratamiento médico o como signo de adicción y por ende de sujeción al mal, en ocasiones los efectos farmacológicos han sido valorados de forma positiva, en tanto ligados a lo divino o lo espiritual.</w:t>
      </w:r>
    </w:p>
    <w:p w14:paraId="70F88648" w14:textId="77777777" w:rsidR="001A3E86" w:rsidRPr="004F609D" w:rsidRDefault="001A3E86" w:rsidP="001A3E86">
      <w:pPr>
        <w:pStyle w:val="NoSpacing"/>
        <w:spacing w:line="360" w:lineRule="auto"/>
        <w:ind w:firstLine="720"/>
        <w:jc w:val="both"/>
        <w:rPr>
          <w:rFonts w:ascii="Times New Roman" w:hAnsi="Times New Roman" w:cs="Times New Roman"/>
          <w:noProof/>
          <w:sz w:val="24"/>
          <w:szCs w:val="24"/>
          <w:lang w:val="es-CR"/>
        </w:rPr>
      </w:pPr>
      <w:r w:rsidRPr="004F609D">
        <w:rPr>
          <w:rFonts w:ascii="Times New Roman" w:hAnsi="Times New Roman" w:cs="Times New Roman"/>
          <w:noProof/>
          <w:sz w:val="24"/>
          <w:szCs w:val="24"/>
          <w:lang w:val="es-CR"/>
        </w:rPr>
        <w:t xml:space="preserve">Sobre esta relación particular es posible derivar de Escohotado (2002), al menos dos grandes líneas, en las que teología tradicional contempla el uso de farmacológico, una relativa a la Sagradas Escrituras, particularmente referida al vino, y otra concerniente a la era cristiana, que comprende aspectos como la brujería y la santidad. Sobre la primera línea, sobresale el vino en la embriaguez de Noé,  que acarrera la burla de Cam y su maldición por parte de Noé (Génesis 9, 20-21); así como la borrachera de Lot, que produjera el incesto con sus hijas (Génesis 19, 32). </w:t>
      </w:r>
    </w:p>
    <w:p w14:paraId="09447C81" w14:textId="77777777" w:rsidR="001A3E86" w:rsidRPr="004F609D" w:rsidRDefault="001A3E86" w:rsidP="001A3E86">
      <w:pPr>
        <w:pStyle w:val="NoSpacing"/>
        <w:spacing w:line="360" w:lineRule="auto"/>
        <w:ind w:firstLine="720"/>
        <w:jc w:val="both"/>
        <w:rPr>
          <w:rFonts w:ascii="Times New Roman" w:hAnsi="Times New Roman" w:cs="Times New Roman"/>
          <w:noProof/>
          <w:sz w:val="24"/>
          <w:szCs w:val="24"/>
          <w:lang w:val="es-CR"/>
        </w:rPr>
      </w:pPr>
      <w:r w:rsidRPr="004F609D">
        <w:rPr>
          <w:rFonts w:ascii="Times New Roman" w:hAnsi="Times New Roman" w:cs="Times New Roman"/>
          <w:noProof/>
          <w:sz w:val="24"/>
          <w:szCs w:val="24"/>
          <w:lang w:val="es-CR"/>
        </w:rPr>
        <w:t xml:space="preserve">Sin embargo, el consumo del vino si bien es capaz de generar un estado que es deplorado, principalmente prohibido para los sacerdotes levitas (Levítico 10, 9-11), condenado por determinada línea profética (Isaías 28, 7; 56, 12; denuestos semejantes aparecen en 22, 13, y en Amós 6, 1) y rechazado por su ligamen al paganismo (Sabiduría 2, 7-8),  presenta una valoración positiva, pues es capaz de generar alegría y de hacer olvidar la amargura (Salmo, 140; Proverbios 31, 6-7), a la vez de ser un elemento fundamental en la conmemoración de la última cena, cuyo ágape del pan y el vino se acerca a la esencia del culto a Perséfone (vinculado a los cereales) y Dioniso (ligado al vino), que se funden como </w:t>
      </w:r>
      <w:r w:rsidRPr="004F609D">
        <w:rPr>
          <w:rFonts w:ascii="Times New Roman" w:hAnsi="Times New Roman" w:cs="Times New Roman"/>
          <w:noProof/>
          <w:sz w:val="24"/>
          <w:szCs w:val="24"/>
          <w:lang w:val="es-CR"/>
        </w:rPr>
        <w:lastRenderedPageBreak/>
        <w:t xml:space="preserve">banquete de pan y vino ya en los cultos de Attis y Mitra, bastante antes de predicarse el cristianismo </w:t>
      </w:r>
      <w:sdt>
        <w:sdtPr>
          <w:rPr>
            <w:rFonts w:ascii="Times New Roman" w:hAnsi="Times New Roman" w:cs="Times New Roman"/>
            <w:noProof/>
            <w:sz w:val="24"/>
            <w:szCs w:val="24"/>
          </w:rPr>
          <w:id w:val="1870805012"/>
          <w:citation/>
        </w:sdtPr>
        <w:sdtContent>
          <w:r w:rsidRPr="005A4252">
            <w:rPr>
              <w:rFonts w:ascii="Times New Roman" w:hAnsi="Times New Roman" w:cs="Times New Roman"/>
              <w:noProof/>
              <w:sz w:val="24"/>
              <w:szCs w:val="24"/>
            </w:rPr>
            <w:fldChar w:fldCharType="begin"/>
          </w:r>
          <w:r w:rsidRPr="004F609D">
            <w:rPr>
              <w:rFonts w:ascii="Times New Roman" w:hAnsi="Times New Roman" w:cs="Times New Roman"/>
              <w:noProof/>
              <w:sz w:val="24"/>
              <w:szCs w:val="24"/>
              <w:lang w:val="es-CR"/>
            </w:rPr>
            <w:instrText xml:space="preserve"> CITATION Esc02 \l 22538 </w:instrText>
          </w:r>
          <w:r w:rsidRPr="005A4252">
            <w:rPr>
              <w:rFonts w:ascii="Times New Roman" w:hAnsi="Times New Roman" w:cs="Times New Roman"/>
              <w:noProof/>
              <w:sz w:val="24"/>
              <w:szCs w:val="24"/>
            </w:rPr>
            <w:fldChar w:fldCharType="separate"/>
          </w:r>
          <w:r w:rsidRPr="004F609D">
            <w:rPr>
              <w:rFonts w:ascii="Times New Roman" w:hAnsi="Times New Roman" w:cs="Times New Roman"/>
              <w:noProof/>
              <w:sz w:val="24"/>
              <w:szCs w:val="24"/>
              <w:lang w:val="es-CR"/>
            </w:rPr>
            <w:t>(Escohotado, 2002)</w:t>
          </w:r>
          <w:r w:rsidRPr="005A4252">
            <w:rPr>
              <w:rFonts w:ascii="Times New Roman" w:hAnsi="Times New Roman" w:cs="Times New Roman"/>
              <w:noProof/>
              <w:sz w:val="24"/>
              <w:szCs w:val="24"/>
            </w:rPr>
            <w:fldChar w:fldCharType="end"/>
          </w:r>
        </w:sdtContent>
      </w:sdt>
      <w:r w:rsidRPr="004F609D">
        <w:rPr>
          <w:rFonts w:ascii="Times New Roman" w:hAnsi="Times New Roman" w:cs="Times New Roman"/>
          <w:noProof/>
          <w:sz w:val="24"/>
          <w:szCs w:val="24"/>
          <w:lang w:val="es-CR"/>
        </w:rPr>
        <w:t>.</w:t>
      </w:r>
    </w:p>
    <w:p w14:paraId="23690402" w14:textId="77777777" w:rsidR="001A3E86" w:rsidRPr="004F609D" w:rsidRDefault="001A3E86" w:rsidP="001A3E86">
      <w:pPr>
        <w:pStyle w:val="NoSpacing"/>
        <w:spacing w:line="360" w:lineRule="auto"/>
        <w:ind w:firstLine="720"/>
        <w:jc w:val="both"/>
        <w:rPr>
          <w:rFonts w:ascii="Times New Roman" w:hAnsi="Times New Roman" w:cs="Times New Roman"/>
          <w:noProof/>
          <w:sz w:val="24"/>
          <w:szCs w:val="24"/>
          <w:lang w:val="es-CR"/>
        </w:rPr>
      </w:pPr>
      <w:r w:rsidRPr="004F609D">
        <w:rPr>
          <w:rFonts w:ascii="Times New Roman" w:hAnsi="Times New Roman" w:cs="Times New Roman"/>
          <w:noProof/>
          <w:sz w:val="24"/>
          <w:szCs w:val="24"/>
          <w:lang w:val="es-CR"/>
        </w:rPr>
        <w:t>En lo que respecta a la era cristiana, principalmente en lo que a la Edad Media se refiere, el opio y las solanáceas implicaban un anatema legal, puesto que eran compuestos de “brebajes perjuciales”, “untos diabólicos” o “hierbas maléficas”, siendo clasificado su uso por parte de la ortodoxia como brujería o contra natura</w:t>
      </w:r>
      <w:sdt>
        <w:sdtPr>
          <w:rPr>
            <w:rFonts w:ascii="Times New Roman" w:hAnsi="Times New Roman" w:cs="Times New Roman"/>
            <w:noProof/>
            <w:sz w:val="24"/>
            <w:szCs w:val="24"/>
          </w:rPr>
          <w:id w:val="-20940650"/>
          <w:citation/>
        </w:sdtPr>
        <w:sdtContent>
          <w:r w:rsidRPr="005A4252">
            <w:rPr>
              <w:rFonts w:ascii="Times New Roman" w:hAnsi="Times New Roman" w:cs="Times New Roman"/>
              <w:noProof/>
              <w:sz w:val="24"/>
              <w:szCs w:val="24"/>
            </w:rPr>
            <w:fldChar w:fldCharType="begin"/>
          </w:r>
          <w:r w:rsidRPr="004F609D">
            <w:rPr>
              <w:rFonts w:ascii="Times New Roman" w:hAnsi="Times New Roman" w:cs="Times New Roman"/>
              <w:noProof/>
              <w:sz w:val="24"/>
              <w:szCs w:val="24"/>
              <w:lang w:val="es-CR"/>
            </w:rPr>
            <w:instrText xml:space="preserve"> CITATION Esc02 \l 22538 </w:instrText>
          </w:r>
          <w:r w:rsidRPr="005A4252">
            <w:rPr>
              <w:rFonts w:ascii="Times New Roman" w:hAnsi="Times New Roman" w:cs="Times New Roman"/>
              <w:noProof/>
              <w:sz w:val="24"/>
              <w:szCs w:val="24"/>
            </w:rPr>
            <w:fldChar w:fldCharType="separate"/>
          </w:r>
          <w:r w:rsidRPr="004F609D">
            <w:rPr>
              <w:rFonts w:ascii="Times New Roman" w:hAnsi="Times New Roman" w:cs="Times New Roman"/>
              <w:noProof/>
              <w:sz w:val="24"/>
              <w:szCs w:val="24"/>
              <w:lang w:val="es-CR"/>
            </w:rPr>
            <w:t xml:space="preserve"> (Escohotado, 2002)</w:t>
          </w:r>
          <w:r w:rsidRPr="005A4252">
            <w:rPr>
              <w:rFonts w:ascii="Times New Roman" w:hAnsi="Times New Roman" w:cs="Times New Roman"/>
              <w:noProof/>
              <w:sz w:val="24"/>
              <w:szCs w:val="24"/>
            </w:rPr>
            <w:fldChar w:fldCharType="end"/>
          </w:r>
        </w:sdtContent>
      </w:sdt>
      <w:r w:rsidRPr="004F609D">
        <w:rPr>
          <w:rFonts w:ascii="Times New Roman" w:hAnsi="Times New Roman" w:cs="Times New Roman"/>
          <w:noProof/>
          <w:sz w:val="24"/>
          <w:szCs w:val="24"/>
          <w:lang w:val="es-CR"/>
        </w:rPr>
        <w:t xml:space="preserve">. También, destaca la tesis de Matossian (1986) según la cual el consumo del ergot (hongo del pan de centeno), uno de los productos del hongo conocido como el claviceps purpurea, fue utilizado tanto por brujas como por monjes, puesto que las primeras lo usaron no solo para alucinar sino para los partos por su efecto vaso constrictor, mediante </w:t>
      </w:r>
      <w:r w:rsidRPr="004F609D">
        <w:rPr>
          <w:rFonts w:ascii="Times New Roman" w:hAnsi="Times New Roman" w:cs="Times New Roman"/>
          <w:i/>
          <w:noProof/>
          <w:sz w:val="24"/>
          <w:szCs w:val="24"/>
          <w:lang w:val="es-CR"/>
        </w:rPr>
        <w:t>pulvis ad partum</w:t>
      </w:r>
      <w:r w:rsidRPr="004F609D">
        <w:rPr>
          <w:rFonts w:ascii="Times New Roman" w:hAnsi="Times New Roman" w:cs="Times New Roman"/>
          <w:noProof/>
          <w:sz w:val="24"/>
          <w:szCs w:val="24"/>
          <w:lang w:val="es-CR"/>
        </w:rPr>
        <w:t xml:space="preserve"> o polvo para el nacimiento (parto), mientras que los segundos por votos de pobreza al no comer el pan de trigo sufrieron los mismos efectos alucinatorios que las brujas, con la salvedad de ser venerados públicamente por su santidad y no enviados a la hoguera como las primeras. Aunado a ello, el consumo del pan de centeno contaminado por el </w:t>
      </w:r>
      <w:r w:rsidRPr="004F609D">
        <w:rPr>
          <w:rFonts w:ascii="Times New Roman" w:hAnsi="Times New Roman" w:cs="Times New Roman"/>
          <w:i/>
          <w:noProof/>
          <w:sz w:val="24"/>
          <w:szCs w:val="24"/>
          <w:lang w:val="es-CR"/>
        </w:rPr>
        <w:t>claviceps purpurea</w:t>
      </w:r>
      <w:r w:rsidRPr="004F609D">
        <w:rPr>
          <w:rFonts w:ascii="Times New Roman" w:hAnsi="Times New Roman" w:cs="Times New Roman"/>
          <w:noProof/>
          <w:sz w:val="24"/>
          <w:szCs w:val="24"/>
          <w:lang w:val="es-CR"/>
        </w:rPr>
        <w:t xml:space="preserve"> producía una enfermedad llamada en ese entonces “</w:t>
      </w:r>
      <w:r w:rsidRPr="004F609D">
        <w:rPr>
          <w:rFonts w:ascii="Times New Roman" w:hAnsi="Times New Roman" w:cs="Times New Roman"/>
          <w:i/>
          <w:noProof/>
          <w:sz w:val="24"/>
          <w:szCs w:val="24"/>
          <w:lang w:val="es-CR"/>
        </w:rPr>
        <w:t>ignis sacer</w:t>
      </w:r>
      <w:r w:rsidRPr="004F609D">
        <w:rPr>
          <w:rFonts w:ascii="Times New Roman" w:hAnsi="Times New Roman" w:cs="Times New Roman"/>
          <w:noProof/>
          <w:sz w:val="24"/>
          <w:szCs w:val="24"/>
          <w:lang w:val="es-CR"/>
        </w:rPr>
        <w:t>” o el fuego de San Antonio (Quirce-Balma, 2010).</w:t>
      </w:r>
    </w:p>
    <w:p w14:paraId="0ECB7B79" w14:textId="77777777" w:rsidR="001A3E86" w:rsidRPr="004F609D" w:rsidRDefault="001A3E86" w:rsidP="001A3E86">
      <w:pPr>
        <w:pStyle w:val="NoSpacing"/>
        <w:spacing w:line="360" w:lineRule="auto"/>
        <w:ind w:firstLine="720"/>
        <w:jc w:val="both"/>
        <w:rPr>
          <w:rFonts w:ascii="Times New Roman" w:hAnsi="Times New Roman" w:cs="Times New Roman"/>
          <w:noProof/>
          <w:sz w:val="24"/>
          <w:szCs w:val="24"/>
          <w:lang w:val="es-CR"/>
        </w:rPr>
      </w:pPr>
      <w:r w:rsidRPr="004F609D">
        <w:rPr>
          <w:rFonts w:ascii="Times New Roman" w:hAnsi="Times New Roman" w:cs="Times New Roman"/>
          <w:noProof/>
          <w:sz w:val="24"/>
          <w:szCs w:val="24"/>
          <w:lang w:val="es-CR"/>
        </w:rPr>
        <w:t xml:space="preserve">Sin embargo, la valoración sobre las drogas por parte de la teología tradicional cambia de forma paulatina de una teoría tomista sobre una intervención física del mal en la naturaleza a una agustiniana que remite a una “ilusión diabólica”, que fundamenta lo fantasmagórico de los suspuestos prodigios de las brujas. Esto se debe en parte al abordaje que dan algunos humanistas renacentistas como Giambattista de la Porta (1562), Jan de Wier (1515-1588) y García da Horta (1576), así mismo por el Tratado teológico de Malebranche, </w:t>
      </w:r>
      <w:r w:rsidRPr="004F609D">
        <w:rPr>
          <w:rFonts w:ascii="Times New Roman" w:hAnsi="Times New Roman" w:cs="Times New Roman"/>
          <w:i/>
          <w:noProof/>
          <w:sz w:val="24"/>
          <w:szCs w:val="24"/>
          <w:lang w:val="es-CR"/>
        </w:rPr>
        <w:t>Sobre la búsqueda de la verdad</w:t>
      </w:r>
      <w:r w:rsidRPr="004F609D">
        <w:rPr>
          <w:rFonts w:ascii="Times New Roman" w:hAnsi="Times New Roman" w:cs="Times New Roman"/>
          <w:noProof/>
          <w:sz w:val="24"/>
          <w:szCs w:val="24"/>
          <w:lang w:val="es-CR"/>
        </w:rPr>
        <w:t xml:space="preserve"> (1674-1675), en donde se insiste en la condición simplemente vegetal de los recursos brujeriles y la naturaleza puramente imaginaria de los efectos. Aunado a ello, el estudio en la alquimia de los efectos medicinales del opio, por parte de Paracelso y sus seguidores, así como un creciente comercio de opio, conllevan a una distinción entre la farmacología oficial “blanca”, que buscaba separar lo puro de lo impuro </w:t>
      </w:r>
      <w:sdt>
        <w:sdtPr>
          <w:rPr>
            <w:rFonts w:ascii="Times New Roman" w:hAnsi="Times New Roman" w:cs="Times New Roman"/>
            <w:noProof/>
            <w:sz w:val="24"/>
            <w:szCs w:val="24"/>
          </w:rPr>
          <w:id w:val="865412787"/>
          <w:citation/>
        </w:sdtPr>
        <w:sdtContent>
          <w:r w:rsidRPr="005A4252">
            <w:rPr>
              <w:rFonts w:ascii="Times New Roman" w:hAnsi="Times New Roman" w:cs="Times New Roman"/>
              <w:noProof/>
              <w:sz w:val="24"/>
              <w:szCs w:val="24"/>
            </w:rPr>
            <w:fldChar w:fldCharType="begin"/>
          </w:r>
          <w:r w:rsidRPr="004F609D">
            <w:rPr>
              <w:rFonts w:ascii="Times New Roman" w:hAnsi="Times New Roman" w:cs="Times New Roman"/>
              <w:noProof/>
              <w:sz w:val="24"/>
              <w:szCs w:val="24"/>
              <w:lang w:val="es-CR"/>
            </w:rPr>
            <w:instrText xml:space="preserve"> CITATION Esc02 \l 22538 </w:instrText>
          </w:r>
          <w:r w:rsidRPr="005A4252">
            <w:rPr>
              <w:rFonts w:ascii="Times New Roman" w:hAnsi="Times New Roman" w:cs="Times New Roman"/>
              <w:noProof/>
              <w:sz w:val="24"/>
              <w:szCs w:val="24"/>
            </w:rPr>
            <w:fldChar w:fldCharType="separate"/>
          </w:r>
          <w:r w:rsidRPr="004F609D">
            <w:rPr>
              <w:rFonts w:ascii="Times New Roman" w:hAnsi="Times New Roman" w:cs="Times New Roman"/>
              <w:noProof/>
              <w:sz w:val="24"/>
              <w:szCs w:val="24"/>
              <w:lang w:val="es-CR"/>
            </w:rPr>
            <w:t>(Escohotado, 2002)</w:t>
          </w:r>
          <w:r w:rsidRPr="005A4252">
            <w:rPr>
              <w:rFonts w:ascii="Times New Roman" w:hAnsi="Times New Roman" w:cs="Times New Roman"/>
              <w:noProof/>
              <w:sz w:val="24"/>
              <w:szCs w:val="24"/>
            </w:rPr>
            <w:fldChar w:fldCharType="end"/>
          </w:r>
        </w:sdtContent>
      </w:sdt>
      <w:r w:rsidRPr="004F609D">
        <w:rPr>
          <w:rFonts w:ascii="Times New Roman" w:hAnsi="Times New Roman" w:cs="Times New Roman"/>
          <w:noProof/>
          <w:sz w:val="24"/>
          <w:szCs w:val="24"/>
          <w:lang w:val="es-CR"/>
        </w:rPr>
        <w:t xml:space="preserve">. </w:t>
      </w:r>
    </w:p>
    <w:p w14:paraId="2F4C9405" w14:textId="77777777" w:rsidR="001A3E86" w:rsidRPr="004F609D" w:rsidRDefault="001A3E86" w:rsidP="001A3E86">
      <w:pPr>
        <w:pStyle w:val="NoSpacing"/>
        <w:spacing w:line="360" w:lineRule="auto"/>
        <w:ind w:firstLine="720"/>
        <w:jc w:val="both"/>
        <w:rPr>
          <w:rFonts w:ascii="Times New Roman" w:hAnsi="Times New Roman" w:cs="Times New Roman"/>
          <w:noProof/>
          <w:sz w:val="24"/>
          <w:szCs w:val="24"/>
          <w:lang w:val="es-CR"/>
        </w:rPr>
      </w:pPr>
      <w:r w:rsidRPr="004F609D">
        <w:rPr>
          <w:rFonts w:ascii="Times New Roman" w:hAnsi="Times New Roman" w:cs="Times New Roman"/>
          <w:noProof/>
          <w:sz w:val="24"/>
          <w:szCs w:val="24"/>
          <w:lang w:val="es-CR"/>
        </w:rPr>
        <w:t xml:space="preserve">En el caso de la conquista de México destacan las descripciones de Fray Bernandino de Sahagún, quien en </w:t>
      </w:r>
      <w:r w:rsidRPr="004F609D">
        <w:rPr>
          <w:rFonts w:ascii="Times New Roman" w:hAnsi="Times New Roman" w:cs="Times New Roman"/>
          <w:i/>
          <w:noProof/>
          <w:sz w:val="24"/>
          <w:szCs w:val="24"/>
          <w:lang w:val="es-CR"/>
        </w:rPr>
        <w:t>Historia General de las Cosas de Nueva España</w:t>
      </w:r>
      <w:r w:rsidRPr="004F609D">
        <w:rPr>
          <w:rFonts w:ascii="Times New Roman" w:hAnsi="Times New Roman" w:cs="Times New Roman"/>
          <w:noProof/>
          <w:sz w:val="24"/>
          <w:szCs w:val="24"/>
          <w:lang w:val="es-CR"/>
        </w:rPr>
        <w:t xml:space="preserve"> se refiere a ciertas hierbas que emborrachan y que pretende distinguir de las medicinales, a esa razón cita el </w:t>
      </w:r>
      <w:r w:rsidRPr="004F609D">
        <w:rPr>
          <w:rFonts w:ascii="Times New Roman" w:hAnsi="Times New Roman" w:cs="Times New Roman"/>
          <w:noProof/>
          <w:sz w:val="24"/>
          <w:szCs w:val="24"/>
          <w:lang w:val="es-CR"/>
        </w:rPr>
        <w:lastRenderedPageBreak/>
        <w:t xml:space="preserve">ololiuqui, semilla que emborracha y enloquece, producida por la planta cóatl xoxouhqui, el péyolt que causa visiones espantosas, el tlápalt, que también emborracha y enloquece, tzitzintlápatl, con efectos similaresa a la anterior, míxitl, que paraliza, teonanácatl, que provoca visiones y lujuría, tochtetepo, utilizada por los hechiceros y capaz de dañar las tripas, atlepatli, causa la muerte, aquiztli, tenxoxoli, quimichpatli (de Sahagún, 2006, pp. 644-45).  </w:t>
      </w:r>
    </w:p>
    <w:p w14:paraId="27D74D19"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noProof/>
          <w:sz w:val="24"/>
          <w:szCs w:val="24"/>
          <w:lang w:val="es-CR"/>
        </w:rPr>
        <w:t>L</w:t>
      </w:r>
      <w:r w:rsidRPr="004F609D">
        <w:rPr>
          <w:rFonts w:ascii="Times New Roman" w:hAnsi="Times New Roman" w:cs="Times New Roman"/>
          <w:sz w:val="24"/>
          <w:szCs w:val="24"/>
          <w:lang w:val="es-CR"/>
        </w:rPr>
        <w:t xml:space="preserve">os conquistadores españoles admiraron en principio las riquezas botánicas y médicas de América, la admiración y el deseo topó con el perjuicio racial y otros clichés etnocéntricos; toda vez que las drogas medicinales, que también eran psicoactivas, generalmente se empleaban en contextos religiosos o análogos. Esto derivó en una pesquisa inquisitorial exhaustiva contra los amerindios </w:t>
      </w:r>
      <w:sdt>
        <w:sdtPr>
          <w:rPr>
            <w:rFonts w:ascii="Times New Roman" w:hAnsi="Times New Roman" w:cs="Times New Roman"/>
            <w:sz w:val="24"/>
            <w:szCs w:val="24"/>
          </w:rPr>
          <w:id w:val="1779677476"/>
          <w:citation/>
        </w:sdtPr>
        <w:sdtContent>
          <w:r w:rsidRPr="005A4252">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Esc02 \l 22538 </w:instrText>
          </w:r>
          <w:r w:rsidRPr="005A4252">
            <w:rPr>
              <w:rFonts w:ascii="Times New Roman" w:hAnsi="Times New Roman" w:cs="Times New Roman"/>
              <w:sz w:val="24"/>
              <w:szCs w:val="24"/>
            </w:rPr>
            <w:fldChar w:fldCharType="separate"/>
          </w:r>
          <w:r w:rsidRPr="004F609D">
            <w:rPr>
              <w:rFonts w:ascii="Times New Roman" w:hAnsi="Times New Roman" w:cs="Times New Roman"/>
              <w:noProof/>
              <w:sz w:val="24"/>
              <w:szCs w:val="24"/>
              <w:lang w:val="es-CR"/>
            </w:rPr>
            <w:t>(Escohotado, 2002)</w:t>
          </w:r>
          <w:r w:rsidRPr="005A4252">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 Así mismo una droga sagrada para los incas como la coca, fue tolerada por la Iglesia en el tanto se utilizara en las minas para la explotación de los indígenas:</w:t>
      </w:r>
    </w:p>
    <w:p w14:paraId="09B5844A" w14:textId="77777777" w:rsidR="001A3E86" w:rsidRPr="004F609D" w:rsidRDefault="001A3E86" w:rsidP="001A3E86">
      <w:pPr>
        <w:pStyle w:val="NoSpacing"/>
        <w:ind w:firstLine="720"/>
        <w:jc w:val="both"/>
        <w:rPr>
          <w:rFonts w:ascii="Times New Roman" w:hAnsi="Times New Roman" w:cs="Times New Roman"/>
          <w:sz w:val="24"/>
          <w:szCs w:val="24"/>
          <w:lang w:val="es-CR"/>
        </w:rPr>
      </w:pPr>
    </w:p>
    <w:p w14:paraId="13A0B3F2" w14:textId="77777777" w:rsidR="001A3E86" w:rsidRDefault="001A3E86" w:rsidP="001A3E86">
      <w:pPr>
        <w:spacing w:line="240" w:lineRule="auto"/>
        <w:ind w:left="567" w:right="567"/>
        <w:jc w:val="both"/>
        <w:rPr>
          <w:rFonts w:ascii="Times New Roman" w:hAnsi="Times New Roman" w:cs="Times New Roman"/>
        </w:rPr>
      </w:pPr>
      <w:r w:rsidRPr="004F609D">
        <w:rPr>
          <w:rFonts w:ascii="Times New Roman" w:hAnsi="Times New Roman" w:cs="Times New Roman"/>
          <w:lang w:val="es-CR"/>
        </w:rPr>
        <w:t xml:space="preserve">Al amparo de las minas de Potosí algunos españoles fueron aficionándose a la droga personalmente y, sobre todo, apreciando sus cualidades para hacer trabajar más y con menos nutrición a la mano de obra indígena. Era inevitable que los obispos encontraran un modus vivendi pronto, y así fue. Se toleraría el cultivo siempre que quedase condenada su utilización en cualquier tipo de ceremonia religiosa, y se gravaría con un impuesto cualquier transacción. De este modo, si en 1569 un Real Decreto de Felipe II atribuía sus efectos «a la voluntad del Maligno», en 1573 una Ordenanza del virrey Francisco de Toledo legaliza oficialmente el cultivo y determina que el 10 por 100 del valor de las compraventas con esta sustancia corresponderá al clero; a partir de entonces este diezmo constituirá la fuente singular de ingresos más importante para los obispos y canónigos de Lima y Cuzco. La Ordenanza considera que el consumo y tráfico de estas hojas «es necesario para el bienestar de los indios». </w:t>
      </w:r>
      <w:r w:rsidRPr="00EC5020">
        <w:rPr>
          <w:rFonts w:ascii="Times New Roman" w:hAnsi="Times New Roman" w:cs="Times New Roman"/>
        </w:rPr>
        <w:t>(Escohatado, 2002, p. 352)</w:t>
      </w:r>
    </w:p>
    <w:p w14:paraId="17241313" w14:textId="77777777" w:rsidR="001A3E86" w:rsidRPr="0000315C" w:rsidRDefault="001A3E86" w:rsidP="001C19DD">
      <w:pPr>
        <w:spacing w:line="240" w:lineRule="auto"/>
        <w:ind w:right="567"/>
        <w:jc w:val="both"/>
        <w:rPr>
          <w:rFonts w:ascii="Times New Roman" w:hAnsi="Times New Roman" w:cs="Times New Roman"/>
        </w:rPr>
      </w:pPr>
    </w:p>
    <w:p w14:paraId="5DFC704E" w14:textId="77777777" w:rsidR="001A3E86" w:rsidRPr="005A4252" w:rsidRDefault="001A3E86" w:rsidP="001A3E86">
      <w:pPr>
        <w:pStyle w:val="Heading2"/>
        <w:numPr>
          <w:ilvl w:val="0"/>
          <w:numId w:val="9"/>
        </w:numPr>
        <w:jc w:val="both"/>
        <w:rPr>
          <w:rFonts w:ascii="Times New Roman" w:hAnsi="Times New Roman"/>
          <w:color w:val="auto"/>
          <w:sz w:val="24"/>
          <w:szCs w:val="24"/>
        </w:rPr>
      </w:pPr>
      <w:bookmarkStart w:id="35" w:name="_Toc474090235"/>
      <w:r w:rsidRPr="005A4252">
        <w:rPr>
          <w:rFonts w:ascii="Times New Roman" w:hAnsi="Times New Roman"/>
          <w:color w:val="auto"/>
          <w:sz w:val="24"/>
          <w:szCs w:val="24"/>
        </w:rPr>
        <w:t>La etnopsico</w:t>
      </w:r>
      <w:r>
        <w:rPr>
          <w:rFonts w:ascii="Times New Roman" w:hAnsi="Times New Roman"/>
          <w:color w:val="auto"/>
          <w:sz w:val="24"/>
          <w:szCs w:val="24"/>
        </w:rPr>
        <w:t>farmacología de Quirce-</w:t>
      </w:r>
      <w:r w:rsidRPr="005A4252">
        <w:rPr>
          <w:rFonts w:ascii="Times New Roman" w:hAnsi="Times New Roman"/>
          <w:color w:val="auto"/>
          <w:sz w:val="24"/>
          <w:szCs w:val="24"/>
        </w:rPr>
        <w:t>Balma</w:t>
      </w:r>
      <w:bookmarkEnd w:id="35"/>
    </w:p>
    <w:p w14:paraId="386D4737" w14:textId="77777777" w:rsidR="001A3E86" w:rsidRDefault="001A3E86" w:rsidP="001A3E86">
      <w:pPr>
        <w:spacing w:after="200" w:line="360" w:lineRule="auto"/>
        <w:ind w:firstLine="720"/>
        <w:jc w:val="both"/>
        <w:rPr>
          <w:rFonts w:ascii="Arial" w:hAnsi="Arial" w:cs="Arial"/>
          <w:sz w:val="24"/>
          <w:szCs w:val="24"/>
        </w:rPr>
      </w:pPr>
    </w:p>
    <w:p w14:paraId="5351CB84"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La etnopsicofarmacología de Quirce-Balma es un marco teórico desarrollado a lo largo de 40 años con el fin de comprender la espiritualidad suscitada por el consumo farmacológico, comprendiendo para ello una relación Biología-Psicología-Sociedad (Quirce-Balma, C. M., 1976); (Quirce-Balma, C.M., Tyler, V. &amp; Maickel, R. P.,1988); (Quirce-Balma, C. y Maickel, R., 2009); (Quirce-Balma, C. M., 2010); (Quirce-Balma, C. M., 2010); (Quirce-Balma, C. M &amp; alt., 2010). Tratase por ende de un estudio </w:t>
      </w:r>
      <w:r w:rsidRPr="004F609D">
        <w:rPr>
          <w:rFonts w:ascii="Times New Roman" w:hAnsi="Times New Roman" w:cs="Times New Roman"/>
          <w:sz w:val="24"/>
          <w:szCs w:val="24"/>
          <w:lang w:val="es-CR"/>
        </w:rPr>
        <w:lastRenderedPageBreak/>
        <w:t>interdisciplinario entre biología, psicología y antropología, donde la investigación sobre las funciones bioquímicas a nivel cerebral y, en general, del sistema nervioso, pretende explicar conductas o experiencias espirituales de diversas religiones, aunque particularmente precolombinas en donde el consumo enteogénico ha tenido en ocasiones un papel trascendental (Quirce-Balma, C. M., 1994); (Quirce-Balma, C. y Maickel, R., 2009); (Quirce Balma, C. M., 2010); (Quirce-Balma, C. M., 2010); (Quirce-Balma, C. M &amp; alt., 2010).</w:t>
      </w:r>
    </w:p>
    <w:p w14:paraId="03F96C2F"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Si bien es cierto que la propuesta de Quirce-Balma es predominantemente positivista y cercana a las aproximaciones de </w:t>
      </w:r>
      <w:r w:rsidRPr="004F609D">
        <w:rPr>
          <w:rFonts w:ascii="Times New Roman" w:hAnsi="Times New Roman" w:cs="Times New Roman"/>
          <w:sz w:val="24"/>
          <w:szCs w:val="24"/>
          <w:lang w:val="es-CR" w:eastAsia="es-MX"/>
        </w:rPr>
        <w:t xml:space="preserve">Fingelkurts, A. y Fingelkurts, A. (2009), </w:t>
      </w:r>
      <w:r w:rsidRPr="004F609D">
        <w:rPr>
          <w:rFonts w:ascii="Times New Roman" w:hAnsi="Times New Roman" w:cs="Times New Roman"/>
          <w:sz w:val="24"/>
          <w:szCs w:val="24"/>
          <w:lang w:val="es-CR"/>
        </w:rPr>
        <w:t xml:space="preserve">Hood, R. (2005 &amp; </w:t>
      </w:r>
      <w:r w:rsidRPr="004F609D">
        <w:rPr>
          <w:rFonts w:ascii="Times New Roman" w:eastAsia="Times New Roman" w:hAnsi="Times New Roman" w:cs="Times New Roman"/>
          <w:sz w:val="24"/>
          <w:szCs w:val="24"/>
          <w:lang w:val="es-CR" w:eastAsia="es-MX"/>
        </w:rPr>
        <w:t xml:space="preserve">2006), </w:t>
      </w:r>
      <w:r w:rsidRPr="004F609D">
        <w:rPr>
          <w:rFonts w:ascii="Times New Roman" w:hAnsi="Times New Roman" w:cs="Times New Roman"/>
          <w:sz w:val="24"/>
          <w:szCs w:val="24"/>
          <w:lang w:val="es-CR" w:eastAsia="es-MX"/>
        </w:rPr>
        <w:t xml:space="preserve">Mohandas E. (2008), </w:t>
      </w:r>
      <w:r w:rsidRPr="004F609D">
        <w:rPr>
          <w:rFonts w:ascii="Times New Roman" w:eastAsia="Times New Roman" w:hAnsi="Times New Roman" w:cs="Times New Roman"/>
          <w:sz w:val="24"/>
          <w:szCs w:val="24"/>
          <w:lang w:val="es-CR" w:eastAsia="es-MX"/>
        </w:rPr>
        <w:t xml:space="preserve">Newberg, A. y Newberg, S. (2005), Nichols, D. y Chemel, B. (2006), Roberts, T. (2006), Rogers, S. y Paloutzian, R. (2006), Spilka, B. (2005), </w:t>
      </w:r>
      <w:r w:rsidRPr="004F609D">
        <w:rPr>
          <w:rFonts w:ascii="Times New Roman" w:hAnsi="Times New Roman" w:cs="Times New Roman"/>
          <w:sz w:val="24"/>
          <w:szCs w:val="24"/>
          <w:lang w:val="es-CR" w:eastAsia="es-MX"/>
        </w:rPr>
        <w:t xml:space="preserve">Taylor (2005) y </w:t>
      </w:r>
      <w:r w:rsidRPr="004F609D">
        <w:rPr>
          <w:rFonts w:ascii="Times New Roman" w:eastAsia="Times New Roman" w:hAnsi="Times New Roman" w:cs="Times New Roman"/>
          <w:sz w:val="24"/>
          <w:szCs w:val="24"/>
          <w:lang w:val="es-CR" w:eastAsia="es-MX"/>
        </w:rPr>
        <w:t>Winkelman, M. (2004 &amp; 2006)</w:t>
      </w:r>
      <w:r w:rsidRPr="005A4252">
        <w:rPr>
          <w:rFonts w:ascii="Times New Roman" w:hAnsi="Times New Roman" w:cs="Times New Roman"/>
          <w:sz w:val="24"/>
          <w:szCs w:val="24"/>
          <w:lang w:val="es-CR"/>
        </w:rPr>
        <w:fldChar w:fldCharType="begin"/>
      </w:r>
      <w:r w:rsidRPr="004F609D">
        <w:rPr>
          <w:rFonts w:ascii="Times New Roman" w:hAnsi="Times New Roman" w:cs="Times New Roman"/>
          <w:sz w:val="24"/>
          <w:szCs w:val="24"/>
          <w:lang w:val="es-CR"/>
        </w:rPr>
        <w:instrText xml:space="preserve"> BIBLIOGRAPHY  \l 5130 </w:instrText>
      </w:r>
      <w:r w:rsidRPr="005A4252">
        <w:rPr>
          <w:rFonts w:ascii="Times New Roman" w:hAnsi="Times New Roman" w:cs="Times New Roman"/>
          <w:sz w:val="24"/>
          <w:szCs w:val="24"/>
          <w:lang w:val="es-CR"/>
        </w:rPr>
        <w:fldChar w:fldCharType="separate"/>
      </w:r>
      <w:r w:rsidRPr="004F609D">
        <w:rPr>
          <w:rFonts w:ascii="Times New Roman" w:eastAsia="Times New Roman" w:hAnsi="Times New Roman" w:cs="Times New Roman"/>
          <w:sz w:val="24"/>
          <w:szCs w:val="24"/>
          <w:lang w:val="es-CR" w:eastAsia="es-MX"/>
        </w:rPr>
        <w:t xml:space="preserve">; </w:t>
      </w:r>
      <w:r w:rsidRPr="005A4252">
        <w:rPr>
          <w:rFonts w:ascii="Times New Roman" w:hAnsi="Times New Roman" w:cs="Times New Roman"/>
          <w:sz w:val="24"/>
          <w:szCs w:val="24"/>
        </w:rPr>
        <w:fldChar w:fldCharType="end"/>
      </w:r>
      <w:r w:rsidRPr="004F609D">
        <w:rPr>
          <w:rFonts w:ascii="Times New Roman" w:hAnsi="Times New Roman" w:cs="Times New Roman"/>
          <w:sz w:val="24"/>
          <w:szCs w:val="24"/>
          <w:lang w:val="es-CR"/>
        </w:rPr>
        <w:t>considera aristas sociales que muestran el valor cultural que se le da a estas experiencias (Quirce-Balma, C. M., 1994); (Quirce-Balma, C. y Maickel, R., 2009); (Quirce-Balma, C. M., 2010); (Quirce-Balma, C. M., 2010); (Quirce-Balma, C. M &amp; alt., 2010). Ello sin demérito de la propia experiencia enteogénica (Quirce-Balma, 1988), sin que sus investigaciones hayan sido predominantemente enfocadas en el valor experiencial, tales como las de Carlos Castañeda (</w:t>
      </w:r>
      <w:r w:rsidRPr="005A4252">
        <w:rPr>
          <w:rFonts w:ascii="Times New Roman" w:hAnsi="Times New Roman" w:cs="Times New Roman"/>
          <w:sz w:val="24"/>
          <w:szCs w:val="24"/>
          <w:lang w:val="es-CR"/>
        </w:rPr>
        <w:t>Robles, 2010).</w:t>
      </w:r>
    </w:p>
    <w:p w14:paraId="12B809C3"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Sirva como síntesis que la aproximación de Quirce-Balma a la experiencia espiritual enteogénica considera no solo una dimensión positivista, sino que se nutre de experiencias socioculturales y subjetivas, de las cuales surge una valoración de dicha experiencia espiritual que marca cierta innovación. Aunado a ello, considérese además de que se trata de una aproximación desde América Latina, donde la constante han sido estudios de otras latitudes (Quirce-Balma, 2009); (Guerin, G.P., &amp; de Sedouy, 1993).</w:t>
      </w:r>
    </w:p>
    <w:p w14:paraId="395B4AA4"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De este modo, la teología intercultural puede dar con un saber sobre experiencias enteogénicas a las que se les ha negado su valor espiritual y que son parte importante del mundo precolombino. Quirce-Balma (1976) en principio clasifica los Estados Alterados de Conciencia según procesos místicos, esquizoides y alucinógenos, para después establecer otra diferencia entre los Estados Alterados de Conciencia con valor evolutivo, místico y espiritual de aquellos propios de la esquizofrenia, considerando en la primera categoría a los alucinógenos o psicodélicos, en tanto funjan como entéogenos, empatógenos y </w:t>
      </w:r>
      <w:r w:rsidRPr="004F609D">
        <w:rPr>
          <w:rFonts w:ascii="Times New Roman" w:hAnsi="Times New Roman" w:cs="Times New Roman"/>
          <w:sz w:val="24"/>
          <w:szCs w:val="24"/>
          <w:lang w:val="es-CR"/>
        </w:rPr>
        <w:lastRenderedPageBreak/>
        <w:t xml:space="preserve">entactógenos (Quirce-Balma &amp; alt. 2009). Nótese que contempla los Estados Alterados de Conciencia con valor espiritual en distintas ceremonias religiosas, en técnicas meditativas, en el uso de drogas alucinógenas o psicodélicas, en sistemas de discernimiento intelectual orientados a distinguir entre lo real y lo ficticio, en sistemas de oración, en cánticos y aún en ciertas formas de danzas rituales (Quirce-Balma &amp; alt. 1988; Quirce-Balma &amp; alt, 2009). En este sentido, pareciera no existir mayor diferencia entre la espiritualidad inducida por fármacos de otras experiencias espirituales, siendo que varía el método, no así su finalidad, y que su reconocimiento depende la sociedad (Quirce-Balma, C. y Maickel, R., 2009). </w:t>
      </w:r>
    </w:p>
    <w:p w14:paraId="7E4B5662" w14:textId="77777777" w:rsidR="001A3E86"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Para Fornet-Betancourt (2007) el cristianismo occidental es solo una forma de vivir el cristianismo, en tanto se trata de una tradición monocultural que se ha sumado al expansionismo de Occidente, afectando particularmente a América Latina desde 1492. Cabe recalcar que se trata de una forma de cristianismo asentado en una teología tradicional que ha negado otras espiritualidades, como la enteogénica. De este modo la pretensión de presentar la contraparte a posiciones condenatorias del uso ritual y terapéutico de las sustancias enteogénicas, mediante un estudio de la historia, la antropología, la química y la farmacología de las mismas, constituye un esfuerzo que permite superar de alguna forma esta negación cultural (Quirce-Balma &amp; alt., 2010).</w:t>
      </w:r>
    </w:p>
    <w:p w14:paraId="2B3DE184" w14:textId="77777777" w:rsidR="00B56345" w:rsidRDefault="00B56345" w:rsidP="001A3E86">
      <w:pPr>
        <w:pStyle w:val="NoSpacing"/>
        <w:spacing w:line="360" w:lineRule="auto"/>
        <w:ind w:firstLine="720"/>
        <w:jc w:val="both"/>
        <w:rPr>
          <w:rFonts w:ascii="Times New Roman" w:hAnsi="Times New Roman" w:cs="Times New Roman"/>
          <w:sz w:val="24"/>
          <w:szCs w:val="24"/>
          <w:lang w:val="es-CR"/>
        </w:rPr>
      </w:pPr>
    </w:p>
    <w:p w14:paraId="00015ECC" w14:textId="77777777" w:rsidR="00B56345" w:rsidRPr="004F609D" w:rsidRDefault="00B56345" w:rsidP="001A3E86">
      <w:pPr>
        <w:pStyle w:val="NoSpacing"/>
        <w:spacing w:line="360" w:lineRule="auto"/>
        <w:ind w:firstLine="720"/>
        <w:jc w:val="both"/>
        <w:rPr>
          <w:rFonts w:ascii="Times New Roman" w:hAnsi="Times New Roman" w:cs="Times New Roman"/>
          <w:sz w:val="24"/>
          <w:szCs w:val="24"/>
          <w:lang w:val="es-CR"/>
        </w:rPr>
      </w:pPr>
    </w:p>
    <w:p w14:paraId="4F9E636B" w14:textId="77777777" w:rsidR="001A3E86" w:rsidRPr="005A4252" w:rsidRDefault="001A3E86" w:rsidP="001A3E86">
      <w:pPr>
        <w:pStyle w:val="Heading2"/>
        <w:numPr>
          <w:ilvl w:val="0"/>
          <w:numId w:val="9"/>
        </w:numPr>
        <w:jc w:val="both"/>
        <w:rPr>
          <w:rFonts w:ascii="Times New Roman" w:hAnsi="Times New Roman"/>
          <w:color w:val="auto"/>
          <w:sz w:val="24"/>
          <w:szCs w:val="24"/>
        </w:rPr>
      </w:pPr>
      <w:bookmarkStart w:id="36" w:name="_Toc474090236"/>
      <w:r w:rsidRPr="005A4252">
        <w:rPr>
          <w:rFonts w:ascii="Times New Roman" w:hAnsi="Times New Roman"/>
          <w:color w:val="auto"/>
          <w:sz w:val="24"/>
          <w:szCs w:val="24"/>
        </w:rPr>
        <w:t>Espiritualidad de las drogas enteogénicas del mundo precolombino</w:t>
      </w:r>
      <w:bookmarkEnd w:id="36"/>
    </w:p>
    <w:p w14:paraId="0A58D944" w14:textId="77777777" w:rsidR="001A3E86" w:rsidRPr="004F609D" w:rsidRDefault="001A3E86" w:rsidP="001A3E86">
      <w:pPr>
        <w:pStyle w:val="NoSpacing"/>
        <w:jc w:val="both"/>
        <w:rPr>
          <w:rFonts w:ascii="Times New Roman" w:hAnsi="Times New Roman" w:cs="Times New Roman"/>
          <w:sz w:val="24"/>
          <w:szCs w:val="24"/>
          <w:lang w:val="es-CR"/>
        </w:rPr>
      </w:pPr>
    </w:p>
    <w:p w14:paraId="0D93BB6E"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La espiritualidad de acuerdo con la etnopsicofarmacología puede ser comprendida por </w:t>
      </w:r>
      <w:r w:rsidRPr="00E9784B">
        <w:rPr>
          <w:rFonts w:ascii="Times New Roman" w:hAnsi="Times New Roman" w:cs="Times New Roman"/>
          <w:sz w:val="24"/>
          <w:szCs w:val="24"/>
          <w:lang w:val="es-CR"/>
        </w:rPr>
        <w:t xml:space="preserve">el análisis de los </w:t>
      </w:r>
      <w:r w:rsidRPr="004F609D">
        <w:rPr>
          <w:rFonts w:ascii="Times New Roman" w:hAnsi="Times New Roman" w:cs="Times New Roman"/>
          <w:sz w:val="24"/>
          <w:szCs w:val="24"/>
          <w:lang w:val="es-CR"/>
        </w:rPr>
        <w:t>Estados Alterados de Conciencia con valor espiritual.</w:t>
      </w:r>
      <w:r w:rsidRPr="00E9784B">
        <w:rPr>
          <w:rFonts w:ascii="Times New Roman" w:hAnsi="Times New Roman" w:cs="Times New Roman"/>
          <w:sz w:val="24"/>
          <w:szCs w:val="24"/>
          <w:lang w:val="es-CR"/>
        </w:rPr>
        <w:t xml:space="preserve"> </w:t>
      </w:r>
      <w:r w:rsidRPr="004F609D">
        <w:rPr>
          <w:rFonts w:ascii="Times New Roman" w:hAnsi="Times New Roman" w:cs="Times New Roman"/>
          <w:sz w:val="24"/>
          <w:szCs w:val="24"/>
          <w:lang w:val="es-CR"/>
        </w:rPr>
        <w:t xml:space="preserve">Quirce-Balma &amp; alt. (2009) </w:t>
      </w:r>
      <w:r w:rsidRPr="00E9784B">
        <w:rPr>
          <w:rFonts w:ascii="Times New Roman" w:hAnsi="Times New Roman" w:cs="Times New Roman"/>
          <w:sz w:val="24"/>
          <w:szCs w:val="24"/>
          <w:lang w:val="es-CR"/>
        </w:rPr>
        <w:t xml:space="preserve">indica que </w:t>
      </w:r>
      <w:r w:rsidRPr="004F609D">
        <w:rPr>
          <w:rFonts w:ascii="Times New Roman" w:hAnsi="Times New Roman" w:cs="Times New Roman"/>
          <w:sz w:val="24"/>
          <w:szCs w:val="24"/>
          <w:lang w:val="es-CR"/>
        </w:rPr>
        <w:t>algunos EAC con valor espiritual son originados por el consumo de fármacos. Algunos usos de los psicodélicos o alucinógenos en prácticas chamánicas vienen a poseer un valor espiritual y evolutivo, principalmente en rituales y ceremonias que utilizan plantas entéogenicas alucinatorias, en culturas de América como la azteca y en grupos indígenas del Amazonas. También referencias históricas indican un uso difundido en la Europa medieval, en civilizaciones precolombinas y en Asia (Quirce-Balma, 2010).</w:t>
      </w:r>
    </w:p>
    <w:p w14:paraId="778A2780" w14:textId="77777777" w:rsidR="001A3E86" w:rsidRDefault="001A3E86" w:rsidP="001A3E86">
      <w:pPr>
        <w:pStyle w:val="NoSpacing"/>
        <w:spacing w:line="360" w:lineRule="auto"/>
        <w:ind w:firstLine="720"/>
        <w:jc w:val="both"/>
        <w:rPr>
          <w:rFonts w:ascii="Times New Roman" w:hAnsi="Times New Roman" w:cs="Times New Roman"/>
          <w:sz w:val="24"/>
          <w:szCs w:val="24"/>
          <w:lang w:val="es-ES"/>
        </w:rPr>
      </w:pPr>
      <w:r w:rsidRPr="004F609D">
        <w:rPr>
          <w:rFonts w:ascii="Times New Roman" w:hAnsi="Times New Roman" w:cs="Times New Roman"/>
          <w:sz w:val="24"/>
          <w:szCs w:val="24"/>
          <w:lang w:val="es-CR"/>
        </w:rPr>
        <w:t>L</w:t>
      </w:r>
      <w:r w:rsidRPr="00AE6A9C">
        <w:rPr>
          <w:rFonts w:ascii="Times New Roman" w:hAnsi="Times New Roman" w:cs="Times New Roman"/>
          <w:sz w:val="24"/>
          <w:szCs w:val="24"/>
          <w:lang w:val="es-ES"/>
        </w:rPr>
        <w:t xml:space="preserve">os EAC </w:t>
      </w:r>
      <w:r w:rsidRPr="004F609D">
        <w:rPr>
          <w:rFonts w:ascii="Times New Roman" w:hAnsi="Times New Roman" w:cs="Times New Roman"/>
          <w:sz w:val="24"/>
          <w:szCs w:val="24"/>
          <w:lang w:val="es-CR"/>
        </w:rPr>
        <w:t xml:space="preserve">originados por fármacos botánicos y </w:t>
      </w:r>
      <w:r w:rsidRPr="00AE6A9C">
        <w:rPr>
          <w:rFonts w:ascii="Times New Roman" w:hAnsi="Times New Roman" w:cs="Times New Roman"/>
          <w:sz w:val="24"/>
          <w:szCs w:val="24"/>
          <w:lang w:val="es-ES"/>
        </w:rPr>
        <w:t>típicos de la espiritualidad humana, tambi</w:t>
      </w:r>
      <w:r w:rsidRPr="004F609D">
        <w:rPr>
          <w:rFonts w:ascii="Times New Roman" w:hAnsi="Times New Roman" w:cs="Times New Roman"/>
          <w:sz w:val="24"/>
          <w:szCs w:val="24"/>
          <w:lang w:val="es-CR"/>
        </w:rPr>
        <w:t>én han sido destacados en</w:t>
      </w:r>
      <w:r w:rsidRPr="00AE6A9C">
        <w:rPr>
          <w:rFonts w:ascii="Times New Roman" w:hAnsi="Times New Roman" w:cs="Times New Roman"/>
          <w:sz w:val="24"/>
          <w:szCs w:val="24"/>
          <w:lang w:val="es-ES"/>
        </w:rPr>
        <w:t xml:space="preserve"> el enfoque de la psicología transpersonal.</w:t>
      </w:r>
      <w:r w:rsidRPr="004F609D">
        <w:rPr>
          <w:rFonts w:ascii="Times New Roman" w:hAnsi="Times New Roman" w:cs="Times New Roman"/>
          <w:sz w:val="24"/>
          <w:szCs w:val="24"/>
          <w:lang w:val="es-CR"/>
        </w:rPr>
        <w:t xml:space="preserve"> En este contexto, </w:t>
      </w:r>
      <w:r w:rsidRPr="00AE6A9C">
        <w:rPr>
          <w:rFonts w:ascii="Times New Roman" w:hAnsi="Times New Roman" w:cs="Times New Roman"/>
          <w:sz w:val="24"/>
          <w:szCs w:val="24"/>
          <w:lang w:val="es-ES"/>
        </w:rPr>
        <w:lastRenderedPageBreak/>
        <w:t>Méndez (2007) estima</w:t>
      </w:r>
      <w:r w:rsidRPr="004F609D">
        <w:rPr>
          <w:rFonts w:ascii="Times New Roman" w:hAnsi="Times New Roman" w:cs="Times New Roman"/>
          <w:sz w:val="24"/>
          <w:szCs w:val="24"/>
          <w:lang w:val="es-CR"/>
        </w:rPr>
        <w:t xml:space="preserve"> </w:t>
      </w:r>
      <w:r w:rsidRPr="00AE6A9C">
        <w:rPr>
          <w:rFonts w:ascii="Times New Roman" w:hAnsi="Times New Roman" w:cs="Times New Roman"/>
          <w:sz w:val="24"/>
          <w:szCs w:val="24"/>
          <w:lang w:val="es-ES"/>
        </w:rPr>
        <w:t xml:space="preserve">la ingesta ceremonial de enteógenos en el marco conceptual de la filosofía perenne, que juega un papel fundamental en la propuesta psicológica transpersonal de Wilber (1995, 1998, 2005). </w:t>
      </w:r>
      <w:r w:rsidRPr="004F609D">
        <w:rPr>
          <w:rFonts w:ascii="Times New Roman" w:hAnsi="Times New Roman" w:cs="Times New Roman"/>
          <w:sz w:val="24"/>
          <w:szCs w:val="24"/>
          <w:lang w:val="es-CR"/>
        </w:rPr>
        <w:t>Incluso Méndez l</w:t>
      </w:r>
      <w:r w:rsidRPr="00AE6A9C">
        <w:rPr>
          <w:rFonts w:ascii="Times New Roman" w:hAnsi="Times New Roman" w:cs="Times New Roman"/>
          <w:sz w:val="24"/>
          <w:szCs w:val="24"/>
          <w:lang w:val="es-ES"/>
        </w:rPr>
        <w:t>lega a sostener la insuficiencia de la categoría de EAC en el abordaje del fenómeno enteogénico, considerando que es mejor verlo como un “estado no-ordinario de conciencia”. Por tanto, al respecto prefiere hablar de un fenómeno de expansión de la conciencia</w:t>
      </w:r>
      <w:r>
        <w:rPr>
          <w:rFonts w:ascii="Times New Roman" w:hAnsi="Times New Roman" w:cs="Times New Roman"/>
          <w:sz w:val="24"/>
          <w:szCs w:val="24"/>
          <w:lang w:val="es-ES"/>
        </w:rPr>
        <w:t>.</w:t>
      </w:r>
    </w:p>
    <w:p w14:paraId="0A1A50B7" w14:textId="77777777" w:rsidR="001A3E86" w:rsidRPr="00E9784B" w:rsidRDefault="001A3E86" w:rsidP="001A3E86">
      <w:pPr>
        <w:pStyle w:val="NoSpacing"/>
        <w:spacing w:line="360" w:lineRule="auto"/>
        <w:ind w:firstLine="720"/>
        <w:jc w:val="both"/>
        <w:rPr>
          <w:rFonts w:ascii="Times New Roman" w:hAnsi="Times New Roman" w:cs="Times New Roman"/>
          <w:sz w:val="24"/>
          <w:szCs w:val="24"/>
          <w:lang w:val="es-CR"/>
        </w:rPr>
      </w:pPr>
      <w:r w:rsidRPr="00AE6A9C">
        <w:rPr>
          <w:rFonts w:ascii="Times New Roman" w:hAnsi="Times New Roman" w:cs="Times New Roman"/>
          <w:sz w:val="24"/>
          <w:szCs w:val="24"/>
          <w:lang w:val="es-ES"/>
        </w:rPr>
        <w:t xml:space="preserve">De esta razón, Hofman &amp; Schultes (2000) para aludir al contexto y los efectos del consumo de plantas alucinógenos no recurren a la categoría de EAC, sino que reconocen estados sublimes de conciencia y cambios psíquicos alejados de la vida ordinaria, a la vez que, problematizando el término </w:t>
      </w:r>
      <w:r w:rsidRPr="00AE6A9C">
        <w:rPr>
          <w:rFonts w:ascii="Times New Roman" w:hAnsi="Times New Roman" w:cs="Times New Roman"/>
          <w:i/>
          <w:sz w:val="24"/>
          <w:szCs w:val="24"/>
          <w:lang w:val="es-ES"/>
        </w:rPr>
        <w:t>psicomimético</w:t>
      </w:r>
      <w:r w:rsidRPr="00AE6A9C">
        <w:rPr>
          <w:rFonts w:ascii="Times New Roman" w:hAnsi="Times New Roman" w:cs="Times New Roman"/>
          <w:sz w:val="24"/>
          <w:szCs w:val="24"/>
          <w:lang w:val="es-ES"/>
        </w:rPr>
        <w:t xml:space="preserve">, remiten a investigaciones que comprueban que “las actividades cerebrales provocadas por alucinógenos difieren fundamentalmente de las que se presentan durante psicosis auténticas” (p. 12). Es decir, ofrecen una descripción de los efectos de plantas alucinógenas que puede ser considerada dentro la categoría de los EAC con valor espiritual. </w:t>
      </w:r>
    </w:p>
    <w:p w14:paraId="2E972FA8"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Sobre este estado de conciencia, Hofman (1995) menciona un “gran efecto psicomimético” producido por el consumo de </w:t>
      </w:r>
      <w:r w:rsidRPr="00AE6A9C">
        <w:rPr>
          <w:rFonts w:ascii="Times New Roman" w:hAnsi="Times New Roman" w:cs="Times New Roman"/>
          <w:i/>
          <w:sz w:val="24"/>
          <w:szCs w:val="24"/>
          <w:lang w:val="es-ES"/>
        </w:rPr>
        <w:t>Psylocibe mexicana</w:t>
      </w:r>
      <w:r w:rsidRPr="00AE6A9C">
        <w:rPr>
          <w:rFonts w:ascii="Times New Roman" w:hAnsi="Times New Roman" w:cs="Times New Roman"/>
          <w:sz w:val="24"/>
          <w:szCs w:val="24"/>
          <w:lang w:val="es-ES"/>
        </w:rPr>
        <w:t xml:space="preserve"> (una especie de hongo alucinógeno utilizado por los indígenas mexicanos), al experimentarlo en sí mismo. Esta experimentación, realizada en un laboratorio de París, lo condujo a visualizaciones sumamente interesantes y con resultados significativos en su vida. Así lo describe en un informe del primero de julio de 1957:</w:t>
      </w:r>
    </w:p>
    <w:p w14:paraId="790C1C31" w14:textId="77777777" w:rsidR="001A3E86" w:rsidRPr="00E9784B" w:rsidRDefault="001A3E86" w:rsidP="001A3E86">
      <w:pPr>
        <w:pStyle w:val="yiv1427917474msonormal"/>
        <w:tabs>
          <w:tab w:val="left" w:pos="9356"/>
        </w:tabs>
        <w:spacing w:beforeAutospacing="0" w:afterAutospacing="0"/>
        <w:ind w:left="567" w:right="6"/>
        <w:jc w:val="both"/>
        <w:rPr>
          <w:sz w:val="22"/>
          <w:szCs w:val="22"/>
        </w:rPr>
      </w:pPr>
      <w:r w:rsidRPr="00E9784B">
        <w:rPr>
          <w:sz w:val="22"/>
          <w:szCs w:val="22"/>
        </w:rPr>
        <w:t>Treinta minutos después de haber ingerido los hongos, el mundo exterior comenzó a sufrir una transformación. Todo asumía caracteres mejicanos. Consciente de que al saber yo que los hongos procedían de México tendría a imaginar solamente escenarios mejicanos, deliberadamente traté de ver las cosas que me rodeaban como lo haría normalmente, pero todos mis intentos resultaron vanos. Tanto si mis ojos estaban abiertos como si estaban cerrados, lo único que yo veía eran escenas y colores mexicanos. Cuando el doctor que supervisaba el experimento se inclinó hacia mí para tomarme la tensión, se convirtió en un sacerdote azteca y nada me hubiera sorprendido que hubiera blandido un cuchillo de obsidiana, A pesar de lo serio de la situación me divertía observar cómo el rostro alemán de mi colega había adquirido una expresión puramente india. A la hora y media de haber comido los hongos, cuando la intoxicación estaba en su apogeo, una cascada de imágenes la mayoría de ellas abstractas, cambiando rápidamente de forma y color, empezó a desfilar por mi mente tan fugazmente que temí ser arrastrado por el remolino de forma y color hasta diluirme. Unas seis horas duró el sueño, aunque yo no tuve noción alguna del tiempo. Mi vuelta a la realidad de cada día fue como un feliz retorno a casa de un mundo extraño y fantástico, pero muy real al mismo tiempo. (Hofman, Schultes, Wasson &amp; alt. 1995, Teonanacatl, pp. 58-59)</w:t>
      </w:r>
    </w:p>
    <w:p w14:paraId="60A26DAC" w14:textId="77777777" w:rsidR="001A3E86" w:rsidRPr="00AE6A9C" w:rsidRDefault="001A3E86" w:rsidP="001A3E86">
      <w:pPr>
        <w:pStyle w:val="NoSpacing"/>
        <w:jc w:val="both"/>
        <w:rPr>
          <w:rFonts w:ascii="Times New Roman" w:hAnsi="Times New Roman" w:cs="Times New Roman"/>
          <w:sz w:val="24"/>
          <w:szCs w:val="24"/>
          <w:lang w:val="es-ES"/>
        </w:rPr>
      </w:pPr>
    </w:p>
    <w:p w14:paraId="525652A6"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lastRenderedPageBreak/>
        <w:t>Con respecto al carácter de los hongos para estimular imágenes visuales, Weill (1995) señala que estas imágenes derivadas parecen ser la antesala del inconsciente y, por ende, del sistema nervioso voluntario. Añade a su vez que la visualización viene a ser una técnica básica en muchos sistemas de concentración, meditación y curación, y que la “experiencia del mundo que nos rodea puede estar condicionada, al menos en parte, por las imágenes que de él tenemos en nuestra mente” (Hofman, Schultes, Wasson &amp; alt. 1995, Teonanacatl, pp. 65-66).</w:t>
      </w:r>
    </w:p>
    <w:p w14:paraId="54AD8B1C"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Por la visualización y los efectos que tuvieron los hongos en Hofman, se podría estar ante la descripción de EAC con valor espiritual, pues dista de ser un simple estado de intoxicación o de psicosis inducida (estado cuyo tratamiento sería indistinto desde un enfoque fenomelógico-psicologista), antes se conforma un estado excepcional emocionalmente positivo y deseable. </w:t>
      </w:r>
    </w:p>
    <w:p w14:paraId="20BEA517"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La tipicidad de que lo descrito sea en efecto un EAC en vinculación con lo trascendente parece estar confirmada con la descripción de otro estado similar vivido por Hofman, cuando él junto a Gordon Wasson se remonta a México e incursiona en la experiencia ceremonial enteogénica con la reconocida curandera María Sabina (quien accede a utilizar el “espíritu de los hongos” extraído en forma de píldoras, entiéndase </w:t>
      </w:r>
      <w:r w:rsidRPr="00AE6A9C">
        <w:rPr>
          <w:rFonts w:ascii="Times New Roman" w:hAnsi="Times New Roman" w:cs="Times New Roman"/>
          <w:i/>
          <w:sz w:val="24"/>
          <w:szCs w:val="24"/>
          <w:lang w:val="es-ES"/>
        </w:rPr>
        <w:t>psilocibina</w:t>
      </w:r>
      <w:r w:rsidRPr="00AE6A9C">
        <w:rPr>
          <w:rFonts w:ascii="Times New Roman" w:hAnsi="Times New Roman" w:cs="Times New Roman"/>
          <w:sz w:val="24"/>
          <w:szCs w:val="24"/>
          <w:lang w:val="es-ES"/>
        </w:rPr>
        <w:t xml:space="preserve"> obtenida en laboratorio, pues no había hongos en dicha época del año). La experiencia vivida presentó los mismos efectos que se daban con los hongos sagrados y también derivó en dos predicciones sobre la vida familiar de la esposa de Gordon Wasson, que luego resultaron ciertas, y que en su momento brindaron mucha tranquilidad esta señora, según describe Hofman (Hofman, Schultes, Wasson &amp; alt. 1995, Teonanacatl, pp. 65-66).</w:t>
      </w:r>
    </w:p>
    <w:p w14:paraId="4CD016C1"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En este viaje también investiga otras dos drogas mágicas de México: el ololiuhqui, develando así sus principios activos como amidas de ácido lisérgico (íntimamente relacionado con el LSD y otros alcaloides del cornezuelo) y la pipilzintzintli (referida en antiguos códices y en español como “hojas de la pastora”), identificándola botánicamente con la ayuda de una curadera (Hofman, Schultes, Wasson &amp; alt. 1995, Teonanacatl, p. 65).</w:t>
      </w:r>
    </w:p>
    <w:p w14:paraId="6605DB2E"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 xml:space="preserve">Por otra parte, en el campo de antropología, la discusión sobre este tipo de estados de conciencia ha sido bastante desarrollada por Mircea Eliade y Michael J. Winkelman, quienes desde perspectivas distintas remiten a dichos estados en la práctica del </w:t>
      </w:r>
      <w:r w:rsidRPr="00AE6A9C">
        <w:rPr>
          <w:rFonts w:ascii="Times New Roman" w:hAnsi="Times New Roman" w:cs="Times New Roman"/>
          <w:sz w:val="24"/>
          <w:szCs w:val="24"/>
          <w:lang w:val="es-ES"/>
        </w:rPr>
        <w:lastRenderedPageBreak/>
        <w:t>chamanismo. La diferencia estriba en que la interpretación de Eliade (1966), que dominara en la antropología nativa durante décadas, niega rotundamente la importancia de los “alucinógenos enteógenos” en la cultura nativa, mientras que la interpretación de Winkelman (2000) indica que las personas que desarrollan rasgos chamánicos han incursionado en una “tecnología de la conciencia”, que puede incluir “uso inteligente de la herbología y uso igualmente inteligente de sustancias alucinatorias, etc” (Quirce-Balma &amp; alt. 2009, p. 2, 11).</w:t>
      </w:r>
    </w:p>
    <w:p w14:paraId="09B6513A"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Eliade (2009) no utiliza la categoría de EAC, pero comprende el chamanismo como “técnica del éxtasis”, estado considerado generalmente en vinculación con lo trascendente, aunque diferencia al chamán de cualquier extático en la medida en que “éste es el especialista de un trance durante el cual su alma cree que abandona el cuerpo para emprender ascensiones al Cielo o descendimientos al Infierno” y quien logra relacionarse con los “espíritus”, estimando que un espíritu puede ser “el alma de un difunto, un «espíritu de la Naturaleza», un animal mítico, etc” (pp. 22-</w:t>
      </w:r>
      <w:r w:rsidR="00B56345">
        <w:rPr>
          <w:rFonts w:ascii="Times New Roman" w:hAnsi="Times New Roman" w:cs="Times New Roman"/>
          <w:sz w:val="24"/>
          <w:szCs w:val="24"/>
          <w:lang w:val="es-ES"/>
        </w:rPr>
        <w:t>2</w:t>
      </w:r>
      <w:r w:rsidRPr="00AE6A9C">
        <w:rPr>
          <w:rFonts w:ascii="Times New Roman" w:hAnsi="Times New Roman" w:cs="Times New Roman"/>
          <w:sz w:val="24"/>
          <w:szCs w:val="24"/>
          <w:lang w:val="es-ES"/>
        </w:rPr>
        <w:t xml:space="preserve">3). </w:t>
      </w:r>
    </w:p>
    <w:p w14:paraId="3256C58F"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t>No obstante, Eliade (2009) no otorga mérito espiritual a los estados inducidos por narcóticos, pues sostiene que estos son “únicamente un sustituto vulgar del trance «puro»”, considerando así que se trata de imitar, por embriaguez narcótica, “un estado espiritual que ya no se es capaz de conseguir de otro modo” (p. 313).</w:t>
      </w:r>
    </w:p>
    <w:p w14:paraId="45E5CE39" w14:textId="77777777" w:rsidR="001A3E86" w:rsidRPr="00AE6A9C" w:rsidRDefault="001A3E86" w:rsidP="001A3E86">
      <w:pPr>
        <w:pStyle w:val="NoSpacing"/>
        <w:spacing w:line="360" w:lineRule="auto"/>
        <w:ind w:firstLine="567"/>
        <w:jc w:val="both"/>
        <w:rPr>
          <w:rFonts w:ascii="Times New Roman" w:hAnsi="Times New Roman" w:cs="Times New Roman"/>
          <w:sz w:val="24"/>
          <w:szCs w:val="24"/>
          <w:lang w:val="es-ES"/>
        </w:rPr>
      </w:pPr>
      <w:r w:rsidRPr="004F609D">
        <w:rPr>
          <w:rFonts w:ascii="Times New Roman" w:hAnsi="Times New Roman" w:cs="Times New Roman"/>
          <w:sz w:val="24"/>
          <w:szCs w:val="24"/>
          <w:lang w:val="es-CR"/>
        </w:rPr>
        <w:t>Para Quirce-Balma (1994), la experiencia chamánica puede estar mediada por fármacos. Se muestra el estado “normal” caracterizado fenomenológicamente por la contraposición entre lo tuyo y lo mío, que nutre el pensamiento del ser como real y dejar de ser como maldito a ser: el tener de un aquí y un allá en la ausencia de esto o de aquello y el antiser en pobreza. En cambio, en lo alucinatorio, lo engrámico y lo arquetipal, se tiene el sentido en donde se es, fue y será simultáneo: el ser así, mediante la concreción del ser y el antiser. El perder de vista el proceso lleva a la confusión entre lo mío como esto de yo y aquello como esto de vosotros, origen de la falsa demarcación propuesta por la paranoia. De modo que lo nuestro es una lucha entre lo mío y lo vuestro. Dilema solucionado por los Incas al establecer el poder como “aquello” donde lo “tuyo” no niega lo “mío”, solución que cae al olvido por el “advenimiento del desastre en el pensamiento y el lenguaje adrede de lo experiencial” (Quirce-Balma, 1994, p. 151).</w:t>
      </w:r>
    </w:p>
    <w:p w14:paraId="1C25414B" w14:textId="77777777" w:rsidR="001A3E86" w:rsidRPr="00AE6A9C" w:rsidRDefault="001A3E86" w:rsidP="001A3E86">
      <w:pPr>
        <w:pStyle w:val="NoSpacing"/>
        <w:spacing w:line="360" w:lineRule="auto"/>
        <w:ind w:firstLine="360"/>
        <w:jc w:val="both"/>
        <w:rPr>
          <w:rFonts w:ascii="Times New Roman" w:hAnsi="Times New Roman" w:cs="Times New Roman"/>
          <w:sz w:val="24"/>
          <w:szCs w:val="24"/>
          <w:lang w:val="es-ES"/>
        </w:rPr>
      </w:pPr>
      <w:r w:rsidRPr="00AE6A9C">
        <w:rPr>
          <w:rFonts w:ascii="Times New Roman" w:hAnsi="Times New Roman" w:cs="Times New Roman"/>
          <w:sz w:val="24"/>
          <w:szCs w:val="24"/>
          <w:lang w:val="es-ES"/>
        </w:rPr>
        <w:lastRenderedPageBreak/>
        <w:t>También de forma distinta a Eliade, Winkelman (1990) utiliza la categoría de EAC en su estudio del chamanismo e incluye el estado enteogénico dentro de dicho estudio. Sostiene la importancia de los EAC en las prácticas chamánicas de sanación y de adivinación, considerando que estos estados pueden ser inducidos por una gran variedad de factores, entre los que incluye el consumo de sustancias alucinógenas, opiáceos y otras drogas.</w:t>
      </w:r>
    </w:p>
    <w:p w14:paraId="5C4692E4" w14:textId="77777777" w:rsidR="001A3E86" w:rsidRPr="00E9784B" w:rsidRDefault="001A3E86" w:rsidP="001A3E86">
      <w:pPr>
        <w:pStyle w:val="Heading2"/>
        <w:numPr>
          <w:ilvl w:val="0"/>
          <w:numId w:val="9"/>
        </w:numPr>
        <w:jc w:val="both"/>
        <w:rPr>
          <w:rFonts w:ascii="Times New Roman" w:hAnsi="Times New Roman"/>
          <w:color w:val="auto"/>
          <w:sz w:val="24"/>
          <w:szCs w:val="24"/>
        </w:rPr>
      </w:pPr>
      <w:bookmarkStart w:id="37" w:name="_Toc474090237"/>
      <w:r w:rsidRPr="00E9784B">
        <w:rPr>
          <w:rFonts w:ascii="Times New Roman" w:hAnsi="Times New Roman"/>
          <w:color w:val="auto"/>
          <w:sz w:val="24"/>
          <w:szCs w:val="24"/>
        </w:rPr>
        <w:t>La espiritualidad enteogénica desde la teología intercultural</w:t>
      </w:r>
      <w:bookmarkEnd w:id="37"/>
      <w:r w:rsidRPr="00E9784B">
        <w:rPr>
          <w:rFonts w:ascii="Times New Roman" w:hAnsi="Times New Roman"/>
          <w:color w:val="auto"/>
          <w:sz w:val="24"/>
          <w:szCs w:val="24"/>
        </w:rPr>
        <w:t xml:space="preserve"> </w:t>
      </w:r>
    </w:p>
    <w:p w14:paraId="1A7E1AF5" w14:textId="77777777" w:rsidR="001A3E86" w:rsidRPr="004F609D" w:rsidRDefault="001A3E86" w:rsidP="001A3E86">
      <w:pPr>
        <w:pStyle w:val="BodyText"/>
        <w:spacing w:after="0" w:line="360" w:lineRule="auto"/>
        <w:ind w:firstLine="720"/>
        <w:jc w:val="both"/>
        <w:rPr>
          <w:rFonts w:ascii="Arial" w:hAnsi="Arial" w:cs="Arial"/>
          <w:sz w:val="24"/>
          <w:szCs w:val="24"/>
          <w:lang w:val="es-CR"/>
        </w:rPr>
      </w:pPr>
    </w:p>
    <w:p w14:paraId="72DCF295"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Ciertamente la relación entre farmacología y religión ha sido estrecha, el uso de fármacos ha sido usanza en religiones ancestrales del todo el mundo. En el caso de América Latina, este tipo de espiritualidad ha sido condenada por el cristianismo, cuando para los indígenas no había sido objeto de censura, antes las sustancias enteogénicas eran necesarias para alcanzar determinas experiencias espirituales. En este sentido, la teología de la liberación puede considerar también una espiritualidad del oprimido, en el tanto y cuando le fuera negada en la conquista y la colonización, mediante una religión que pregonaba cierta sobriedad. Incluso por tal persecución y censura, se ha perdido gran parte de la riqueza cultural y espiritual desarrollada en torno a las sustancias enteogénicas.</w:t>
      </w:r>
    </w:p>
    <w:p w14:paraId="21532635"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Para lo anterior, pueden ayudar las conclusiones de los estudios etnopsicofarmacológicos de Quirce-Balma, que permiten mostrar como a nivel cerebral no existe mayor diferencia entre la espiritualidad suscitada entre el consumo de fármacos y aquella que se logra por la oración o la meditación.</w:t>
      </w:r>
    </w:p>
    <w:p w14:paraId="0DED7E46"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Paralelamente cabe destacar que la teología tradicional dentro de sus dogmas evoca experiencias en las que el uso de fármacos, como el vino, ha sido un elemento fundamental ritualista y de la experiencia religiosa, incluso el consumo de sustancias alucinógenas, como el </w:t>
      </w:r>
      <w:r w:rsidRPr="004F609D">
        <w:rPr>
          <w:rFonts w:ascii="Times New Roman" w:hAnsi="Times New Roman" w:cs="Times New Roman"/>
          <w:i/>
          <w:sz w:val="24"/>
          <w:szCs w:val="24"/>
          <w:lang w:val="es-CR"/>
        </w:rPr>
        <w:t>ergot</w:t>
      </w:r>
      <w:r w:rsidRPr="004F609D">
        <w:rPr>
          <w:rFonts w:ascii="Times New Roman" w:hAnsi="Times New Roman" w:cs="Times New Roman"/>
          <w:sz w:val="24"/>
          <w:szCs w:val="24"/>
          <w:lang w:val="es-CR"/>
        </w:rPr>
        <w:t>, ha sido valorado tanto como propio de santidad como de brujería.</w:t>
      </w:r>
    </w:p>
    <w:p w14:paraId="6B11EDB0"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Sin embargo, actualmente, la sociedad occidental todavía mantiene una relación ambivalente con los fármacos, pues ha visto en estos un negocio y una cuestión maligna o nociva. Al respecto se ha desatado una especie de simonía y cruzada de forma paralela, puesto que por un lado se comercia con sustancias que alteran la conciencia, que tienen y han tenido una connotación sagrada, tanto a nivel de las farmacéuticas como de los carteles del narcotráfico; pero por otro lado se persigue este comercio ilícito o se censura aquel </w:t>
      </w:r>
      <w:r w:rsidRPr="004F609D">
        <w:rPr>
          <w:rFonts w:ascii="Times New Roman" w:hAnsi="Times New Roman" w:cs="Times New Roman"/>
          <w:sz w:val="24"/>
          <w:szCs w:val="24"/>
          <w:lang w:val="es-CR"/>
        </w:rPr>
        <w:lastRenderedPageBreak/>
        <w:t>consumo que modifica la conciencia, siendo considerado el uso para adictos o para personas con problemas psiquiátricos o psicológicos.</w:t>
      </w:r>
    </w:p>
    <w:p w14:paraId="29D863DD"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De este modo, lo que otrora era una relación con lo sagrado, actualmente es mediado por el capital, sea por una farmaceuticocracia o por narcotraficocracia, con la particularidad de que el capital no tiene que revestir la cosa de alguna magia para lograr su venta, sino de valerse de la magia suscitada por la misma sustancia. Esta magia es manejada ya no solo por brujas o chamanes sino también por médicos, farmaceutas y narcotraficantes.</w:t>
      </w:r>
    </w:p>
    <w:p w14:paraId="6D7BD08D"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Entiéndase que existe una farmacocracia mediada por relación del capital, en donde el dueño del medio de producción es amo y señor de quien depende del consumo de esta sustancia, dando hasta su vida con el fin de obtenerla. Por otro lado, por convención psiquiátrica se recetan fármacos al enfermo mental, en donde median grandes intereses industriales. A esta razón, nace la simonía del fármaco. </w:t>
      </w:r>
    </w:p>
    <w:p w14:paraId="41FCA510" w14:textId="77777777" w:rsidR="001A3E86" w:rsidRPr="004F609D" w:rsidRDefault="001A3E86" w:rsidP="001A3E86">
      <w:pPr>
        <w:pStyle w:val="BodyText"/>
        <w:spacing w:after="0" w:line="360" w:lineRule="auto"/>
        <w:jc w:val="both"/>
        <w:rPr>
          <w:rFonts w:ascii="Arial" w:hAnsi="Arial" w:cs="Arial"/>
          <w:sz w:val="24"/>
          <w:szCs w:val="24"/>
          <w:lang w:val="es-CR"/>
        </w:rPr>
      </w:pPr>
    </w:p>
    <w:p w14:paraId="145529C3" w14:textId="77777777" w:rsidR="001A3E86" w:rsidRPr="004F609D" w:rsidRDefault="001A3E86" w:rsidP="001A3E86">
      <w:pPr>
        <w:pStyle w:val="BodyText"/>
        <w:spacing w:after="0" w:line="360" w:lineRule="auto"/>
        <w:jc w:val="both"/>
        <w:rPr>
          <w:rFonts w:ascii="Arial" w:hAnsi="Arial" w:cs="Arial"/>
          <w:sz w:val="24"/>
          <w:szCs w:val="24"/>
          <w:lang w:val="es-CR"/>
        </w:rPr>
      </w:pPr>
    </w:p>
    <w:p w14:paraId="222FD43D" w14:textId="77777777" w:rsidR="001A3E86" w:rsidRPr="004F609D" w:rsidRDefault="001A3E86" w:rsidP="001A3E86">
      <w:pPr>
        <w:pStyle w:val="BodyText"/>
        <w:spacing w:after="0" w:line="360" w:lineRule="auto"/>
        <w:jc w:val="both"/>
        <w:rPr>
          <w:rFonts w:ascii="Arial" w:hAnsi="Arial" w:cs="Arial"/>
          <w:sz w:val="24"/>
          <w:szCs w:val="24"/>
          <w:lang w:val="es-CR"/>
        </w:rPr>
      </w:pPr>
    </w:p>
    <w:p w14:paraId="1FEDFD0E" w14:textId="77777777" w:rsidR="001A3E86" w:rsidRPr="004F609D" w:rsidRDefault="001A3E86" w:rsidP="001A3E86">
      <w:pPr>
        <w:pStyle w:val="BodyText"/>
        <w:spacing w:after="0" w:line="360" w:lineRule="auto"/>
        <w:jc w:val="both"/>
        <w:rPr>
          <w:rFonts w:ascii="Arial" w:hAnsi="Arial" w:cs="Arial"/>
          <w:sz w:val="24"/>
          <w:szCs w:val="24"/>
          <w:lang w:val="es-CR"/>
        </w:rPr>
      </w:pPr>
    </w:p>
    <w:p w14:paraId="0811D436" w14:textId="77777777" w:rsidR="001A3E86" w:rsidRPr="004F609D" w:rsidRDefault="001A3E86" w:rsidP="001A3E86">
      <w:pPr>
        <w:pStyle w:val="BodyText"/>
        <w:spacing w:after="0" w:line="360" w:lineRule="auto"/>
        <w:jc w:val="both"/>
        <w:rPr>
          <w:rFonts w:ascii="Arial" w:hAnsi="Arial" w:cs="Arial"/>
          <w:sz w:val="24"/>
          <w:szCs w:val="24"/>
          <w:lang w:val="es-CR"/>
        </w:rPr>
      </w:pPr>
    </w:p>
    <w:p w14:paraId="2F06D217" w14:textId="77777777" w:rsidR="001A3E86" w:rsidRPr="004F609D" w:rsidRDefault="001A3E86" w:rsidP="001A3E86">
      <w:pPr>
        <w:pStyle w:val="BodyText"/>
        <w:spacing w:after="0" w:line="360" w:lineRule="auto"/>
        <w:jc w:val="both"/>
        <w:rPr>
          <w:rFonts w:ascii="Arial" w:hAnsi="Arial" w:cs="Arial"/>
          <w:sz w:val="24"/>
          <w:szCs w:val="24"/>
          <w:lang w:val="es-CR"/>
        </w:rPr>
      </w:pPr>
    </w:p>
    <w:p w14:paraId="33B69838" w14:textId="77777777" w:rsidR="001A3E86" w:rsidRPr="004F609D" w:rsidRDefault="001A3E86" w:rsidP="001A3E86">
      <w:pPr>
        <w:pStyle w:val="BodyText"/>
        <w:spacing w:after="0" w:line="360" w:lineRule="auto"/>
        <w:jc w:val="both"/>
        <w:rPr>
          <w:rFonts w:ascii="Arial" w:hAnsi="Arial" w:cs="Arial"/>
          <w:sz w:val="24"/>
          <w:szCs w:val="24"/>
          <w:lang w:val="es-CR"/>
        </w:rPr>
      </w:pPr>
    </w:p>
    <w:p w14:paraId="7EFA6A57" w14:textId="77777777" w:rsidR="001A3E86" w:rsidRPr="004F609D" w:rsidRDefault="001A3E86" w:rsidP="001A3E86">
      <w:pPr>
        <w:pStyle w:val="BodyText"/>
        <w:spacing w:after="0" w:line="360" w:lineRule="auto"/>
        <w:jc w:val="both"/>
        <w:rPr>
          <w:rFonts w:ascii="Arial" w:hAnsi="Arial" w:cs="Arial"/>
          <w:sz w:val="24"/>
          <w:szCs w:val="24"/>
          <w:lang w:val="es-CR"/>
        </w:rPr>
      </w:pPr>
    </w:p>
    <w:p w14:paraId="67CE8F2D" w14:textId="77777777" w:rsidR="001A3E86" w:rsidRPr="004F609D" w:rsidRDefault="001A3E86" w:rsidP="001A3E86">
      <w:pPr>
        <w:pStyle w:val="BodyText"/>
        <w:spacing w:after="0" w:line="360" w:lineRule="auto"/>
        <w:jc w:val="both"/>
        <w:rPr>
          <w:rFonts w:ascii="Arial" w:hAnsi="Arial" w:cs="Arial"/>
          <w:sz w:val="24"/>
          <w:szCs w:val="24"/>
          <w:lang w:val="es-CR"/>
        </w:rPr>
      </w:pPr>
    </w:p>
    <w:p w14:paraId="7A57B00C" w14:textId="77777777" w:rsidR="001A3E86" w:rsidRPr="004F609D" w:rsidRDefault="001A3E86" w:rsidP="001A3E86">
      <w:pPr>
        <w:pStyle w:val="BodyText"/>
        <w:spacing w:after="0" w:line="360" w:lineRule="auto"/>
        <w:jc w:val="both"/>
        <w:rPr>
          <w:rFonts w:ascii="Arial" w:hAnsi="Arial" w:cs="Arial"/>
          <w:sz w:val="24"/>
          <w:szCs w:val="24"/>
          <w:lang w:val="es-CR"/>
        </w:rPr>
      </w:pPr>
    </w:p>
    <w:p w14:paraId="1109C27C" w14:textId="77777777" w:rsidR="001A3E86" w:rsidRPr="004F609D" w:rsidRDefault="001A3E86" w:rsidP="001A3E86">
      <w:pPr>
        <w:pStyle w:val="BodyText"/>
        <w:spacing w:after="0" w:line="360" w:lineRule="auto"/>
        <w:jc w:val="both"/>
        <w:rPr>
          <w:rFonts w:ascii="Arial" w:hAnsi="Arial" w:cs="Arial"/>
          <w:sz w:val="24"/>
          <w:szCs w:val="24"/>
          <w:lang w:val="es-CR"/>
        </w:rPr>
      </w:pPr>
    </w:p>
    <w:p w14:paraId="3E76C7EB" w14:textId="77777777" w:rsidR="001A3E86" w:rsidRPr="00E9784B" w:rsidRDefault="001A3E86" w:rsidP="001A3E86">
      <w:pPr>
        <w:pStyle w:val="Heading1"/>
        <w:rPr>
          <w:rFonts w:ascii="Times New Roman" w:hAnsi="Times New Roman"/>
          <w:sz w:val="24"/>
          <w:szCs w:val="24"/>
        </w:rPr>
      </w:pPr>
      <w:bookmarkStart w:id="38" w:name="_Toc474090238"/>
      <w:r w:rsidRPr="00E9784B">
        <w:rPr>
          <w:rFonts w:ascii="Times New Roman" w:hAnsi="Times New Roman"/>
          <w:sz w:val="24"/>
          <w:szCs w:val="24"/>
        </w:rPr>
        <w:t>Segundo Capítulo</w:t>
      </w:r>
      <w:bookmarkEnd w:id="38"/>
      <w:r w:rsidRPr="00E9784B">
        <w:rPr>
          <w:rFonts w:ascii="Times New Roman" w:hAnsi="Times New Roman"/>
          <w:sz w:val="24"/>
          <w:szCs w:val="24"/>
        </w:rPr>
        <w:t xml:space="preserve"> </w:t>
      </w:r>
    </w:p>
    <w:p w14:paraId="6DE0570A" w14:textId="77777777" w:rsidR="001A3E86" w:rsidRPr="00E9784B" w:rsidRDefault="001A3E86" w:rsidP="001A3E86">
      <w:pPr>
        <w:pStyle w:val="Heading1"/>
        <w:rPr>
          <w:rFonts w:ascii="Times New Roman" w:hAnsi="Times New Roman"/>
          <w:sz w:val="24"/>
          <w:szCs w:val="24"/>
        </w:rPr>
      </w:pPr>
      <w:bookmarkStart w:id="39" w:name="_Toc474090239"/>
      <w:r w:rsidRPr="00E9784B">
        <w:rPr>
          <w:rFonts w:ascii="Times New Roman" w:hAnsi="Times New Roman"/>
          <w:sz w:val="24"/>
          <w:szCs w:val="24"/>
        </w:rPr>
        <w:t>La memoria cultural de la espiritualidad enteogénica y la ontopraxis.</w:t>
      </w:r>
      <w:bookmarkEnd w:id="39"/>
    </w:p>
    <w:p w14:paraId="5277FE36" w14:textId="77777777" w:rsidR="001A3E86" w:rsidRPr="004F609D" w:rsidRDefault="001A3E86" w:rsidP="001A3E86">
      <w:pPr>
        <w:spacing w:after="200" w:line="276" w:lineRule="auto"/>
        <w:jc w:val="center"/>
        <w:rPr>
          <w:rFonts w:ascii="Arial" w:hAnsi="Arial" w:cs="Arial"/>
          <w:b/>
          <w:sz w:val="24"/>
          <w:szCs w:val="24"/>
          <w:lang w:val="es-CR"/>
        </w:rPr>
      </w:pPr>
    </w:p>
    <w:p w14:paraId="606046E4" w14:textId="77777777" w:rsidR="001A3E86" w:rsidRPr="004C438D" w:rsidRDefault="001A3E86" w:rsidP="001A3E86">
      <w:pPr>
        <w:pStyle w:val="Default"/>
        <w:jc w:val="right"/>
      </w:pPr>
      <w:r w:rsidRPr="004C438D">
        <w:t xml:space="preserve">«La adormidera tiene la propiedad de estirar el tiempo casi hasta el infinito; no el tiempo de los relojes [...] sino el que es enteramente residencia y posesión del hombre, a la vez presente y ausente. Es el mayor de los lujos: tener un tiempo propio» E. JÜNGER, </w:t>
      </w:r>
      <w:r w:rsidRPr="004C438D">
        <w:rPr>
          <w:i/>
          <w:iCs/>
        </w:rPr>
        <w:t>Acercamientos, 1193</w:t>
      </w:r>
      <w:r w:rsidRPr="004C438D">
        <w:t xml:space="preserve"> </w:t>
      </w:r>
      <w:r>
        <w:t>(</w:t>
      </w:r>
      <w:r w:rsidRPr="004C438D">
        <w:t xml:space="preserve">Escohotado, </w:t>
      </w:r>
      <w:r>
        <w:t>1998, p</w:t>
      </w:r>
      <w:r w:rsidRPr="004C438D">
        <w:t>. 415</w:t>
      </w:r>
      <w:r>
        <w:t>)</w:t>
      </w:r>
      <w:r w:rsidRPr="004C438D">
        <w:t xml:space="preserve">  </w:t>
      </w:r>
    </w:p>
    <w:p w14:paraId="688C7A88" w14:textId="77777777" w:rsidR="001A3E86" w:rsidRPr="004F609D" w:rsidRDefault="001A3E86" w:rsidP="001A3E86">
      <w:pPr>
        <w:pStyle w:val="BodyText"/>
        <w:spacing w:after="0" w:line="360" w:lineRule="auto"/>
        <w:ind w:left="720"/>
        <w:jc w:val="both"/>
        <w:rPr>
          <w:rFonts w:ascii="Arial" w:hAnsi="Arial" w:cs="Arial"/>
          <w:sz w:val="24"/>
          <w:szCs w:val="24"/>
          <w:lang w:val="es-CR"/>
        </w:rPr>
      </w:pPr>
    </w:p>
    <w:p w14:paraId="7045AE36" w14:textId="77777777" w:rsidR="001A3E86" w:rsidRPr="004F609D" w:rsidRDefault="001A3E86" w:rsidP="001A3E86">
      <w:pPr>
        <w:pStyle w:val="NoSpacing"/>
        <w:spacing w:line="360" w:lineRule="auto"/>
        <w:jc w:val="both"/>
        <w:rPr>
          <w:rFonts w:ascii="Times New Roman" w:hAnsi="Times New Roman" w:cs="Times New Roman"/>
          <w:sz w:val="24"/>
          <w:szCs w:val="24"/>
          <w:lang w:val="es-CR"/>
        </w:rPr>
      </w:pPr>
    </w:p>
    <w:p w14:paraId="3C3942A8"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no-linealidad del tiempo es una característica de aquellas cosmovisiones que no se enmarcan dentro del devenir de la Historia, en tanto esta consista en la linealidad predominante u oficial en el curso del progreso de Occidente. Así mismo, cabe destacar que pueden existir otras linealidades históricas, cosmovisiones que tienen otro curso al predominante. No cabe duda que</w:t>
      </w:r>
      <w:r w:rsidR="001C19DD">
        <w:rPr>
          <w:rFonts w:ascii="Times New Roman" w:hAnsi="Times New Roman" w:cs="Times New Roman"/>
          <w:sz w:val="24"/>
          <w:szCs w:val="24"/>
          <w:lang w:val="es-CR"/>
        </w:rPr>
        <w:t xml:space="preserve">, con la Historia, se marginan y </w:t>
      </w:r>
      <w:r w:rsidRPr="004F609D">
        <w:rPr>
          <w:rFonts w:ascii="Times New Roman" w:hAnsi="Times New Roman" w:cs="Times New Roman"/>
          <w:sz w:val="24"/>
          <w:szCs w:val="24"/>
          <w:lang w:val="es-CR"/>
        </w:rPr>
        <w:t>niegan historias, aquellas memorias culturales que como documentos memorizan otra relación del ser humano con el tiempo. De ahí la estrechez de la Historia lineal para entender el devenir de lo humano en todas sus revelaciones y la posibilidad de que no todo sea Historia, sino de que existan también otros caminos en el tiempo y del tiempo</w:t>
      </w:r>
      <w:sdt>
        <w:sdtPr>
          <w:rPr>
            <w:rFonts w:ascii="Times New Roman" w:hAnsi="Times New Roman" w:cs="Times New Roman"/>
            <w:sz w:val="24"/>
            <w:szCs w:val="24"/>
          </w:rPr>
          <w:id w:val="-1493256941"/>
          <w:citation/>
        </w:sdtPr>
        <w:sdtContent>
          <w:r w:rsidRPr="00E9784B">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For08 \l 22538 </w:instrText>
          </w:r>
          <w:r w:rsidRPr="00E9784B">
            <w:rPr>
              <w:rFonts w:ascii="Times New Roman" w:hAnsi="Times New Roman" w:cs="Times New Roman"/>
              <w:sz w:val="24"/>
              <w:szCs w:val="24"/>
            </w:rPr>
            <w:fldChar w:fldCharType="separate"/>
          </w:r>
          <w:r w:rsidRPr="004F609D">
            <w:rPr>
              <w:rFonts w:ascii="Times New Roman" w:hAnsi="Times New Roman" w:cs="Times New Roman"/>
              <w:sz w:val="24"/>
              <w:szCs w:val="24"/>
              <w:lang w:val="es-CR"/>
            </w:rPr>
            <w:t xml:space="preserve"> (Fornet-Betancourt, 2008)</w:t>
          </w:r>
          <w:r w:rsidRPr="00E9784B">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w:t>
      </w:r>
    </w:p>
    <w:p w14:paraId="7BBEF661"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pluralidad de caminos en el tiempo y del tiempo, incluso la no-linealidad temporal, en nuestra América no ha sido suficientemente abordada desde la teología, siendo la teología intercultural la que interpela sobre este descuido. No escuchar o no querer ver ha sido parte de un legado colonial, en el que las relaciones de poder dividieron el tiempo, al mundo y al ser humano. Se marcó un antes y un después, distintamente a las cosmovisiones autóctonas en las cuales no cabía sino un eterno retorno u otras líneas temporales, elementos propios de espiritualidades en las que el mundo fue y es visto de forma distinta.</w:t>
      </w:r>
    </w:p>
    <w:p w14:paraId="67FECEC9"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Si bien en principio el cristianismo sostiene que el reino de Dios no está en el más allá, sino que se va produciendo en el más acá con la transformación de la humanidad, cambia con el transcurso del tiempo, cuando se hace con el poder, y se convierte en la religión más agresiva de la historia (Hinkelammert, 2003, pp. 113-</w:t>
      </w:r>
      <w:r w:rsidR="00B56345">
        <w:rPr>
          <w:rFonts w:ascii="Times New Roman" w:hAnsi="Times New Roman" w:cs="Times New Roman"/>
          <w:sz w:val="24"/>
          <w:szCs w:val="24"/>
          <w:lang w:val="es-CR"/>
        </w:rPr>
        <w:t>1</w:t>
      </w:r>
      <w:r w:rsidRPr="004F609D">
        <w:rPr>
          <w:rFonts w:ascii="Times New Roman" w:hAnsi="Times New Roman" w:cs="Times New Roman"/>
          <w:sz w:val="24"/>
          <w:szCs w:val="24"/>
          <w:lang w:val="es-CR"/>
        </w:rPr>
        <w:t>14). De este modo, llega con la conquista un cristianismo occidental o desde el poder, cuya historia es en esencia la Historia predominante.</w:t>
      </w:r>
    </w:p>
    <w:p w14:paraId="354FF66C"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No obstante, a lo anterior no por ello puede negarse que en el mundo precolombino hubo relaciones de poder o que existieran imposiciones entre los grupos autóctonos que pretendieran anular determinadas visiones de mundo, puesto que hubo imperios y guerras. La cuestión es que el genocidio de la conquista y la colonia han eclipsado espiritualidades en las que el uso de fármacos era fundamental, aunque no por esto puede decirse que toda espiritualidad precolombina tuviese este componente o que todo consumo farmacológico fuera espiritual o ceremonial. </w:t>
      </w:r>
    </w:p>
    <w:p w14:paraId="57AD5B4F"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lastRenderedPageBreak/>
        <w:t>En este punto cabe preguntarse si la espiritualidad de las drogas enteogénicas del mundo precolombino pudo compaginar con ese devenir de la historia o con el cristianismo, posee otra linealidad histórica o bien cabe dentro del campo temático de la no-linealidad del tiempo. Finalmente, si es la ontopraxis una respuesta a este cuestionamiento.</w:t>
      </w:r>
    </w:p>
    <w:p w14:paraId="3094C9E1" w14:textId="77777777" w:rsidR="001A3E86" w:rsidRPr="004F609D" w:rsidRDefault="001A3E86" w:rsidP="001A3E86">
      <w:pPr>
        <w:pStyle w:val="BodyText"/>
        <w:spacing w:after="0" w:line="360" w:lineRule="auto"/>
        <w:jc w:val="both"/>
        <w:rPr>
          <w:rFonts w:ascii="Arial" w:hAnsi="Arial" w:cs="Arial"/>
          <w:sz w:val="24"/>
          <w:szCs w:val="24"/>
          <w:lang w:val="es-CR"/>
        </w:rPr>
      </w:pPr>
    </w:p>
    <w:p w14:paraId="571190F5" w14:textId="77777777" w:rsidR="001A3E86" w:rsidRPr="00E9784B" w:rsidRDefault="001A3E86" w:rsidP="001A3E86">
      <w:pPr>
        <w:pStyle w:val="Heading2"/>
        <w:numPr>
          <w:ilvl w:val="6"/>
          <w:numId w:val="2"/>
        </w:numPr>
        <w:jc w:val="both"/>
        <w:rPr>
          <w:rFonts w:ascii="Times New Roman" w:hAnsi="Times New Roman"/>
          <w:color w:val="auto"/>
          <w:sz w:val="24"/>
          <w:szCs w:val="24"/>
        </w:rPr>
      </w:pPr>
      <w:bookmarkStart w:id="40" w:name="_Toc474090240"/>
      <w:r w:rsidRPr="00E9784B">
        <w:rPr>
          <w:rFonts w:ascii="Times New Roman" w:hAnsi="Times New Roman"/>
          <w:color w:val="auto"/>
          <w:sz w:val="24"/>
          <w:szCs w:val="24"/>
        </w:rPr>
        <w:t>La historia del cristianismo contra la historia de las espiritualidades enteogénicas precolombinas</w:t>
      </w:r>
      <w:bookmarkEnd w:id="40"/>
    </w:p>
    <w:p w14:paraId="57F2E723" w14:textId="77777777" w:rsidR="001A3E86" w:rsidRPr="004F609D" w:rsidRDefault="001A3E86" w:rsidP="001A3E86">
      <w:pPr>
        <w:pStyle w:val="BodyText"/>
        <w:spacing w:after="0" w:line="360" w:lineRule="auto"/>
        <w:ind w:firstLine="720"/>
        <w:jc w:val="both"/>
        <w:rPr>
          <w:rFonts w:ascii="Arial" w:hAnsi="Arial" w:cs="Arial"/>
          <w:sz w:val="24"/>
          <w:szCs w:val="24"/>
          <w:lang w:val="es-CR"/>
        </w:rPr>
      </w:pPr>
    </w:p>
    <w:p w14:paraId="1C9A0548"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Ciertamente, la historia del cristianismo chocó con el mapa religioso de América, con la pluralidad de espirituales autóctonas, entre las que destacan las de orden enteogénico. Al respecto, indica Fornet-Bentacourt (2007), que en la llamada primera evangelización de los pueblos amerindios y afroamericanos, salvo algunas excepciones, el cristianismo no pudo percibir el desafío de las religiones americanas, no hubo diálogo entre religiones sino colonización de almas, con la consiguiente degradación o, peor aún, demonización de los sistemas autóctonos.</w:t>
      </w:r>
    </w:p>
    <w:p w14:paraId="5BC94D48"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espiritualidad de las drogas enteogénicas del mundo precolombino conllevan una linealidad distinta a la linealidad del tiempo predominante. De acuerdo con Quirce-Balma (2010) es probable que en el mundo precolombino se utilizara preferentemente el hemisferio cerebral derecho, contrario al uso preferente del izquierdo por parte de los europeos. Quirce-Balma recurre a la tesis de Jaynes (1976), según la cual en el mundo antiguo el hemisferio derecho era ejecutivo y pasaba órdenes al hemisferio izquierdo, desde los centros alucinatorios del cerebro hacia el área de Wernicke y estas órdenes eran luego desglosadas por el área de Broca que alucinaba las órdenes del hemisferio derecho para construirlas en voces celestiales. Sin embargo, el mundo antiguo sufrió un cambio drástico con la erupción del volcán Thera en 1500 a.C</w:t>
      </w:r>
      <w:r w:rsidR="00B56345">
        <w:rPr>
          <w:rFonts w:ascii="Times New Roman" w:hAnsi="Times New Roman" w:cs="Times New Roman"/>
          <w:sz w:val="24"/>
          <w:szCs w:val="24"/>
          <w:lang w:val="es-CR"/>
        </w:rPr>
        <w:t>.</w:t>
      </w:r>
      <w:r w:rsidRPr="004F609D">
        <w:rPr>
          <w:rFonts w:ascii="Times New Roman" w:hAnsi="Times New Roman" w:cs="Times New Roman"/>
          <w:sz w:val="24"/>
          <w:szCs w:val="24"/>
          <w:lang w:val="es-CR"/>
        </w:rPr>
        <w:t>:</w:t>
      </w:r>
    </w:p>
    <w:p w14:paraId="54A6B0DA" w14:textId="77777777" w:rsidR="001A3E86" w:rsidRPr="004F609D" w:rsidRDefault="001A3E86" w:rsidP="001A3E86">
      <w:pPr>
        <w:pStyle w:val="BodyText"/>
        <w:spacing w:after="0" w:line="360" w:lineRule="auto"/>
        <w:ind w:left="720" w:right="567"/>
        <w:jc w:val="both"/>
        <w:rPr>
          <w:rFonts w:ascii="Arial" w:hAnsi="Arial" w:cs="Arial"/>
          <w:sz w:val="24"/>
          <w:szCs w:val="24"/>
          <w:lang w:val="es-CR"/>
        </w:rPr>
      </w:pPr>
    </w:p>
    <w:p w14:paraId="19DB720A" w14:textId="77777777" w:rsidR="001A3E86" w:rsidRPr="004F609D" w:rsidRDefault="001A3E86" w:rsidP="001A3E86">
      <w:pPr>
        <w:pStyle w:val="BodyText"/>
        <w:spacing w:after="0" w:line="240" w:lineRule="auto"/>
        <w:ind w:left="720" w:right="567"/>
        <w:jc w:val="both"/>
        <w:rPr>
          <w:rFonts w:ascii="Times New Roman" w:hAnsi="Times New Roman" w:cs="Times New Roman"/>
          <w:lang w:val="es-CR"/>
        </w:rPr>
      </w:pPr>
      <w:r w:rsidRPr="004F609D">
        <w:rPr>
          <w:rFonts w:ascii="Times New Roman" w:hAnsi="Times New Roman" w:cs="Times New Roman"/>
          <w:lang w:val="es-CR"/>
        </w:rPr>
        <w:t>Dicha erupción destruyó casi toda la cultura del mundo antiguo y hubo que reestructurarlo de nuevo. La reestructuración necesitó del invento de los alfabetos modernos y esto forzó el aprendizaje verbal del hemisferio izquierdo como hecho predominante de la cultura. Antes de ese evento, si bien había escritura, la cultura era trasmitida por el oír y no el leer. Después comienza a establecerse la dominación del hemisferio izquierdo sobre el derecho, hasta llegar a nuestra presente civilización. (Quirce-Balma, 2010, p. 10)</w:t>
      </w:r>
    </w:p>
    <w:p w14:paraId="12B2B11E" w14:textId="77777777" w:rsidR="001A3E86" w:rsidRPr="004F609D" w:rsidRDefault="001A3E86" w:rsidP="001A3E86">
      <w:pPr>
        <w:pStyle w:val="BodyText"/>
        <w:spacing w:after="0" w:line="360" w:lineRule="auto"/>
        <w:ind w:firstLine="560"/>
        <w:jc w:val="both"/>
        <w:rPr>
          <w:rFonts w:ascii="Arial" w:hAnsi="Arial" w:cs="Arial"/>
          <w:sz w:val="24"/>
          <w:szCs w:val="24"/>
          <w:lang w:val="es-CR"/>
        </w:rPr>
      </w:pPr>
    </w:p>
    <w:p w14:paraId="6C418A50" w14:textId="77777777" w:rsidR="001A3E86" w:rsidRPr="004F609D" w:rsidRDefault="001A3E86" w:rsidP="001A3E86">
      <w:pPr>
        <w:pStyle w:val="BodyText"/>
        <w:spacing w:after="0" w:line="360" w:lineRule="auto"/>
        <w:ind w:firstLine="56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lastRenderedPageBreak/>
        <w:t>No obstante, Quirce-Balma (2010) va más allá de Jaynes (1976) e indica que probablemente la predominancia del hemisferio derecho sobre el izquierdo se deba a la sobrestimulación derivada del uso alucinógeno y enteogénico, que pudo verse afectado durante siglos por la catástrofe indicada, que dio lugar a la pérdida de conexiones básicas con la India y con la China de donde provenían, el opio (</w:t>
      </w:r>
      <w:r w:rsidRPr="004F609D">
        <w:rPr>
          <w:rFonts w:ascii="Times New Roman" w:hAnsi="Times New Roman" w:cs="Times New Roman"/>
          <w:i/>
          <w:sz w:val="24"/>
          <w:szCs w:val="24"/>
          <w:lang w:val="es-CR"/>
        </w:rPr>
        <w:t>Papaver somniferum</w:t>
      </w:r>
      <w:r w:rsidRPr="004F609D">
        <w:rPr>
          <w:rFonts w:ascii="Times New Roman" w:hAnsi="Times New Roman" w:cs="Times New Roman"/>
          <w:sz w:val="24"/>
          <w:szCs w:val="24"/>
          <w:lang w:val="es-CR"/>
        </w:rPr>
        <w:t>), la marihuana (</w:t>
      </w:r>
      <w:r w:rsidRPr="004F609D">
        <w:rPr>
          <w:rFonts w:ascii="Times New Roman" w:hAnsi="Times New Roman" w:cs="Times New Roman"/>
          <w:i/>
          <w:sz w:val="24"/>
          <w:szCs w:val="24"/>
          <w:lang w:val="es-CR"/>
        </w:rPr>
        <w:t>Cannabis sativa</w:t>
      </w:r>
      <w:r w:rsidRPr="004F609D">
        <w:rPr>
          <w:rFonts w:ascii="Times New Roman" w:hAnsi="Times New Roman" w:cs="Times New Roman"/>
          <w:sz w:val="24"/>
          <w:szCs w:val="24"/>
          <w:lang w:val="es-CR"/>
        </w:rPr>
        <w:t>) y el rue sirio (</w:t>
      </w:r>
      <w:r w:rsidRPr="004F609D">
        <w:rPr>
          <w:rFonts w:ascii="Times New Roman" w:hAnsi="Times New Roman" w:cs="Times New Roman"/>
          <w:i/>
          <w:sz w:val="24"/>
          <w:szCs w:val="24"/>
          <w:lang w:val="es-CR"/>
        </w:rPr>
        <w:t>Peganun harmala</w:t>
      </w:r>
      <w:r w:rsidRPr="004F609D">
        <w:rPr>
          <w:rFonts w:ascii="Times New Roman" w:hAnsi="Times New Roman" w:cs="Times New Roman"/>
          <w:sz w:val="24"/>
          <w:szCs w:val="24"/>
          <w:lang w:val="es-CR"/>
        </w:rPr>
        <w:t>), etc. Así mismo, el conocedor y sabio sacerdocio de las sociedades bicamerales, rico en artes avanzadas de una farmacopea enteogénica, perdiesen las fórmulas más eficientes en el uso de enteógenos y otros psicoherbarios (Quirce-Balma, 2010).</w:t>
      </w:r>
    </w:p>
    <w:p w14:paraId="296404AB" w14:textId="77777777" w:rsidR="001A3E86" w:rsidRPr="004F609D" w:rsidRDefault="001A3E86" w:rsidP="001A3E86">
      <w:pPr>
        <w:pStyle w:val="BodyText"/>
        <w:spacing w:after="0" w:line="360" w:lineRule="auto"/>
        <w:ind w:firstLine="56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De esto modo la conquista española puedo ser también un choque entre dos grandes culturas, una en la que primara el uso del hemisferio cerebral izquierdo y otra en la que la estimulación del hemisferio cerebral derecho sobre el izquierdo era común por el uso enteogénico. Podría interpretarse como un choque de racionalidades, aunque ello no implique que no existiera un uso farmacológico por parte de la cultura europea invasora, tal como se ha indicado respecto a las brujas y los monjes con el pan de centeno (Quirce-Balma, 2010).</w:t>
      </w:r>
    </w:p>
    <w:p w14:paraId="7D13D348" w14:textId="77777777" w:rsidR="001A3E86" w:rsidRPr="004F609D" w:rsidRDefault="001A3E86" w:rsidP="001A3E86">
      <w:pPr>
        <w:pStyle w:val="BodyText"/>
        <w:spacing w:after="0" w:line="360" w:lineRule="auto"/>
        <w:ind w:firstLine="56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En todo caso destaca Quirce-Balma (1988) que lo que permanece es el legado que dichas culturas dejaron, de ahí que se debe tratar de comprender cómo esos agentes alucinógenos llegaron a influenciar la concepción de esos pueblos autóctonos, así como su vivencia de la alteración de la conciencia. Sin embargo, desafortunadamente, la herencia de la conquista hizo que muchas de las tribus indígenas sobrevivientes guardaran sus secretos con enorme recelo, a la vez que aumentó la intolerancia de las autoridades de la colonia hacia su utilización. La independencia latinoamericana no logró disipar este prejuicio que se introdujo en la idiosincrasia criolla y mestiza, muchas veces mezclándose con concepciones religiosas de gran mediocridad, que identificaban tales prácticas indígenas (el uso de alucinógenos) con prácticas satánicas o, posteriormente, con prácticas contrarias a la moral y buenas costumbres (Quirce-Balma &amp; alt., 1988).</w:t>
      </w:r>
    </w:p>
    <w:p w14:paraId="7C9D7613" w14:textId="77777777" w:rsidR="001A3E86" w:rsidRPr="004F609D" w:rsidRDefault="001A3E86" w:rsidP="001A3E86">
      <w:pPr>
        <w:pStyle w:val="BodyText"/>
        <w:spacing w:after="0" w:line="360" w:lineRule="auto"/>
        <w:ind w:firstLine="56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Tal fue el caso de los hongos mágicos o teonanácalt, cuya comunión por parte de los indígenas fue considerada por los conquistadores indigna de ser comparada con la Santa Comunión del Catolicismo, siendo incluso que lo que fuera “cuerpo de Dios” para los indígenas se calificara como cuerpo del Diablo a finales del siglo XVI por el monje </w:t>
      </w:r>
      <w:r w:rsidRPr="004F609D">
        <w:rPr>
          <w:rFonts w:ascii="Times New Roman" w:hAnsi="Times New Roman" w:cs="Times New Roman"/>
          <w:sz w:val="24"/>
          <w:szCs w:val="24"/>
          <w:lang w:val="es-CR"/>
        </w:rPr>
        <w:lastRenderedPageBreak/>
        <w:t>Motolinía, puesto que expresó que los indios “llamaban a estos hongos “teonanácatl”, que significa “cuerpo de Dios”, o sea del Diablo al que rendían culto, y de tal manera y con tan agrio alimento recibían en comunión a su cruel dios”. En el siglo XVII el culto de los hongos fue declarado idolatría por la Inquisición (Hofman, Schultes, Wasson &amp; alt. 1995, p. 21).</w:t>
      </w:r>
    </w:p>
    <w:p w14:paraId="3FC7C019" w14:textId="77777777" w:rsidR="001A3E86" w:rsidRPr="004F609D" w:rsidRDefault="001A3E86" w:rsidP="001A3E86">
      <w:pPr>
        <w:pStyle w:val="BodyText"/>
        <w:spacing w:after="0" w:line="360" w:lineRule="auto"/>
        <w:ind w:firstLine="560"/>
        <w:jc w:val="both"/>
        <w:rPr>
          <w:rFonts w:ascii="Arial" w:hAnsi="Arial" w:cs="Arial"/>
          <w:sz w:val="24"/>
          <w:szCs w:val="24"/>
          <w:lang w:val="es-CR"/>
        </w:rPr>
      </w:pPr>
    </w:p>
    <w:p w14:paraId="6D214909" w14:textId="77777777" w:rsidR="001A3E86" w:rsidRPr="00E9784B" w:rsidRDefault="001A3E86" w:rsidP="001A3E86">
      <w:pPr>
        <w:pStyle w:val="Heading2"/>
        <w:numPr>
          <w:ilvl w:val="6"/>
          <w:numId w:val="2"/>
        </w:numPr>
        <w:jc w:val="both"/>
        <w:rPr>
          <w:rFonts w:ascii="Times New Roman" w:hAnsi="Times New Roman"/>
          <w:color w:val="auto"/>
          <w:sz w:val="24"/>
          <w:szCs w:val="24"/>
        </w:rPr>
      </w:pPr>
      <w:bookmarkStart w:id="41" w:name="_Toc474090241"/>
      <w:r w:rsidRPr="00E9784B">
        <w:rPr>
          <w:rFonts w:ascii="Times New Roman" w:hAnsi="Times New Roman"/>
          <w:color w:val="auto"/>
          <w:sz w:val="24"/>
          <w:szCs w:val="24"/>
        </w:rPr>
        <w:t>La ontopraxis y las espiritualidades enteogénicas precolombinas</w:t>
      </w:r>
      <w:bookmarkEnd w:id="41"/>
      <w:r w:rsidRPr="00E9784B">
        <w:rPr>
          <w:rFonts w:ascii="Times New Roman" w:hAnsi="Times New Roman"/>
          <w:color w:val="auto"/>
          <w:sz w:val="24"/>
          <w:szCs w:val="24"/>
        </w:rPr>
        <w:t xml:space="preserve"> </w:t>
      </w:r>
    </w:p>
    <w:p w14:paraId="30FBC2D3" w14:textId="77777777" w:rsidR="001A3E86" w:rsidRPr="004F609D" w:rsidRDefault="001A3E86" w:rsidP="001A3E86">
      <w:pPr>
        <w:pStyle w:val="NoSpacing"/>
        <w:spacing w:line="360" w:lineRule="auto"/>
        <w:jc w:val="both"/>
        <w:rPr>
          <w:rFonts w:ascii="Times New Roman" w:hAnsi="Times New Roman" w:cs="Times New Roman"/>
          <w:sz w:val="24"/>
          <w:szCs w:val="24"/>
          <w:lang w:val="es-CR"/>
        </w:rPr>
      </w:pPr>
    </w:p>
    <w:p w14:paraId="456DE980" w14:textId="77777777" w:rsidR="001A3E86" w:rsidRPr="004F609D" w:rsidRDefault="001A3E86" w:rsidP="001A3E86">
      <w:pPr>
        <w:pStyle w:val="NoSpacing"/>
        <w:spacing w:line="360" w:lineRule="auto"/>
        <w:ind w:firstLine="709"/>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La problemática entre el mundo dado y la experiencia enteogénica es vista como una dialéctica por parte de Quirce-Balma (1976), que es descrita a la luz de la ontopraxis. Aunque el término ontopraxis a groso modo responde etimológicamente a los vocablos griegos </w:t>
      </w:r>
      <w:r w:rsidRPr="00E9784B">
        <w:rPr>
          <w:rFonts w:ascii="Times New Roman" w:hAnsi="Times New Roman" w:cs="Times New Roman"/>
          <w:sz w:val="24"/>
          <w:szCs w:val="24"/>
        </w:rPr>
        <w:t>ὄντος</w:t>
      </w:r>
      <w:r w:rsidRPr="004F609D">
        <w:rPr>
          <w:rFonts w:ascii="Times New Roman" w:hAnsi="Times New Roman" w:cs="Times New Roman"/>
          <w:sz w:val="24"/>
          <w:szCs w:val="24"/>
          <w:lang w:val="es-CR"/>
        </w:rPr>
        <w:t xml:space="preserve">, genitivo de </w:t>
      </w:r>
      <w:r w:rsidRPr="00E9784B">
        <w:rPr>
          <w:rFonts w:ascii="Times New Roman" w:hAnsi="Times New Roman" w:cs="Times New Roman"/>
          <w:sz w:val="24"/>
          <w:szCs w:val="24"/>
        </w:rPr>
        <w:t>ὄν</w:t>
      </w:r>
      <w:r w:rsidRPr="004F609D">
        <w:rPr>
          <w:rFonts w:ascii="Times New Roman" w:hAnsi="Times New Roman" w:cs="Times New Roman"/>
          <w:sz w:val="24"/>
          <w:szCs w:val="24"/>
          <w:lang w:val="es-CR"/>
        </w:rPr>
        <w:t xml:space="preserve">, ente, que es participio del verbo </w:t>
      </w:r>
      <w:r w:rsidRPr="00E9784B">
        <w:rPr>
          <w:rFonts w:ascii="Times New Roman" w:hAnsi="Times New Roman" w:cs="Times New Roman"/>
          <w:sz w:val="24"/>
          <w:szCs w:val="24"/>
        </w:rPr>
        <w:t>εἰμί</w:t>
      </w:r>
      <w:r w:rsidRPr="004F609D">
        <w:rPr>
          <w:rFonts w:ascii="Times New Roman" w:hAnsi="Times New Roman" w:cs="Times New Roman"/>
          <w:sz w:val="24"/>
          <w:szCs w:val="24"/>
          <w:lang w:val="es-CR"/>
        </w:rPr>
        <w:t xml:space="preserve">, ser, y de </w:t>
      </w:r>
      <w:r w:rsidRPr="00E9784B">
        <w:rPr>
          <w:rFonts w:ascii="Times New Roman" w:hAnsi="Times New Roman" w:cs="Times New Roman"/>
          <w:sz w:val="24"/>
          <w:szCs w:val="24"/>
        </w:rPr>
        <w:t>πρᾶξις</w:t>
      </w:r>
      <w:r w:rsidRPr="004F609D">
        <w:rPr>
          <w:rFonts w:ascii="Times New Roman" w:hAnsi="Times New Roman" w:cs="Times New Roman"/>
          <w:sz w:val="24"/>
          <w:szCs w:val="24"/>
          <w:lang w:val="es-CR"/>
        </w:rPr>
        <w:t xml:space="preserve">, práctica, Quirce-Balma (1976) la interpreta </w:t>
      </w:r>
      <w:r w:rsidRPr="00AE6A9C">
        <w:rPr>
          <w:rFonts w:ascii="Times New Roman" w:hAnsi="Times New Roman" w:cs="Times New Roman"/>
          <w:sz w:val="24"/>
          <w:szCs w:val="24"/>
          <w:lang w:val="es-ES"/>
        </w:rPr>
        <w:t>como una dialéctica en la vida humana entre lo familiar y lo no-familiar, con finalidad de transformación de orden ontológico, compréndase a su vez como una dialéctica de cambio individual como expresión de la dialéctica histórica de evolución social (Quirce-Balma, 1976, pp. 23-</w:t>
      </w:r>
      <w:r w:rsidR="00B56345">
        <w:rPr>
          <w:rFonts w:ascii="Times New Roman" w:hAnsi="Times New Roman" w:cs="Times New Roman"/>
          <w:sz w:val="24"/>
          <w:szCs w:val="24"/>
          <w:lang w:val="es-ES"/>
        </w:rPr>
        <w:t>2</w:t>
      </w:r>
      <w:r w:rsidRPr="00AE6A9C">
        <w:rPr>
          <w:rFonts w:ascii="Times New Roman" w:hAnsi="Times New Roman" w:cs="Times New Roman"/>
          <w:sz w:val="24"/>
          <w:szCs w:val="24"/>
          <w:lang w:val="es-ES"/>
        </w:rPr>
        <w:t>4).</w:t>
      </w:r>
    </w:p>
    <w:p w14:paraId="24A3ACF7" w14:textId="77777777" w:rsidR="001A3E86" w:rsidRPr="004F609D" w:rsidRDefault="001A3E86" w:rsidP="001A3E86">
      <w:pPr>
        <w:pStyle w:val="NoSpacing"/>
        <w:spacing w:line="360" w:lineRule="auto"/>
        <w:ind w:firstLine="709"/>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Quirce-Balma (1976) comprende la ontopraxis en relación con los Estados Alterados de Conciencia, que clasifica según sean dados en procesos místicos, esquizoides y alucinógenos, aunque después establezca otra diferencia entre los Estados Alterados de Conciencia con valor evolutivo, místico y espiritual de aquellos propios de la esquizofrenia, considerando en la primera categoría a los alucinógenos o psicodélicos, en tanto funjan como entéogenos, empatógenos y entactógenos (Quirce-Balma &amp; alt., 2009). Nótese que contempla los Estados Alterados de Conciencia con valor espiritual en distintas ceremonias religiosas, en técnicas meditativas, en el uso de drogas alucinógenas o psicodélicas, en sistemas de discernimiento intelectual orientados a distinguir entre lo real y lo ficticio, en sistemas de oración, en cánticos y aún en ciertas formas de danzas rituales (Quirce-Balma &amp; alt. 1988; Quirce-Balma &amp; alt, 2009). En este sentido, no existe mayor diferencia entre la espiritualidad inducida por fármacos de otras experiencias espirituales, siendo que varía el método, no así su finalidad, y que su reconocimiento depende la sociedad (Quirce-Balma, C. y Maickel, R., 2009). </w:t>
      </w:r>
    </w:p>
    <w:p w14:paraId="362F54ED" w14:textId="77777777" w:rsidR="001A3E86" w:rsidRPr="004F609D" w:rsidRDefault="001A3E86" w:rsidP="001A3E86">
      <w:pPr>
        <w:pStyle w:val="NoSpacing"/>
        <w:spacing w:line="360" w:lineRule="auto"/>
        <w:ind w:firstLine="709"/>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lastRenderedPageBreak/>
        <w:t xml:space="preserve">A esta razón, los Estados Alterados de Conciencia adquieren un sentido evolutivo, capaces de generar nuevas directrices culturales en el tanto existan valores sociales-culturales permisivos de la alteración no familiar. Para esto presenta un modelo psicofisicológico que explica estados emocionales familiares y alterados, en el cual un aparato propioceptivo (A), que sometido a atenuantes psicofisiológicos ubica la variabilidad interna en límites acordes con la variabilidad interpretativa de la estructura cultural, difiere de uno con un debilitamiento de los atenuantes (B), que permitirá un mayor margen de información propioceptiva, que en ausencia de módulos de entendimiento conllevará a disonancia y despersonalización (B1) y que en presencia de estos módulos da lugar a directrices culturales nuevas (B2). </w:t>
      </w:r>
    </w:p>
    <w:p w14:paraId="50D9CFBA" w14:textId="77777777" w:rsidR="001A3E86" w:rsidRPr="004F609D" w:rsidRDefault="001A3E86" w:rsidP="001A3E86">
      <w:pPr>
        <w:pStyle w:val="NoSpacing"/>
        <w:spacing w:line="360" w:lineRule="auto"/>
        <w:ind w:firstLine="709"/>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De este modo, los estados familiares poseen una experiencia de familiaridad, suscitada por estados fisiológicos variables con atenuadores de la variabilidad fisiológica, es decir, una propiocepción familiar, que se traduce en módulos de interpretación congruentes con el historial de familiaridad individual y valores culturales de interpretación del medio externo. Quirce- Balma (1976) recurre a un modo de variabilidad biológica para explicar esta propiocepción, específicamente a la variabilidad fisiológica, causada por fluctuaciones metabólicas y otros procesos fisiológicos, distinta a la variabilidad patológica, causada por enfermedades, y a la variabilidad iatrogénica, causada por actos terapéuticos, incluida la ingesta de medicamentos o diagnósticos </w:t>
      </w:r>
      <w:sdt>
        <w:sdtPr>
          <w:rPr>
            <w:rFonts w:ascii="Times New Roman" w:hAnsi="Times New Roman" w:cs="Times New Roman"/>
            <w:sz w:val="24"/>
            <w:szCs w:val="24"/>
          </w:rPr>
          <w:id w:val="1283764804"/>
          <w:citation/>
        </w:sdtPr>
        <w:sdtContent>
          <w:r w:rsidRPr="000E0FD0">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Fue98 \l 22538 </w:instrText>
          </w:r>
          <w:r w:rsidRPr="000E0FD0">
            <w:rPr>
              <w:rFonts w:ascii="Times New Roman" w:hAnsi="Times New Roman" w:cs="Times New Roman"/>
              <w:sz w:val="24"/>
              <w:szCs w:val="24"/>
            </w:rPr>
            <w:fldChar w:fldCharType="separate"/>
          </w:r>
          <w:r w:rsidRPr="004F609D">
            <w:rPr>
              <w:rFonts w:ascii="Times New Roman" w:hAnsi="Times New Roman" w:cs="Times New Roman"/>
              <w:noProof/>
              <w:sz w:val="24"/>
              <w:szCs w:val="24"/>
              <w:lang w:val="es-CR"/>
            </w:rPr>
            <w:t>(Fuentes-Arderiu, 1998)</w:t>
          </w:r>
          <w:r w:rsidRPr="000E0FD0">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w:t>
      </w:r>
    </w:p>
    <w:p w14:paraId="4F030549" w14:textId="77777777" w:rsidR="001A3E86" w:rsidRPr="004F609D" w:rsidRDefault="001A3E86" w:rsidP="001A3E86">
      <w:pPr>
        <w:pStyle w:val="NoSpacing"/>
        <w:spacing w:line="360" w:lineRule="auto"/>
        <w:ind w:firstLine="709"/>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Sin embargo, la variabilidad fisiológica está relacionada con la propiocepción, es decir, el sentido que brinda información sobre la ubicación de las distintas partes del cuerpo sin necesidad de verlas </w:t>
      </w:r>
      <w:sdt>
        <w:sdtPr>
          <w:rPr>
            <w:rFonts w:ascii="Times New Roman" w:hAnsi="Times New Roman" w:cs="Times New Roman"/>
            <w:sz w:val="24"/>
            <w:szCs w:val="24"/>
          </w:rPr>
          <w:id w:val="572479475"/>
          <w:citation/>
        </w:sdtPr>
        <w:sdtContent>
          <w:r w:rsidRPr="000E0FD0">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Cos07 \l 22538 </w:instrText>
          </w:r>
          <w:r w:rsidRPr="000E0FD0">
            <w:rPr>
              <w:rFonts w:ascii="Times New Roman" w:hAnsi="Times New Roman" w:cs="Times New Roman"/>
              <w:sz w:val="24"/>
              <w:szCs w:val="24"/>
            </w:rPr>
            <w:fldChar w:fldCharType="separate"/>
          </w:r>
          <w:r w:rsidRPr="004F609D">
            <w:rPr>
              <w:rFonts w:ascii="Times New Roman" w:hAnsi="Times New Roman" w:cs="Times New Roman"/>
              <w:noProof/>
              <w:sz w:val="24"/>
              <w:szCs w:val="24"/>
              <w:lang w:val="es-CR"/>
            </w:rPr>
            <w:t>(Cosacov, 2007)</w:t>
          </w:r>
          <w:r w:rsidRPr="000E0FD0">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 Ahora esta propiocepción puede ser familiar o no-familiar, dependiendo de los atenuadores, pues si son débiles deja de darse un estado emocional de familiaridad y se genera una experiencia de no-familiaridad.</w:t>
      </w:r>
    </w:p>
    <w:p w14:paraId="41EE9EE1" w14:textId="77777777" w:rsidR="001A3E86" w:rsidRPr="004F609D" w:rsidRDefault="001A3E86" w:rsidP="001A3E86">
      <w:pPr>
        <w:pStyle w:val="NoSpacing"/>
        <w:spacing w:line="360" w:lineRule="auto"/>
        <w:ind w:firstLine="709"/>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experiencia de no-familiaridad puede a su vez darse con módulos de interpretación de la alteración o sin estos, siendo que en el primer caso los valores culturales son permisivos del estado de alteración y creativamente generan nuevas directrices culturales; mientras que en el segundo caso la ausencia de los módulos de interpretación implican la ausencia de valores culturales permisivos, que conllevan invalidación institucional, y ansiedad-despersonalización, con la consecuente evitación futura de la alteración y el reforzamiento de los atenuadores.</w:t>
      </w:r>
    </w:p>
    <w:p w14:paraId="7A520403" w14:textId="77777777" w:rsidR="001A3E86" w:rsidRPr="004F609D" w:rsidRDefault="001A3E86" w:rsidP="001A3E86">
      <w:pPr>
        <w:pStyle w:val="NoSpacing"/>
        <w:spacing w:line="360" w:lineRule="auto"/>
        <w:ind w:firstLine="709"/>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lastRenderedPageBreak/>
        <w:t xml:space="preserve">Sin embargo, Quirce-Balma (1976) reconoce que aun cuando una cultura se encuentra estancada por ausencia de valores culturales permisivos, es posible una experiencia personal que marca un distanciamiento con el estancamiento social, derivando en enajenación en un sub-grupo de naturaleza mística o esotérica para evitar la disonancia cognitiva típica de la sociedad estancada, incluso a expensas de sacrificar el potencial de transformación. </w:t>
      </w:r>
    </w:p>
    <w:p w14:paraId="3770E4F8" w14:textId="77777777" w:rsidR="001A3E86" w:rsidRPr="004F609D" w:rsidRDefault="001A3E86" w:rsidP="001A3E86">
      <w:pPr>
        <w:pStyle w:val="NoSpacing"/>
        <w:spacing w:line="360" w:lineRule="auto"/>
        <w:ind w:firstLine="708"/>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Así en un sentido evolutivo en el marco social, se pueden generar directrices culturales nuevas siempre que existan valores sociales-culturales permisivos de la alteración no familiar. La evolución así implica verticalización (ensanchamiento cualitativo) de valores y módulos culturales, mientras que el individualismo implica horizontalización de posibilidades de praxis y conceptualización, resultando que una evolución no sea considerada válida y enajenada de una realidad cultural y que la horizontalización individual sea válida en estructuras sociales permisivas y reforzantes de la verticalización cualitativa.</w:t>
      </w:r>
    </w:p>
    <w:p w14:paraId="010CDDEE" w14:textId="77777777" w:rsidR="001A3E86" w:rsidRPr="004F609D" w:rsidRDefault="001A3E86" w:rsidP="001A3E86">
      <w:pPr>
        <w:pStyle w:val="NoSpacing"/>
        <w:spacing w:line="360" w:lineRule="auto"/>
        <w:ind w:firstLine="708"/>
        <w:jc w:val="both"/>
        <w:rPr>
          <w:rFonts w:ascii="Times New Roman" w:hAnsi="Times New Roman" w:cs="Times New Roman"/>
          <w:color w:val="010000"/>
          <w:sz w:val="24"/>
          <w:szCs w:val="24"/>
          <w:lang w:val="es-CR"/>
        </w:rPr>
      </w:pPr>
      <w:r w:rsidRPr="004F609D">
        <w:rPr>
          <w:rFonts w:ascii="Times New Roman" w:hAnsi="Times New Roman" w:cs="Times New Roman"/>
          <w:sz w:val="24"/>
          <w:szCs w:val="24"/>
          <w:lang w:val="es-CR"/>
        </w:rPr>
        <w:t xml:space="preserve">Para Quirce-Balma (1976), la enajenación en un sub-grupo místico limita el potencial transformador de la experiencia no-familiar, por lo que propone abrir la experiencia de no-familiaridad como fuente transformativa, esto a través de una dialéctica en la vida humana, entre lo familiar y lo no-familiar, que denomina ontopraxis. </w:t>
      </w:r>
    </w:p>
    <w:p w14:paraId="65AAB326" w14:textId="77777777" w:rsidR="001A3E86" w:rsidRPr="00030401" w:rsidRDefault="001A3E86" w:rsidP="001A3E86">
      <w:pPr>
        <w:pStyle w:val="yiv1427917474msonormal"/>
        <w:spacing w:line="360" w:lineRule="auto"/>
        <w:ind w:firstLine="708"/>
        <w:jc w:val="both"/>
        <w:rPr>
          <w:rFonts w:ascii="Arial" w:hAnsi="Arial" w:cs="Arial"/>
        </w:rPr>
      </w:pPr>
      <w:r>
        <w:rPr>
          <w:rFonts w:ascii="Arial" w:hAnsi="Arial" w:cs="Arial"/>
        </w:rPr>
        <w:t xml:space="preserve"> </w:t>
      </w:r>
    </w:p>
    <w:p w14:paraId="60A7A1C7" w14:textId="77777777" w:rsidR="001A3E86" w:rsidRPr="00B73838" w:rsidRDefault="001A3E86" w:rsidP="001A3E86">
      <w:pPr>
        <w:pStyle w:val="yiv1427917474msonormal"/>
        <w:spacing w:line="360" w:lineRule="auto"/>
        <w:ind w:firstLine="708"/>
        <w:jc w:val="both"/>
        <w:rPr>
          <w:rFonts w:ascii="Arial" w:hAnsi="Arial" w:cs="Arial"/>
        </w:rPr>
      </w:pPr>
    </w:p>
    <w:p w14:paraId="19F646F5" w14:textId="77777777" w:rsidR="001A3E86" w:rsidRDefault="001A3E86" w:rsidP="001A3E86">
      <w:pPr>
        <w:pStyle w:val="yiv1427917474msonormal"/>
        <w:spacing w:before="0" w:beforeAutospacing="0" w:after="0" w:afterAutospacing="0"/>
        <w:jc w:val="both"/>
        <w:rPr>
          <w:rFonts w:ascii="Arial" w:hAnsi="Arial" w:cs="Arial"/>
        </w:rPr>
      </w:pPr>
    </w:p>
    <w:p w14:paraId="180CDB8E" w14:textId="77777777" w:rsidR="001A3E86" w:rsidRDefault="001A3E86" w:rsidP="001A3E86">
      <w:pPr>
        <w:pStyle w:val="yiv1427917474msonormal"/>
        <w:spacing w:before="0" w:beforeAutospacing="0" w:after="0" w:afterAutospacing="0"/>
        <w:jc w:val="both"/>
        <w:rPr>
          <w:rFonts w:ascii="Arial" w:hAnsi="Arial" w:cs="Arial"/>
        </w:rPr>
      </w:pPr>
      <w:r>
        <w:rPr>
          <w:rFonts w:ascii="Arial" w:hAnsi="Arial" w:cs="Arial"/>
        </w:rPr>
        <w:t xml:space="preserve"> </w:t>
      </w:r>
    </w:p>
    <w:p w14:paraId="404F930E" w14:textId="77777777" w:rsidR="001A3E86" w:rsidRDefault="001A3E86" w:rsidP="001A3E86">
      <w:pPr>
        <w:pStyle w:val="yiv1427917474msonormal"/>
        <w:spacing w:before="0" w:beforeAutospacing="0" w:after="0" w:afterAutospacing="0"/>
        <w:jc w:val="center"/>
        <w:rPr>
          <w:rFonts w:ascii="Arial" w:hAnsi="Arial" w:cs="Arial"/>
        </w:rPr>
      </w:pPr>
      <w:r w:rsidRPr="00BF14C7">
        <w:rPr>
          <w:rFonts w:ascii="Arial" w:hAnsi="Arial" w:cs="Arial"/>
          <w:noProof/>
          <w:lang w:val="en-US" w:eastAsia="en-US"/>
        </w:rPr>
        <w:lastRenderedPageBreak/>
        <w:drawing>
          <wp:inline distT="0" distB="0" distL="0" distR="0" wp14:anchorId="46176D0F" wp14:editId="0BBFA6C1">
            <wp:extent cx="4859709" cy="67299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0" y="0"/>
                      <a:ext cx="4862000" cy="6733157"/>
                    </a:xfrm>
                    <a:prstGeom prst="rect">
                      <a:avLst/>
                    </a:prstGeom>
                    <a:noFill/>
                    <a:ln>
                      <a:noFill/>
                    </a:ln>
                    <a:effectLst>
                      <a:glow>
                        <a:schemeClr val="bg1"/>
                      </a:glow>
                      <a:reflection endPos="0" dist="50800" dir="5400000" sy="-100000" algn="bl" rotWithShape="0"/>
                      <a:softEdge rad="0"/>
                    </a:effectLst>
                  </pic:spPr>
                </pic:pic>
              </a:graphicData>
            </a:graphic>
          </wp:inline>
        </w:drawing>
      </w:r>
    </w:p>
    <w:p w14:paraId="47C949F7" w14:textId="77777777" w:rsidR="001A3E86" w:rsidRPr="000E0FD0" w:rsidRDefault="001A3E86" w:rsidP="001A3E86">
      <w:pPr>
        <w:pStyle w:val="yiv1427917474msonormal"/>
        <w:spacing w:before="0" w:beforeAutospacing="0" w:after="0" w:afterAutospacing="0"/>
        <w:jc w:val="both"/>
        <w:rPr>
          <w:sz w:val="20"/>
          <w:szCs w:val="20"/>
          <w:lang w:val="es-CR"/>
        </w:rPr>
      </w:pPr>
      <w:r w:rsidRPr="000E0FD0">
        <w:rPr>
          <w:sz w:val="20"/>
          <w:szCs w:val="20"/>
        </w:rPr>
        <w:t>Figura 1. Modelo psicofisicológico que explica estados emocionales familiares y alterados. (Quirce-Balma,</w:t>
      </w:r>
      <w:r>
        <w:rPr>
          <w:sz w:val="20"/>
          <w:szCs w:val="20"/>
        </w:rPr>
        <w:t xml:space="preserve"> </w:t>
      </w:r>
      <w:r w:rsidRPr="000E0FD0">
        <w:rPr>
          <w:sz w:val="20"/>
          <w:szCs w:val="20"/>
        </w:rPr>
        <w:t xml:space="preserve">1976, p. 20). </w:t>
      </w:r>
    </w:p>
    <w:p w14:paraId="10276652" w14:textId="77777777" w:rsidR="001A3E86" w:rsidRPr="004F609D" w:rsidRDefault="001A3E86" w:rsidP="001A3E86">
      <w:pPr>
        <w:spacing w:after="200" w:line="360" w:lineRule="auto"/>
        <w:ind w:firstLine="720"/>
        <w:jc w:val="both"/>
        <w:rPr>
          <w:rFonts w:ascii="Arial" w:hAnsi="Arial" w:cs="Arial"/>
          <w:sz w:val="24"/>
          <w:szCs w:val="24"/>
          <w:lang w:val="es-CR"/>
        </w:rPr>
      </w:pPr>
    </w:p>
    <w:p w14:paraId="528D063E" w14:textId="77777777" w:rsidR="001A3E86" w:rsidRPr="004F609D" w:rsidRDefault="001A3E86" w:rsidP="001A3E86">
      <w:pPr>
        <w:spacing w:after="200" w:line="360" w:lineRule="auto"/>
        <w:ind w:firstLine="720"/>
        <w:jc w:val="both"/>
        <w:rPr>
          <w:rFonts w:ascii="Arial" w:hAnsi="Arial" w:cs="Arial"/>
          <w:sz w:val="24"/>
          <w:szCs w:val="24"/>
          <w:lang w:val="es-CR"/>
        </w:rPr>
      </w:pPr>
    </w:p>
    <w:p w14:paraId="07356A0B" w14:textId="77777777" w:rsidR="001A3E86" w:rsidRPr="004F609D" w:rsidRDefault="001A3E86" w:rsidP="001A3E86">
      <w:pPr>
        <w:pStyle w:val="BodyText"/>
        <w:spacing w:after="0" w:line="360" w:lineRule="auto"/>
        <w:jc w:val="both"/>
        <w:rPr>
          <w:rFonts w:ascii="Arial" w:hAnsi="Arial" w:cs="Arial"/>
          <w:sz w:val="24"/>
          <w:szCs w:val="24"/>
          <w:lang w:val="es-CR"/>
        </w:rPr>
      </w:pPr>
    </w:p>
    <w:p w14:paraId="2731E298" w14:textId="77777777" w:rsidR="001A3E86" w:rsidRPr="004F609D" w:rsidRDefault="001A3E86" w:rsidP="001A3E86">
      <w:pPr>
        <w:pStyle w:val="BodyText"/>
        <w:spacing w:after="0"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lastRenderedPageBreak/>
        <w:t xml:space="preserve">La ontopraxis es comprendida en las espiritualidades enteogénicas precolombinas, cuando Quirce-Balma (1994) discurre sobre la figura de </w:t>
      </w:r>
      <w:r w:rsidRPr="004F609D">
        <w:rPr>
          <w:rFonts w:ascii="Times New Roman" w:hAnsi="Times New Roman" w:cs="Times New Roman"/>
          <w:i/>
          <w:sz w:val="24"/>
          <w:szCs w:val="24"/>
          <w:lang w:val="es-CR"/>
        </w:rPr>
        <w:t>Xochipilli</w:t>
      </w:r>
      <w:r w:rsidRPr="004F609D">
        <w:rPr>
          <w:rFonts w:ascii="Times New Roman" w:hAnsi="Times New Roman" w:cs="Times New Roman"/>
          <w:sz w:val="24"/>
          <w:szCs w:val="24"/>
          <w:lang w:val="es-CR"/>
        </w:rPr>
        <w:t>, el Señor Dios Príncipe de las Flores:</w:t>
      </w:r>
    </w:p>
    <w:p w14:paraId="3FCE9658" w14:textId="77777777" w:rsidR="001A3E86" w:rsidRPr="004F609D" w:rsidRDefault="001A3E86" w:rsidP="001A3E86">
      <w:pPr>
        <w:pStyle w:val="BodyText"/>
        <w:spacing w:after="0" w:line="360" w:lineRule="auto"/>
        <w:ind w:firstLine="720"/>
        <w:jc w:val="both"/>
        <w:rPr>
          <w:rFonts w:ascii="Arial" w:hAnsi="Arial" w:cs="Arial"/>
          <w:sz w:val="24"/>
          <w:szCs w:val="24"/>
          <w:lang w:val="es-CR"/>
        </w:rPr>
      </w:pPr>
    </w:p>
    <w:p w14:paraId="736A7F7D" w14:textId="77777777" w:rsidR="001A3E86" w:rsidRPr="004F609D" w:rsidRDefault="001A3E86" w:rsidP="001A3E86">
      <w:pPr>
        <w:pStyle w:val="BodyText"/>
        <w:spacing w:after="0" w:line="240" w:lineRule="auto"/>
        <w:ind w:left="720"/>
        <w:jc w:val="both"/>
        <w:rPr>
          <w:rFonts w:ascii="Times New Roman" w:hAnsi="Times New Roman" w:cs="Times New Roman"/>
          <w:lang w:val="es-CR"/>
        </w:rPr>
      </w:pPr>
      <w:r w:rsidRPr="004F609D">
        <w:rPr>
          <w:rFonts w:ascii="Times New Roman" w:hAnsi="Times New Roman" w:cs="Times New Roman"/>
          <w:lang w:val="es-CR"/>
        </w:rPr>
        <w:t xml:space="preserve">La relación entre fue y será, también tiene que ser depurada de la relación por error de dejaré de ser para así ser distinto. No se deja de ser, se llega a conseguir una realidad. De ahí que lo alucinatorio puede ser maestro de dotes de cambio. En lo alucinatorio, lo engrámico y lo arquetipal, conseguimos un sentido adonde se es, fue y será simultáneo, a estar teniendo la experiencia de ser así. Pero, ser así es idéntico a todas las formas múltiples que se pueden ser así a través de la concreción de ser y de su antiser. (Quirce-Balma, 1994, p. 150) </w:t>
      </w:r>
    </w:p>
    <w:p w14:paraId="57A9D03A" w14:textId="77777777" w:rsidR="001A3E86" w:rsidRPr="004F609D" w:rsidRDefault="001A3E86" w:rsidP="001A3E86">
      <w:pPr>
        <w:pStyle w:val="BodyText"/>
        <w:spacing w:after="0" w:line="360" w:lineRule="auto"/>
        <w:ind w:firstLine="360"/>
        <w:jc w:val="both"/>
        <w:rPr>
          <w:rFonts w:ascii="Arial" w:hAnsi="Arial" w:cs="Arial"/>
          <w:sz w:val="24"/>
          <w:szCs w:val="24"/>
          <w:lang w:val="es-CR"/>
        </w:rPr>
      </w:pPr>
    </w:p>
    <w:p w14:paraId="28A6179D"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Lo alucinatorio del uso enteogénico conlleva una experiencia en donde la relación del ser y del antiser implica no un dejar de ser, sino ser distinto. En el mundo dado el ser y el dejar de ser son excluyentes, de acuerdo con una convención que interpreta el mismo mundo. Sin embargo, con la experiencia tenida de la realidad y del sujeto, mediante drogas será doblada en todo momento de la enseñanza sobre el mundo como una descripción. Lo denominado mundo o realidad es sólo una descripción socializada del mismo y que se introduce desde la infancia en el sujeto. Pero una descripción tan fuerte, tan imperiosa y avasalladora que sustituye la propia realidad (Robles, 2010).</w:t>
      </w:r>
    </w:p>
    <w:p w14:paraId="06E4B403" w14:textId="77777777" w:rsidR="001A3E86" w:rsidRPr="004F609D" w:rsidRDefault="001A3E86" w:rsidP="001A3E86">
      <w:pPr>
        <w:rPr>
          <w:lang w:val="es-CR"/>
        </w:rPr>
      </w:pPr>
    </w:p>
    <w:p w14:paraId="0EDA7FA1" w14:textId="77777777" w:rsidR="001A3E86" w:rsidRPr="00B73838" w:rsidRDefault="001A3E86" w:rsidP="001A3E86">
      <w:pPr>
        <w:pStyle w:val="yiv1427917474msonormal"/>
        <w:spacing w:line="360" w:lineRule="auto"/>
        <w:ind w:firstLine="708"/>
        <w:jc w:val="both"/>
        <w:rPr>
          <w:rFonts w:ascii="Arial" w:hAnsi="Arial" w:cs="Arial"/>
        </w:rPr>
      </w:pPr>
    </w:p>
    <w:tbl>
      <w:tblPr>
        <w:tblStyle w:val="TableGrid"/>
        <w:tblpPr w:leftFromText="141" w:rightFromText="141" w:horzAnchor="margin" w:tblpY="-3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1271"/>
        <w:gridCol w:w="1993"/>
        <w:gridCol w:w="3036"/>
      </w:tblGrid>
      <w:tr w:rsidR="001A3E86" w:rsidRPr="004F609D" w14:paraId="3EF2FAF2" w14:textId="77777777" w:rsidTr="00652EF1">
        <w:tc>
          <w:tcPr>
            <w:tcW w:w="2916" w:type="dxa"/>
          </w:tcPr>
          <w:p w14:paraId="6F5F013A" w14:textId="77777777" w:rsidR="001A3E86" w:rsidRDefault="001A3E86" w:rsidP="00652EF1">
            <w:pPr>
              <w:pStyle w:val="yiv1427917474msonormal"/>
              <w:jc w:val="both"/>
              <w:rPr>
                <w:rFonts w:ascii="Arial" w:hAnsi="Arial" w:cs="Arial"/>
              </w:rPr>
            </w:pPr>
          </w:p>
        </w:tc>
        <w:tc>
          <w:tcPr>
            <w:tcW w:w="1338" w:type="dxa"/>
          </w:tcPr>
          <w:p w14:paraId="2ABF01B0" w14:textId="77777777" w:rsidR="001A3E86" w:rsidRDefault="001A3E86" w:rsidP="00652EF1">
            <w:pPr>
              <w:pStyle w:val="yiv1427917474msonormal"/>
              <w:jc w:val="both"/>
              <w:rPr>
                <w:rFonts w:ascii="Arial" w:hAnsi="Arial" w:cs="Arial"/>
              </w:rPr>
            </w:pPr>
          </w:p>
        </w:tc>
        <w:tc>
          <w:tcPr>
            <w:tcW w:w="2106" w:type="dxa"/>
          </w:tcPr>
          <w:p w14:paraId="7CB07AE6" w14:textId="77777777" w:rsidR="001A3E86" w:rsidRDefault="001A3E86" w:rsidP="00652EF1">
            <w:pPr>
              <w:pStyle w:val="yiv1427917474msonormal"/>
              <w:jc w:val="both"/>
              <w:rPr>
                <w:rFonts w:ascii="Arial" w:hAnsi="Arial" w:cs="Arial"/>
              </w:rPr>
            </w:pPr>
          </w:p>
        </w:tc>
        <w:tc>
          <w:tcPr>
            <w:tcW w:w="3216" w:type="dxa"/>
          </w:tcPr>
          <w:p w14:paraId="1967D214" w14:textId="77777777" w:rsidR="001A3E86" w:rsidRDefault="001A3E86" w:rsidP="00652EF1">
            <w:pPr>
              <w:pStyle w:val="yiv1427917474msonormal"/>
              <w:jc w:val="both"/>
              <w:rPr>
                <w:rFonts w:ascii="Arial" w:hAnsi="Arial" w:cs="Arial"/>
              </w:rPr>
            </w:pPr>
          </w:p>
        </w:tc>
      </w:tr>
    </w:tbl>
    <w:p w14:paraId="0A91D9CD" w14:textId="77777777" w:rsidR="001A3E86" w:rsidRDefault="001A3E86" w:rsidP="001A3E86">
      <w:pPr>
        <w:pStyle w:val="yiv1427917474msonormal"/>
        <w:spacing w:before="0" w:beforeAutospacing="0" w:after="0" w:afterAutospacing="0"/>
        <w:jc w:val="both"/>
        <w:rPr>
          <w:rFonts w:ascii="Arial" w:hAnsi="Arial" w:cs="Arial"/>
        </w:rPr>
      </w:pPr>
    </w:p>
    <w:p w14:paraId="185D56AE" w14:textId="77777777" w:rsidR="001A3E86" w:rsidRDefault="001A3E86" w:rsidP="001A3E86">
      <w:pPr>
        <w:pStyle w:val="yiv1427917474msonormal"/>
        <w:spacing w:before="0" w:beforeAutospacing="0" w:after="0" w:afterAutospacing="0"/>
        <w:jc w:val="both"/>
        <w:rPr>
          <w:rFonts w:ascii="Arial" w:hAnsi="Arial" w:cs="Arial"/>
        </w:rPr>
      </w:pPr>
      <w:r>
        <w:rPr>
          <w:rFonts w:ascii="Arial" w:hAnsi="Arial" w:cs="Arial"/>
        </w:rPr>
        <w:t xml:space="preserve"> </w:t>
      </w:r>
    </w:p>
    <w:p w14:paraId="4FD31672" w14:textId="77777777" w:rsidR="001A3E86" w:rsidRPr="004F609D" w:rsidRDefault="001A3E86" w:rsidP="001A3E86">
      <w:pPr>
        <w:spacing w:after="200" w:line="276" w:lineRule="auto"/>
        <w:jc w:val="center"/>
        <w:rPr>
          <w:rFonts w:ascii="Arial" w:hAnsi="Arial" w:cs="Arial"/>
          <w:b/>
          <w:sz w:val="24"/>
          <w:szCs w:val="24"/>
          <w:lang w:val="es-CR"/>
        </w:rPr>
      </w:pPr>
    </w:p>
    <w:p w14:paraId="7010E6F5" w14:textId="77777777" w:rsidR="001A3E86" w:rsidRPr="004F609D" w:rsidRDefault="001A3E86" w:rsidP="001A3E86">
      <w:pPr>
        <w:spacing w:after="200" w:line="276" w:lineRule="auto"/>
        <w:jc w:val="center"/>
        <w:rPr>
          <w:rFonts w:ascii="Arial" w:hAnsi="Arial" w:cs="Arial"/>
          <w:b/>
          <w:sz w:val="24"/>
          <w:szCs w:val="24"/>
          <w:lang w:val="es-CR"/>
        </w:rPr>
      </w:pPr>
    </w:p>
    <w:p w14:paraId="53793326" w14:textId="77777777" w:rsidR="001A3E86" w:rsidRPr="004F609D" w:rsidRDefault="001A3E86" w:rsidP="001A3E86">
      <w:pPr>
        <w:spacing w:after="200" w:line="276" w:lineRule="auto"/>
        <w:jc w:val="center"/>
        <w:rPr>
          <w:rFonts w:ascii="Arial" w:hAnsi="Arial" w:cs="Arial"/>
          <w:b/>
          <w:sz w:val="24"/>
          <w:szCs w:val="24"/>
          <w:lang w:val="es-CR"/>
        </w:rPr>
      </w:pPr>
    </w:p>
    <w:p w14:paraId="6BAC133E" w14:textId="77777777" w:rsidR="001A3E86" w:rsidRPr="004F609D" w:rsidRDefault="001A3E86" w:rsidP="001A3E86">
      <w:pPr>
        <w:spacing w:after="200" w:line="276" w:lineRule="auto"/>
        <w:jc w:val="center"/>
        <w:rPr>
          <w:rFonts w:ascii="Arial" w:hAnsi="Arial" w:cs="Arial"/>
          <w:b/>
          <w:sz w:val="24"/>
          <w:szCs w:val="24"/>
          <w:lang w:val="es-CR"/>
        </w:rPr>
      </w:pPr>
    </w:p>
    <w:p w14:paraId="436B1494" w14:textId="77777777" w:rsidR="001A3E86" w:rsidRPr="004F609D" w:rsidRDefault="001A3E86" w:rsidP="001A3E86">
      <w:pPr>
        <w:spacing w:after="200" w:line="276" w:lineRule="auto"/>
        <w:rPr>
          <w:rFonts w:ascii="Arial" w:hAnsi="Arial" w:cs="Arial"/>
          <w:b/>
          <w:sz w:val="24"/>
          <w:szCs w:val="24"/>
          <w:lang w:val="es-CR"/>
        </w:rPr>
      </w:pPr>
    </w:p>
    <w:p w14:paraId="7E0150B2" w14:textId="77777777" w:rsidR="001A3E86" w:rsidRPr="004F609D" w:rsidRDefault="001A3E86" w:rsidP="001A3E86">
      <w:pPr>
        <w:spacing w:after="200" w:line="276" w:lineRule="auto"/>
        <w:rPr>
          <w:rFonts w:ascii="Arial" w:hAnsi="Arial" w:cs="Arial"/>
          <w:b/>
          <w:sz w:val="24"/>
          <w:szCs w:val="24"/>
          <w:lang w:val="es-CR"/>
        </w:rPr>
      </w:pPr>
    </w:p>
    <w:p w14:paraId="1381C230" w14:textId="77777777" w:rsidR="00B56345" w:rsidRDefault="00B56345" w:rsidP="001A3E86">
      <w:pPr>
        <w:pStyle w:val="NoSpacing"/>
        <w:spacing w:line="360" w:lineRule="auto"/>
        <w:jc w:val="center"/>
        <w:rPr>
          <w:rFonts w:ascii="Times New Roman" w:hAnsi="Times New Roman" w:cs="Times New Roman"/>
          <w:b/>
          <w:sz w:val="24"/>
          <w:szCs w:val="24"/>
          <w:lang w:val="es-ES"/>
        </w:rPr>
      </w:pPr>
      <w:bookmarkStart w:id="42" w:name="_Toc474090242"/>
    </w:p>
    <w:p w14:paraId="74037949" w14:textId="77777777" w:rsidR="00B56345" w:rsidRDefault="00B56345" w:rsidP="001A3E86">
      <w:pPr>
        <w:pStyle w:val="NoSpacing"/>
        <w:spacing w:line="360" w:lineRule="auto"/>
        <w:jc w:val="center"/>
        <w:rPr>
          <w:rFonts w:ascii="Times New Roman" w:hAnsi="Times New Roman" w:cs="Times New Roman"/>
          <w:b/>
          <w:sz w:val="24"/>
          <w:szCs w:val="24"/>
          <w:lang w:val="es-ES"/>
        </w:rPr>
      </w:pPr>
    </w:p>
    <w:p w14:paraId="4450DB28" w14:textId="77777777" w:rsidR="00B56345" w:rsidRDefault="00B56345" w:rsidP="001A3E86">
      <w:pPr>
        <w:pStyle w:val="NoSpacing"/>
        <w:spacing w:line="360" w:lineRule="auto"/>
        <w:jc w:val="center"/>
        <w:rPr>
          <w:rFonts w:ascii="Times New Roman" w:hAnsi="Times New Roman" w:cs="Times New Roman"/>
          <w:b/>
          <w:sz w:val="24"/>
          <w:szCs w:val="24"/>
          <w:lang w:val="es-ES"/>
        </w:rPr>
      </w:pPr>
    </w:p>
    <w:p w14:paraId="6CF46E43" w14:textId="77777777" w:rsidR="001A3E86" w:rsidRPr="00AE6A9C" w:rsidRDefault="00B56345" w:rsidP="001A3E86">
      <w:pPr>
        <w:pStyle w:val="NoSpacing"/>
        <w:spacing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Tercer</w:t>
      </w:r>
      <w:r w:rsidR="001A3E86" w:rsidRPr="00AE6A9C">
        <w:rPr>
          <w:rFonts w:ascii="Times New Roman" w:hAnsi="Times New Roman" w:cs="Times New Roman"/>
          <w:b/>
          <w:sz w:val="24"/>
          <w:szCs w:val="24"/>
          <w:lang w:val="es-ES"/>
        </w:rPr>
        <w:t xml:space="preserve"> Capítulo</w:t>
      </w:r>
      <w:bookmarkEnd w:id="42"/>
    </w:p>
    <w:p w14:paraId="7836ED48" w14:textId="77777777" w:rsidR="001A3E86" w:rsidRDefault="001A3E86" w:rsidP="001A3E86">
      <w:pPr>
        <w:pStyle w:val="NoSpacing"/>
        <w:spacing w:line="360" w:lineRule="auto"/>
        <w:jc w:val="center"/>
        <w:rPr>
          <w:rFonts w:ascii="Times New Roman" w:hAnsi="Times New Roman" w:cs="Times New Roman"/>
          <w:b/>
          <w:sz w:val="24"/>
          <w:szCs w:val="24"/>
          <w:lang w:val="es-ES"/>
        </w:rPr>
      </w:pPr>
      <w:bookmarkStart w:id="43" w:name="_Toc474090243"/>
    </w:p>
    <w:p w14:paraId="6E39E78D" w14:textId="77777777" w:rsidR="001A3E86" w:rsidRPr="00AE6A9C" w:rsidRDefault="001A3E86" w:rsidP="001A3E86">
      <w:pPr>
        <w:pStyle w:val="NoSpacing"/>
        <w:spacing w:line="360" w:lineRule="auto"/>
        <w:jc w:val="center"/>
        <w:rPr>
          <w:rFonts w:ascii="Times New Roman" w:hAnsi="Times New Roman" w:cs="Times New Roman"/>
          <w:b/>
          <w:sz w:val="24"/>
          <w:szCs w:val="24"/>
          <w:lang w:val="es-ES"/>
        </w:rPr>
      </w:pPr>
      <w:r w:rsidRPr="00AE6A9C">
        <w:rPr>
          <w:rFonts w:ascii="Times New Roman" w:hAnsi="Times New Roman" w:cs="Times New Roman"/>
          <w:b/>
          <w:sz w:val="24"/>
          <w:szCs w:val="24"/>
          <w:lang w:val="es-ES"/>
        </w:rPr>
        <w:t xml:space="preserve">El </w:t>
      </w:r>
      <w:r>
        <w:rPr>
          <w:rFonts w:ascii="Times New Roman" w:hAnsi="Times New Roman" w:cs="Times New Roman"/>
          <w:b/>
          <w:sz w:val="24"/>
          <w:szCs w:val="24"/>
          <w:lang w:val="es-ES"/>
        </w:rPr>
        <w:t>M</w:t>
      </w:r>
      <w:r w:rsidRPr="00AE6A9C">
        <w:rPr>
          <w:rFonts w:ascii="Times New Roman" w:hAnsi="Times New Roman" w:cs="Times New Roman"/>
          <w:b/>
          <w:sz w:val="24"/>
          <w:szCs w:val="24"/>
          <w:lang w:val="es-ES"/>
        </w:rPr>
        <w:t>ilieu teológico. Una dignificación del mundo.</w:t>
      </w:r>
      <w:bookmarkEnd w:id="43"/>
    </w:p>
    <w:p w14:paraId="3E750AED" w14:textId="77777777" w:rsidR="001A3E86" w:rsidRDefault="001A3E86" w:rsidP="001A3E86">
      <w:pPr>
        <w:pStyle w:val="NoSpacing"/>
        <w:spacing w:line="360" w:lineRule="auto"/>
        <w:jc w:val="both"/>
        <w:rPr>
          <w:rFonts w:ascii="Times New Roman" w:hAnsi="Times New Roman" w:cs="Times New Roman"/>
          <w:sz w:val="24"/>
          <w:szCs w:val="24"/>
          <w:lang w:val="es-CR"/>
        </w:rPr>
      </w:pPr>
    </w:p>
    <w:p w14:paraId="2B3105EF"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CE5A37">
        <w:rPr>
          <w:rFonts w:ascii="Times New Roman" w:hAnsi="Times New Roman" w:cs="Times New Roman"/>
          <w:sz w:val="24"/>
          <w:szCs w:val="24"/>
          <w:lang w:val="es-CR"/>
        </w:rPr>
        <w:t xml:space="preserve">Dignificar el mundo es una pretensión de la filosofía intercultural, válida también para la teología que dialoga con la polifonía cultural. Aportar para engrandecer el mundo, para que éste sea mejor que como es recibido </w:t>
      </w:r>
      <w:sdt>
        <w:sdtPr>
          <w:rPr>
            <w:rFonts w:ascii="Times New Roman" w:hAnsi="Times New Roman" w:cs="Times New Roman"/>
            <w:sz w:val="24"/>
            <w:szCs w:val="24"/>
          </w:rPr>
          <w:id w:val="1034078654"/>
          <w:citation/>
        </w:sdtPr>
        <w:sdtContent>
          <w:r w:rsidRPr="00CE5A37">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CITATION For08 \l 22538 </w:instrText>
          </w:r>
          <w:r w:rsidRPr="00CE5A37">
            <w:rPr>
              <w:rFonts w:ascii="Times New Roman" w:hAnsi="Times New Roman" w:cs="Times New Roman"/>
              <w:sz w:val="24"/>
              <w:szCs w:val="24"/>
            </w:rPr>
            <w:fldChar w:fldCharType="separate"/>
          </w:r>
          <w:r w:rsidRPr="004F609D">
            <w:rPr>
              <w:rFonts w:ascii="Times New Roman" w:hAnsi="Times New Roman" w:cs="Times New Roman"/>
              <w:sz w:val="24"/>
              <w:szCs w:val="24"/>
              <w:lang w:val="es-CR"/>
            </w:rPr>
            <w:t xml:space="preserve"> (Fornet-Betancourt, 2008)</w:t>
          </w:r>
          <w:r w:rsidRPr="00CE5A37">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 En este caso, el diálogo arroja luz sobre la forma como el mundo puede ser dignificado con nuevas directrices culturales. Es la dialéctica entre la familiaridad, ese mundo heredado y construido, y la no-familiaridad, el mundo espiritual de drogas precolombinas, de Estados Alterados de Conciencia suscitados por la entheogenia; ontopraxis que permite un enriquecimiento del sujeto y su cultura.</w:t>
      </w:r>
    </w:p>
    <w:p w14:paraId="12BD6184"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ontopraxis es método que da lugar a un medio para el mundo, para engrandecerlo, para dignificarlo. Este medio es teológico, es milieu teológico. En este medio se conversa sobre la existencia y su propósito, se resiste al aceptar lo existente como irreversible y se cree en algo allende al yo. Por ello, el milieu teológico se opone al milieu materialista, que desvincula, que aisla, que afecta el cuestionamiento de la validez de la vida (Quirce-Balma, 2010, 7 de abril).</w:t>
      </w:r>
    </w:p>
    <w:p w14:paraId="0652C791" w14:textId="77777777" w:rsidR="001A3E86" w:rsidRPr="004F609D" w:rsidRDefault="001A3E86" w:rsidP="001A3E86">
      <w:pPr>
        <w:pStyle w:val="NoSpacing"/>
        <w:spacing w:line="360" w:lineRule="auto"/>
        <w:ind w:firstLine="720"/>
        <w:jc w:val="both"/>
        <w:rPr>
          <w:rStyle w:val="created"/>
          <w:rFonts w:ascii="Times New Roman" w:hAnsi="Times New Roman" w:cs="Times New Roman"/>
          <w:sz w:val="24"/>
          <w:szCs w:val="24"/>
          <w:lang w:val="es-CR"/>
        </w:rPr>
      </w:pPr>
      <w:r w:rsidRPr="004F609D">
        <w:rPr>
          <w:rFonts w:ascii="Times New Roman" w:hAnsi="Times New Roman" w:cs="Times New Roman"/>
          <w:sz w:val="24"/>
          <w:szCs w:val="24"/>
          <w:lang w:val="es-CR"/>
        </w:rPr>
        <w:t>El milieu teológico es una categoría teilhardiana repensada, que dignifica al mundo, siendo que para Teilhard de Chardin, Dios aguarda en todas partes. Se trata de un centro que hace sólido el mundo, que ocupa toda la esfera, que tiene el poder absoluto y último de reunir y completar a todos los seres, el punto extremo hacia el cual converge toda la realidad. El medio divino es, pues, el universo en cuanto movido y co-penetrado por Dios en la totalidad de su evolución (Gibellini, 1998). En este sentido</w:t>
      </w:r>
      <w:r w:rsidRPr="004F609D">
        <w:rPr>
          <w:rStyle w:val="created"/>
          <w:rFonts w:ascii="Times New Roman" w:hAnsi="Times New Roman" w:cs="Times New Roman"/>
          <w:sz w:val="24"/>
          <w:szCs w:val="24"/>
          <w:lang w:val="es-CR"/>
        </w:rPr>
        <w:t>, Quirce-Balma concibe una época mejor, de forma similar a Teilhard de Chardin.</w:t>
      </w:r>
    </w:p>
    <w:p w14:paraId="30BECB83" w14:textId="77777777" w:rsidR="001A3E86" w:rsidRPr="004F609D" w:rsidRDefault="001A3E86" w:rsidP="001A3E86">
      <w:pPr>
        <w:pStyle w:val="NoSpacing"/>
        <w:spacing w:line="360" w:lineRule="auto"/>
        <w:jc w:val="both"/>
        <w:rPr>
          <w:rStyle w:val="created"/>
          <w:rFonts w:ascii="Times New Roman" w:hAnsi="Times New Roman" w:cs="Times New Roman"/>
          <w:sz w:val="24"/>
          <w:szCs w:val="24"/>
          <w:lang w:val="es-CR"/>
        </w:rPr>
      </w:pPr>
      <w:r w:rsidRPr="004F609D">
        <w:rPr>
          <w:rStyle w:val="created"/>
          <w:rFonts w:ascii="Times New Roman" w:hAnsi="Times New Roman" w:cs="Times New Roman"/>
          <w:sz w:val="24"/>
          <w:szCs w:val="24"/>
          <w:lang w:val="es-CR"/>
        </w:rPr>
        <w:t xml:space="preserve"> </w:t>
      </w:r>
      <w:r w:rsidRPr="004F609D">
        <w:rPr>
          <w:rStyle w:val="created"/>
          <w:rFonts w:ascii="Times New Roman" w:hAnsi="Times New Roman" w:cs="Times New Roman"/>
          <w:sz w:val="24"/>
          <w:szCs w:val="24"/>
          <w:lang w:val="es-CR"/>
        </w:rPr>
        <w:tab/>
        <w:t>Para Teilhard de Chardin existe una alternativa a la experiencia bélica y a la mecanización de los colectivos humanos, agrupados de manera científica, en campos de instrucción militar y en las fábricas</w:t>
      </w:r>
      <w:r w:rsidRPr="00AE6A9C">
        <w:rPr>
          <w:rStyle w:val="created"/>
          <w:rFonts w:ascii="Times New Roman" w:hAnsi="Times New Roman" w:cs="Times New Roman"/>
          <w:sz w:val="24"/>
          <w:szCs w:val="24"/>
          <w:lang w:val="es-ES"/>
        </w:rPr>
        <w:t xml:space="preserve"> (Teilhard de Chardin, 1974).</w:t>
      </w:r>
      <w:r w:rsidRPr="004F609D">
        <w:rPr>
          <w:rStyle w:val="created"/>
          <w:rFonts w:ascii="Times New Roman" w:hAnsi="Times New Roman" w:cs="Times New Roman"/>
          <w:sz w:val="24"/>
          <w:szCs w:val="24"/>
          <w:lang w:val="es-CR"/>
        </w:rPr>
        <w:t xml:space="preserve"> Teilhard de Chardin remite a esta materialización de los seres humanos mediante metáforas de la</w:t>
      </w:r>
      <w:r w:rsidRPr="00AE6A9C">
        <w:rPr>
          <w:rStyle w:val="created"/>
          <w:rFonts w:ascii="Times New Roman" w:hAnsi="Times New Roman" w:cs="Times New Roman"/>
          <w:sz w:val="24"/>
          <w:szCs w:val="24"/>
          <w:lang w:val="es-ES"/>
        </w:rPr>
        <w:t>s</w:t>
      </w:r>
      <w:r w:rsidRPr="004F609D">
        <w:rPr>
          <w:rStyle w:val="created"/>
          <w:rFonts w:ascii="Times New Roman" w:hAnsi="Times New Roman" w:cs="Times New Roman"/>
          <w:sz w:val="24"/>
          <w:szCs w:val="24"/>
          <w:lang w:val="es-CR"/>
        </w:rPr>
        <w:t xml:space="preserve"> ciencias exactas, de la siguiente manera: </w:t>
      </w:r>
    </w:p>
    <w:p w14:paraId="22921F28" w14:textId="77777777" w:rsidR="001A3E86" w:rsidRPr="004F609D" w:rsidRDefault="001A3E86" w:rsidP="001A3E86">
      <w:pPr>
        <w:pStyle w:val="NoSpacing"/>
        <w:spacing w:line="360" w:lineRule="auto"/>
        <w:jc w:val="both"/>
        <w:rPr>
          <w:rStyle w:val="created"/>
          <w:rFonts w:ascii="Times New Roman" w:hAnsi="Times New Roman" w:cs="Times New Roman"/>
          <w:lang w:val="es-CR"/>
        </w:rPr>
      </w:pPr>
    </w:p>
    <w:p w14:paraId="5AC20EB5" w14:textId="77777777" w:rsidR="001A3E86" w:rsidRPr="004F609D" w:rsidRDefault="001A3E86" w:rsidP="001A3E86">
      <w:pPr>
        <w:pStyle w:val="BodyText"/>
        <w:spacing w:after="0" w:line="240" w:lineRule="auto"/>
        <w:ind w:left="720"/>
        <w:jc w:val="both"/>
        <w:rPr>
          <w:rStyle w:val="created"/>
          <w:rFonts w:ascii="Times New Roman" w:hAnsi="Times New Roman" w:cs="Times New Roman"/>
          <w:lang w:val="es-CR"/>
        </w:rPr>
      </w:pPr>
      <w:r w:rsidRPr="004F609D">
        <w:rPr>
          <w:rStyle w:val="created"/>
          <w:rFonts w:ascii="Times New Roman" w:hAnsi="Times New Roman" w:cs="Times New Roman"/>
          <w:lang w:val="es-CR"/>
        </w:rPr>
        <w:t xml:space="preserve">Tal como un polvo cuyos granos, a pesar de </w:t>
      </w:r>
      <w:r w:rsidRPr="00AE6A9C">
        <w:rPr>
          <w:lang w:val="es-ES"/>
        </w:rPr>
        <w:t>estar</w:t>
      </w:r>
      <w:r w:rsidRPr="004F609D">
        <w:rPr>
          <w:rStyle w:val="created"/>
          <w:rFonts w:ascii="Times New Roman" w:hAnsi="Times New Roman" w:cs="Times New Roman"/>
          <w:lang w:val="es-CR"/>
        </w:rPr>
        <w:t xml:space="preserve"> comprimidos, rehúsan entrar en contacto molecular, se excluyen y se repudian, en el fondo con todas sus fuerzas. A menos que, lo que sería peor, su masa se coagule de tal forma que, en lugar del esperado Espíritu, aparezca una nueva oleada de determinismo; es decir de materialidad. (Teilhard de Chardin, 1974, p. 309)</w:t>
      </w:r>
    </w:p>
    <w:p w14:paraId="61BB130A" w14:textId="77777777" w:rsidR="001A3E86" w:rsidRDefault="001A3E86" w:rsidP="001A3E86">
      <w:pPr>
        <w:pStyle w:val="NoSpacing"/>
        <w:spacing w:line="360" w:lineRule="auto"/>
        <w:ind w:firstLine="720"/>
        <w:jc w:val="both"/>
        <w:rPr>
          <w:rFonts w:ascii="Times New Roman" w:hAnsi="Times New Roman" w:cs="Times New Roman"/>
          <w:sz w:val="24"/>
          <w:szCs w:val="24"/>
          <w:lang w:val="es-CR"/>
        </w:rPr>
      </w:pPr>
    </w:p>
    <w:p w14:paraId="60D645F1" w14:textId="77777777" w:rsidR="001A3E86" w:rsidRPr="004F609D" w:rsidRDefault="001A3E86" w:rsidP="001A3E86">
      <w:pPr>
        <w:pStyle w:val="NoSpacing"/>
        <w:spacing w:line="360" w:lineRule="auto"/>
        <w:ind w:firstLine="720"/>
        <w:jc w:val="both"/>
        <w:rPr>
          <w:rStyle w:val="created"/>
          <w:rFonts w:ascii="Times New Roman" w:hAnsi="Times New Roman" w:cs="Times New Roman"/>
          <w:sz w:val="24"/>
          <w:szCs w:val="24"/>
          <w:lang w:val="es-CR"/>
        </w:rPr>
      </w:pPr>
      <w:r w:rsidRPr="00CE5A37">
        <w:rPr>
          <w:rFonts w:ascii="Times New Roman" w:hAnsi="Times New Roman" w:cs="Times New Roman"/>
          <w:sz w:val="24"/>
          <w:szCs w:val="24"/>
          <w:lang w:val="es-CR"/>
        </w:rPr>
        <w:t>De forma similar</w:t>
      </w:r>
      <w:r w:rsidRPr="004F609D">
        <w:rPr>
          <w:rStyle w:val="created"/>
          <w:rFonts w:ascii="Times New Roman" w:hAnsi="Times New Roman" w:cs="Times New Roman"/>
          <w:sz w:val="24"/>
          <w:szCs w:val="24"/>
          <w:lang w:val="es-CR"/>
        </w:rPr>
        <w:t xml:space="preserve"> Quirce-Balma concibe la dignificación del mundo, a través de un milieu teológico, opuesto al milieu materialista. La salvedad, con respecto a Teilhard de Chardin, es que se trata de la dinámica de la sociedad globalizada de fines del siglo XX y principios del siglo XXI, en donde la socioeconomía empresarial fragmenta y atomiza la experiencia humana</w:t>
      </w:r>
      <w:r w:rsidRPr="00AE6A9C">
        <w:rPr>
          <w:rFonts w:ascii="Times New Roman" w:hAnsi="Times New Roman" w:cs="Times New Roman"/>
          <w:color w:val="000000"/>
          <w:sz w:val="24"/>
          <w:szCs w:val="24"/>
          <w:shd w:val="clear" w:color="auto" w:fill="FFFFFF"/>
          <w:lang w:val="es-ES"/>
        </w:rPr>
        <w:t xml:space="preserve"> </w:t>
      </w:r>
      <w:r w:rsidRPr="004F609D">
        <w:rPr>
          <w:rFonts w:ascii="Times New Roman" w:hAnsi="Times New Roman" w:cs="Times New Roman"/>
          <w:sz w:val="24"/>
          <w:szCs w:val="24"/>
          <w:lang w:val="es-CR"/>
        </w:rPr>
        <w:t>(Quirce-Balma, 2010, 7 de abril).</w:t>
      </w:r>
    </w:p>
    <w:p w14:paraId="17460A31"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Style w:val="created"/>
          <w:rFonts w:ascii="Times New Roman" w:hAnsi="Times New Roman" w:cs="Times New Roman"/>
          <w:sz w:val="24"/>
          <w:szCs w:val="24"/>
          <w:lang w:val="es-CR"/>
        </w:rPr>
        <w:t xml:space="preserve">Quirce-Balma no enfrenta un escenario de guerras mundiales sino la dinámica de la sociedad capitalista globalizada, de una socialización que niega la persona. </w:t>
      </w:r>
      <w:r w:rsidRPr="004F609D">
        <w:rPr>
          <w:rFonts w:ascii="Times New Roman" w:hAnsi="Times New Roman" w:cs="Times New Roman"/>
          <w:sz w:val="24"/>
          <w:szCs w:val="24"/>
          <w:lang w:val="es-CR"/>
        </w:rPr>
        <w:t xml:space="preserve">Trata como la filosofía y las ideologías de venta/compra y producción excesivas comprenden algo como la ausencia de nada, siendo la normalidad caracterizada entre algo y nada, no así entre esto y aquello. Propiedad de aquello que dio lugar a la avaricia en vez de estar de un aquí y un allá </w:t>
      </w:r>
      <w:sdt>
        <w:sdtPr>
          <w:rPr>
            <w:rFonts w:ascii="Times New Roman" w:hAnsi="Times New Roman" w:cs="Times New Roman"/>
            <w:sz w:val="24"/>
            <w:szCs w:val="24"/>
          </w:rPr>
          <w:id w:val="1707903583"/>
          <w:citation/>
        </w:sdtPr>
        <w:sdtContent>
          <w:r w:rsidRPr="00CE5A37">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CITATION Qui94 \l 22538 </w:instrText>
          </w:r>
          <w:r w:rsidRPr="00CE5A37">
            <w:rPr>
              <w:rFonts w:ascii="Times New Roman" w:hAnsi="Times New Roman" w:cs="Times New Roman"/>
              <w:sz w:val="24"/>
              <w:szCs w:val="24"/>
            </w:rPr>
            <w:fldChar w:fldCharType="separate"/>
          </w:r>
          <w:r w:rsidRPr="004F609D">
            <w:rPr>
              <w:rFonts w:ascii="Times New Roman" w:hAnsi="Times New Roman" w:cs="Times New Roman"/>
              <w:noProof/>
              <w:sz w:val="24"/>
              <w:szCs w:val="24"/>
              <w:lang w:val="es-CR"/>
            </w:rPr>
            <w:t>(Quirce-Balma, 1994)</w:t>
          </w:r>
          <w:r w:rsidRPr="00CE5A37">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w:t>
      </w:r>
    </w:p>
    <w:p w14:paraId="7501B2E5"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Por ello propone la búsqueda de un mundo mejor y de una estructura más profunda de la teoría de la personalidad, en la que existan nuevas posibilidades no censurables como anormales, en donde lo alucinatorio juega un papel fundamental </w:t>
      </w:r>
      <w:sdt>
        <w:sdtPr>
          <w:rPr>
            <w:rFonts w:ascii="Times New Roman" w:hAnsi="Times New Roman" w:cs="Times New Roman"/>
            <w:sz w:val="24"/>
            <w:szCs w:val="24"/>
          </w:rPr>
          <w:id w:val="-1188602079"/>
          <w:citation/>
        </w:sdtPr>
        <w:sdtContent>
          <w:r w:rsidRPr="00CE5A37">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CITATION Qui94 \l 22538 </w:instrText>
          </w:r>
          <w:r w:rsidRPr="00CE5A37">
            <w:rPr>
              <w:rFonts w:ascii="Times New Roman" w:hAnsi="Times New Roman" w:cs="Times New Roman"/>
              <w:sz w:val="24"/>
              <w:szCs w:val="24"/>
            </w:rPr>
            <w:fldChar w:fldCharType="separate"/>
          </w:r>
          <w:r w:rsidRPr="004F609D">
            <w:rPr>
              <w:rFonts w:ascii="Times New Roman" w:hAnsi="Times New Roman" w:cs="Times New Roman"/>
              <w:noProof/>
              <w:sz w:val="24"/>
              <w:szCs w:val="24"/>
              <w:lang w:val="es-CR"/>
            </w:rPr>
            <w:t>(Quirce-Balma, 1994)</w:t>
          </w:r>
          <w:r w:rsidRPr="00CE5A37">
            <w:rPr>
              <w:rFonts w:ascii="Times New Roman" w:hAnsi="Times New Roman" w:cs="Times New Roman"/>
              <w:sz w:val="24"/>
              <w:szCs w:val="24"/>
            </w:rPr>
            <w:fldChar w:fldCharType="end"/>
          </w:r>
        </w:sdtContent>
      </w:sdt>
      <w:r w:rsidRPr="004F609D">
        <w:rPr>
          <w:rFonts w:ascii="Times New Roman" w:hAnsi="Times New Roman" w:cs="Times New Roman"/>
          <w:sz w:val="24"/>
          <w:szCs w:val="24"/>
          <w:lang w:val="es-CR"/>
        </w:rPr>
        <w:t xml:space="preserve">. </w:t>
      </w:r>
    </w:p>
    <w:p w14:paraId="5D38E4C4"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La realidad viene a ser el mundo que ha sido construido por una cultura. Ciertamente en América Latina la realidad ha sido interpretada desde el poder, que posee una lógica con la que se configura el mundo. Sin embargo, este mundo y su lógica son problematizados en la experiencia enteogénica, misma que es nicho de sacralidad y mundos posibles, en donde el ocurrir, como aquella relación entre el tiempo y el ser, es distinto a la realidad:</w:t>
      </w:r>
    </w:p>
    <w:p w14:paraId="6AAD0A7E" w14:textId="77777777" w:rsidR="001A3E86" w:rsidRPr="004F609D" w:rsidRDefault="001A3E86" w:rsidP="001A3E86">
      <w:pPr>
        <w:pStyle w:val="BodyText"/>
        <w:spacing w:after="0" w:line="240" w:lineRule="auto"/>
        <w:ind w:left="720"/>
        <w:jc w:val="both"/>
        <w:rPr>
          <w:rFonts w:ascii="Times New Roman" w:hAnsi="Times New Roman" w:cs="Times New Roman"/>
          <w:lang w:val="es-CR"/>
        </w:rPr>
      </w:pPr>
    </w:p>
    <w:p w14:paraId="0B787512" w14:textId="77777777" w:rsidR="001A3E86" w:rsidRDefault="001A3E86" w:rsidP="001A3E86">
      <w:pPr>
        <w:pStyle w:val="BodyText"/>
        <w:spacing w:after="0" w:line="240" w:lineRule="auto"/>
        <w:ind w:left="720"/>
        <w:jc w:val="both"/>
        <w:rPr>
          <w:rFonts w:ascii="Times New Roman" w:hAnsi="Times New Roman" w:cs="Times New Roman"/>
          <w:lang w:val="es-CR"/>
        </w:rPr>
      </w:pPr>
      <w:r w:rsidRPr="004F609D">
        <w:rPr>
          <w:rFonts w:ascii="Times New Roman" w:hAnsi="Times New Roman" w:cs="Times New Roman"/>
          <w:lang w:val="es-CR"/>
        </w:rPr>
        <w:t xml:space="preserve">Por teogonía y teologonía podemos comprender la mitología de las deidades; sus valhallas, olimpos y panteones. Esto hace “sacro” el hecho de ocurrir. Un pasar similar a los calendarios de las “horas” de Europa medieval, los mándalas de oriente y los relojes espirituales ya alucinatorios de las Américas. Lo espiritual y lo alucinatorio a su vez hacían la relación entre “cuerpo” como lo religiosamente capacitado de tener experiencia y ontología como lo impedido de no llegar a seguir siendo tiempo. Si bien lo maya parece generar parte del “día” azteca, también éstos llegaron a tener sus propias incursiones en la “noche del ser” de la civilización. La filosofía que determinó el abrir como dejar de existir creó la “muerte” del ser, mas su muerte fue la economía de un mundo adonde sí hay que </w:t>
      </w:r>
      <w:r w:rsidRPr="004F609D">
        <w:rPr>
          <w:rFonts w:ascii="Times New Roman" w:hAnsi="Times New Roman" w:cs="Times New Roman"/>
          <w:lang w:val="es-CR"/>
        </w:rPr>
        <w:lastRenderedPageBreak/>
        <w:t xml:space="preserve">vender y guardar, comer y tener sed, edificar, pero no tener sed. (Quirce-Balma, 1994, p. 152) </w:t>
      </w:r>
    </w:p>
    <w:p w14:paraId="272FD93B" w14:textId="77777777" w:rsidR="001A3E86" w:rsidRDefault="001A3E86" w:rsidP="001A3E86">
      <w:pPr>
        <w:pStyle w:val="BodyText"/>
        <w:spacing w:after="0" w:line="240" w:lineRule="auto"/>
        <w:ind w:left="720"/>
        <w:jc w:val="both"/>
        <w:rPr>
          <w:rFonts w:ascii="Times New Roman" w:hAnsi="Times New Roman" w:cs="Times New Roman"/>
          <w:lang w:val="es-CR"/>
        </w:rPr>
      </w:pPr>
    </w:p>
    <w:p w14:paraId="71AD6DEB" w14:textId="77777777" w:rsidR="001A3E86" w:rsidRDefault="001A3E86" w:rsidP="001A3E86">
      <w:pPr>
        <w:pStyle w:val="BodyText"/>
        <w:spacing w:after="0" w:line="240" w:lineRule="auto"/>
        <w:ind w:left="720"/>
        <w:jc w:val="both"/>
        <w:rPr>
          <w:rFonts w:ascii="Times New Roman" w:hAnsi="Times New Roman" w:cs="Times New Roman"/>
          <w:lang w:val="es-CR"/>
        </w:rPr>
      </w:pPr>
    </w:p>
    <w:p w14:paraId="255EC722" w14:textId="77777777" w:rsidR="001A3E86" w:rsidRDefault="001A3E86" w:rsidP="001A3E86">
      <w:pPr>
        <w:pStyle w:val="BodyText"/>
        <w:spacing w:after="0" w:line="240" w:lineRule="auto"/>
        <w:ind w:left="720"/>
        <w:jc w:val="both"/>
        <w:rPr>
          <w:rFonts w:ascii="Times New Roman" w:hAnsi="Times New Roman" w:cs="Times New Roman"/>
          <w:lang w:val="es-CR"/>
        </w:rPr>
      </w:pPr>
    </w:p>
    <w:p w14:paraId="400A3972" w14:textId="77777777" w:rsidR="001A3E86" w:rsidRDefault="001A3E86" w:rsidP="001A3E86">
      <w:pPr>
        <w:pStyle w:val="BodyText"/>
        <w:spacing w:after="0" w:line="240" w:lineRule="auto"/>
        <w:ind w:left="720"/>
        <w:jc w:val="both"/>
        <w:rPr>
          <w:rFonts w:ascii="Times New Roman" w:hAnsi="Times New Roman" w:cs="Times New Roman"/>
          <w:lang w:val="es-CR"/>
        </w:rPr>
      </w:pPr>
    </w:p>
    <w:p w14:paraId="634A98F0" w14:textId="77777777" w:rsidR="001A3E86" w:rsidRPr="001A3E86" w:rsidRDefault="001A3E86" w:rsidP="001A3E86">
      <w:pPr>
        <w:pStyle w:val="BodyText"/>
        <w:spacing w:after="0" w:line="240" w:lineRule="auto"/>
        <w:ind w:left="720"/>
        <w:jc w:val="both"/>
        <w:rPr>
          <w:rFonts w:ascii="Times New Roman" w:hAnsi="Times New Roman" w:cs="Times New Roman"/>
          <w:noProof/>
          <w:lang w:val="es-CR"/>
        </w:rPr>
      </w:pPr>
    </w:p>
    <w:p w14:paraId="3FDA16D0" w14:textId="77777777" w:rsidR="001A3E86" w:rsidRDefault="001A3E86" w:rsidP="001A3E86">
      <w:pPr>
        <w:pStyle w:val="NoSpacing"/>
        <w:jc w:val="center"/>
        <w:rPr>
          <w:rFonts w:ascii="Times New Roman" w:hAnsi="Times New Roman" w:cs="Times New Roman"/>
          <w:b/>
          <w:sz w:val="24"/>
          <w:szCs w:val="24"/>
          <w:lang w:val="es-ES"/>
        </w:rPr>
      </w:pPr>
      <w:bookmarkStart w:id="44" w:name="_Toc474090244"/>
      <w:r w:rsidRPr="00AE6A9C">
        <w:rPr>
          <w:rFonts w:ascii="Times New Roman" w:hAnsi="Times New Roman" w:cs="Times New Roman"/>
          <w:b/>
          <w:sz w:val="24"/>
          <w:szCs w:val="24"/>
          <w:lang w:val="es-ES"/>
        </w:rPr>
        <w:t xml:space="preserve">Capítulo IV </w:t>
      </w:r>
    </w:p>
    <w:p w14:paraId="2CAA0B6C" w14:textId="77777777" w:rsidR="001A3E86" w:rsidRDefault="001A3E86" w:rsidP="001A3E86">
      <w:pPr>
        <w:pStyle w:val="NoSpacing"/>
        <w:jc w:val="center"/>
        <w:rPr>
          <w:rFonts w:ascii="Times New Roman" w:hAnsi="Times New Roman" w:cs="Times New Roman"/>
          <w:b/>
          <w:sz w:val="24"/>
          <w:szCs w:val="24"/>
          <w:lang w:val="es-ES"/>
        </w:rPr>
      </w:pPr>
    </w:p>
    <w:p w14:paraId="1284EA41" w14:textId="77777777" w:rsidR="001A3E86" w:rsidRPr="00AE6A9C" w:rsidRDefault="001A3E86" w:rsidP="001A3E86">
      <w:pPr>
        <w:pStyle w:val="NoSpacing"/>
        <w:jc w:val="center"/>
        <w:rPr>
          <w:rFonts w:ascii="Times New Roman" w:hAnsi="Times New Roman" w:cs="Times New Roman"/>
          <w:b/>
          <w:sz w:val="24"/>
          <w:szCs w:val="24"/>
          <w:lang w:val="es-ES"/>
        </w:rPr>
      </w:pPr>
      <w:r w:rsidRPr="00AE6A9C">
        <w:rPr>
          <w:rFonts w:ascii="Times New Roman" w:hAnsi="Times New Roman" w:cs="Times New Roman"/>
          <w:b/>
          <w:sz w:val="24"/>
          <w:szCs w:val="24"/>
          <w:lang w:val="es-ES"/>
        </w:rPr>
        <w:t>Conclusiones</w:t>
      </w:r>
      <w:bookmarkEnd w:id="44"/>
    </w:p>
    <w:p w14:paraId="101B860D" w14:textId="77777777" w:rsidR="001A3E86" w:rsidRPr="004F609D" w:rsidRDefault="001A3E86" w:rsidP="001A3E86">
      <w:pPr>
        <w:pStyle w:val="NoSpacing"/>
        <w:spacing w:line="360" w:lineRule="auto"/>
        <w:jc w:val="both"/>
        <w:rPr>
          <w:rFonts w:ascii="Times New Roman" w:hAnsi="Times New Roman" w:cs="Times New Roman"/>
          <w:sz w:val="24"/>
          <w:szCs w:val="24"/>
          <w:lang w:val="es-CR"/>
        </w:rPr>
      </w:pPr>
    </w:p>
    <w:p w14:paraId="0AF24A50"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Un acercamiento dialógico entre la psicoetnofarmacología de Quirce-Balma, la teología intercultural, la teología de la liberación y la teología tradicional, trae como resultado una serie de consideraciones sobre las espiritualidades enteogénicas del mundo precolombino, las cuales tradicionalmente han sido objeto de censura o de ignorancia por parte del discurso cristiano dominante. Así mismo la teología de la liberación podría de alguna forma reivindicar este tipo de experiencias, en el tanto se trata de sustancias enteogénicas que conllevan un valor sagrado para grupos de nuestra América, avasallados desde la conquista.</w:t>
      </w:r>
    </w:p>
    <w:p w14:paraId="0C198B46"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Ciertamente la teología intercultural permite un diálogo entre el pluralismo, que trae a la luz puntos de contradicción como también acercamientos entre diversas visiones o paradigmas. Si bien han existido confrontaciones desde la teología tradicional o bien descuidos por parte de la teología de la liberación, lo cierto del caso es que etnopsicofarmacología pone sobre la mesa la importancia este tipo de experiencias y muestra las ambivalencias del discurso cristiano, que en ocasiones ha oscilado entre lo positivo, entendido como santidad y lo negativo, como la brujería; y que en el caso de la teología de la liberación conlleva un llamado a considerar la negación y condena de ciertas espiritualidades precolombinas, que requieren no solo ser visualizadas sino también reconocidas y mostradas a la luz del martirio.</w:t>
      </w:r>
    </w:p>
    <w:p w14:paraId="4B00B659"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Cabe destacar que las consideraciones de la etnopsicofarmacolgía de Quirce-Balma, que permite esta valoración teológica, poseen un sustrato científico que históricamente ha pecado de excluyente de otros saberes o formas de experiencias. Sin embargo, las consideraciones etnopsicofarmacológicas se nutren de experiencias socioculturales y subjetivas, de las cuales surge una valoración positiva que no marca mayor diferencia entre la espiritualidad inducida por fármacos con otras experiencias espirituales, como la oración </w:t>
      </w:r>
      <w:r w:rsidRPr="004F609D">
        <w:rPr>
          <w:rFonts w:ascii="Times New Roman" w:hAnsi="Times New Roman" w:cs="Times New Roman"/>
          <w:sz w:val="24"/>
          <w:szCs w:val="24"/>
          <w:lang w:val="es-CR"/>
        </w:rPr>
        <w:lastRenderedPageBreak/>
        <w:t>y la meditación, siendo que varía el método, no así su finalidad, y que su reconocimiento depende la sociedad. Así mismo se trata de una aproximación desde América Latina, donde la constante han sido estudios de otras latitudes.</w:t>
      </w:r>
    </w:p>
    <w:p w14:paraId="75605DD4"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Por otro lado, el acercamiento dialógico propiciado por la teología intercultural trae a discusión el estado actual de valoración de los fármacos por parte de la sociedad actual. Si bien los fármacos han sido parte de experiencias enteogénicas, son a su vez un objeto controversial, en tanto están inscritos en la esfera del tratamiento médico como también en el mundo del narcotráfico y de las adicciones. De este modo, se ha dado por un lado un estudio exhaustivo con el fin de conocer las aplicaciones médicas de fármacos utilizados en principio en contextos sagrados, como también un uso destructivo en la propiciación de adicciones o en un consumo recreativo, alejado de la sacralidad y circunscrito en una lógica de mercado, que produce muerte. Se da una especie de simonía que niega lo sagrado y conlleva a la degradación humana.</w:t>
      </w:r>
    </w:p>
    <w:p w14:paraId="0CFC84A1" w14:textId="77777777" w:rsidR="001A3E86" w:rsidRPr="004F609D" w:rsidRDefault="001A3E86" w:rsidP="001A3E86">
      <w:pPr>
        <w:pStyle w:val="NoSpacing"/>
        <w:spacing w:line="360" w:lineRule="auto"/>
        <w:ind w:firstLine="720"/>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 xml:space="preserve">En este sentido, las memorias culturales enteogénicas precolombinas, valoradas por la etnopsicofarmacología y consideradas desde la teología intercultural, permiten concebir que aparte de la Historia oficial, del devenir aceptado tradicionalmente, existen otras visiones del tiempo y en el tiempo, que Quirce-Balma procura describirlas en la ontopraxis.  </w:t>
      </w:r>
    </w:p>
    <w:p w14:paraId="4E78DCA5" w14:textId="77777777" w:rsidR="001A3E86" w:rsidRPr="004F609D" w:rsidRDefault="001A3E86" w:rsidP="001A3E86">
      <w:pPr>
        <w:pStyle w:val="NoSpacing"/>
        <w:spacing w:line="360" w:lineRule="auto"/>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tab/>
        <w:t xml:space="preserve">La ontopraxis constituye un mecanismo por el cual es posible concebir una dignificación del mundo, es la fundamentación de mileu teológico que busca dar sacralidad y sentido a la vida humana. En la ontopraxis, las espiritualidades enteogénicas precolombinas vienen conformar la base de un cambio social, considerado por Quirce-Balma como una especie de levadura, que recuerda el sentido evangélico del cambio en el mundo.   </w:t>
      </w:r>
    </w:p>
    <w:p w14:paraId="0DB57CB6" w14:textId="77777777" w:rsidR="001A3E86" w:rsidRDefault="001A3E86" w:rsidP="001A3E86">
      <w:pPr>
        <w:pStyle w:val="yiv1427917474msonormal"/>
        <w:spacing w:line="360" w:lineRule="auto"/>
        <w:jc w:val="both"/>
        <w:rPr>
          <w:rFonts w:ascii="Arial" w:hAnsi="Arial" w:cs="Arial"/>
        </w:rPr>
      </w:pPr>
      <w:r w:rsidRPr="00CD18BA">
        <w:rPr>
          <w:rFonts w:ascii="Arial" w:hAnsi="Arial" w:cs="Arial"/>
        </w:rPr>
        <w:t xml:space="preserve"> </w:t>
      </w:r>
    </w:p>
    <w:p w14:paraId="067E12A2" w14:textId="77777777" w:rsidR="001A3E86" w:rsidRDefault="001A3E86" w:rsidP="001A3E86">
      <w:pPr>
        <w:pStyle w:val="yiv1427917474msonormal"/>
        <w:spacing w:line="360" w:lineRule="auto"/>
        <w:jc w:val="both"/>
        <w:rPr>
          <w:rFonts w:ascii="Arial" w:hAnsi="Arial" w:cs="Arial"/>
        </w:rPr>
      </w:pPr>
    </w:p>
    <w:p w14:paraId="2D9D9364" w14:textId="77777777" w:rsidR="001A3E86" w:rsidRDefault="001A3E86" w:rsidP="001A3E86">
      <w:pPr>
        <w:pStyle w:val="yiv1427917474msonormal"/>
        <w:spacing w:line="360" w:lineRule="auto"/>
        <w:jc w:val="both"/>
        <w:rPr>
          <w:rFonts w:ascii="Arial" w:hAnsi="Arial" w:cs="Arial"/>
        </w:rPr>
      </w:pPr>
    </w:p>
    <w:p w14:paraId="112C2232" w14:textId="77777777" w:rsidR="001A3E86" w:rsidRDefault="001A3E86" w:rsidP="001A3E86">
      <w:pPr>
        <w:pStyle w:val="yiv1427917474msonormal"/>
        <w:spacing w:line="360" w:lineRule="auto"/>
        <w:jc w:val="both"/>
        <w:rPr>
          <w:rFonts w:ascii="Arial" w:hAnsi="Arial" w:cs="Arial"/>
        </w:rPr>
      </w:pPr>
    </w:p>
    <w:p w14:paraId="65289AD9" w14:textId="77777777" w:rsidR="001A3E86" w:rsidRPr="004F609D" w:rsidRDefault="001A3E86" w:rsidP="001A3E86">
      <w:pPr>
        <w:spacing w:after="200" w:line="276" w:lineRule="auto"/>
        <w:rPr>
          <w:rFonts w:ascii="Arial" w:hAnsi="Arial" w:cs="Arial"/>
          <w:b/>
          <w:sz w:val="24"/>
          <w:szCs w:val="24"/>
          <w:lang w:val="es-CR"/>
        </w:rPr>
      </w:pPr>
    </w:p>
    <w:p w14:paraId="61C969FF" w14:textId="77777777" w:rsidR="001A3E86" w:rsidRDefault="001A3E86" w:rsidP="001A3E86">
      <w:pPr>
        <w:spacing w:after="200" w:line="276" w:lineRule="auto"/>
        <w:rPr>
          <w:rFonts w:ascii="Arial" w:hAnsi="Arial" w:cs="Arial"/>
          <w:b/>
          <w:sz w:val="24"/>
          <w:szCs w:val="24"/>
          <w:lang w:val="es-CR"/>
        </w:rPr>
      </w:pPr>
    </w:p>
    <w:p w14:paraId="06F43C73" w14:textId="77777777" w:rsidR="00B56345" w:rsidRPr="004F609D" w:rsidRDefault="00B56345" w:rsidP="001A3E86">
      <w:pPr>
        <w:spacing w:after="200" w:line="276" w:lineRule="auto"/>
        <w:rPr>
          <w:rFonts w:ascii="Arial" w:hAnsi="Arial" w:cs="Arial"/>
          <w:b/>
          <w:sz w:val="24"/>
          <w:szCs w:val="24"/>
          <w:lang w:val="es-CR"/>
        </w:rPr>
      </w:pPr>
    </w:p>
    <w:p w14:paraId="62BFAEF7" w14:textId="77777777" w:rsidR="001A3E86" w:rsidRPr="00733C5F" w:rsidRDefault="001A3E86" w:rsidP="001A3E86">
      <w:pPr>
        <w:pStyle w:val="Heading1"/>
        <w:rPr>
          <w:rFonts w:ascii="Times New Roman" w:hAnsi="Times New Roman"/>
          <w:sz w:val="24"/>
          <w:szCs w:val="24"/>
        </w:rPr>
      </w:pPr>
      <w:bookmarkStart w:id="45" w:name="_Toc474090245"/>
      <w:r w:rsidRPr="00516101">
        <w:rPr>
          <w:rFonts w:ascii="Times New Roman" w:hAnsi="Times New Roman"/>
          <w:sz w:val="24"/>
          <w:szCs w:val="24"/>
        </w:rPr>
        <w:t>Referencias bibliográficas</w:t>
      </w:r>
      <w:bookmarkEnd w:id="45"/>
      <w:r w:rsidRPr="00516101">
        <w:rPr>
          <w:rFonts w:ascii="Times New Roman" w:hAnsi="Times New Roman"/>
          <w:sz w:val="24"/>
          <w:szCs w:val="24"/>
        </w:rPr>
        <w:t xml:space="preserve"> </w:t>
      </w:r>
    </w:p>
    <w:p w14:paraId="6EA8137E" w14:textId="77777777" w:rsidR="001A3E86" w:rsidRPr="00516101" w:rsidRDefault="001A3E86" w:rsidP="001A3E86">
      <w:pPr>
        <w:autoSpaceDE w:val="0"/>
        <w:autoSpaceDN w:val="0"/>
        <w:adjustRightInd w:val="0"/>
        <w:spacing w:before="100" w:beforeAutospacing="1" w:after="100" w:afterAutospacing="1" w:line="360" w:lineRule="auto"/>
        <w:rPr>
          <w:rFonts w:ascii="Times New Roman" w:eastAsia="Times New Roman" w:hAnsi="Times New Roman" w:cs="Times New Roman"/>
          <w:b/>
          <w:sz w:val="24"/>
          <w:szCs w:val="24"/>
          <w:lang w:eastAsia="es-MX"/>
        </w:rPr>
      </w:pPr>
      <w:r w:rsidRPr="00516101">
        <w:rPr>
          <w:rFonts w:ascii="Times New Roman" w:eastAsia="Times New Roman" w:hAnsi="Times New Roman" w:cs="Times New Roman"/>
          <w:b/>
          <w:sz w:val="24"/>
          <w:szCs w:val="24"/>
          <w:lang w:eastAsia="es-MX"/>
        </w:rPr>
        <w:t>1. Libros:</w:t>
      </w:r>
    </w:p>
    <w:p w14:paraId="4100B9D7" w14:textId="77777777" w:rsidR="001A3E86" w:rsidRPr="004F609D" w:rsidRDefault="001A3E86" w:rsidP="001A3E86">
      <w:pPr>
        <w:pStyle w:val="NoSpacing"/>
        <w:numPr>
          <w:ilvl w:val="0"/>
          <w:numId w:val="3"/>
        </w:numPr>
        <w:spacing w:line="360" w:lineRule="auto"/>
        <w:jc w:val="both"/>
        <w:rPr>
          <w:rFonts w:ascii="Times New Roman" w:hAnsi="Times New Roman" w:cs="Times New Roman"/>
          <w:noProof/>
          <w:sz w:val="24"/>
          <w:szCs w:val="24"/>
          <w:lang w:val="es-CR"/>
        </w:rPr>
      </w:pPr>
      <w:r w:rsidRPr="00516101">
        <w:rPr>
          <w:rFonts w:ascii="Times New Roman" w:eastAsia="Times New Roman" w:hAnsi="Times New Roman" w:cs="Times New Roman"/>
          <w:sz w:val="24"/>
          <w:szCs w:val="24"/>
          <w:lang w:val="es-CR" w:eastAsia="es-MX"/>
        </w:rPr>
        <w:t>Alves</w:t>
      </w:r>
      <w:r w:rsidRPr="004F609D">
        <w:rPr>
          <w:rFonts w:ascii="Times New Roman" w:hAnsi="Times New Roman" w:cs="Times New Roman"/>
          <w:noProof/>
          <w:sz w:val="24"/>
          <w:szCs w:val="24"/>
          <w:lang w:val="es-CR"/>
        </w:rPr>
        <w:t xml:space="preserve">, R. (1982). </w:t>
      </w:r>
      <w:r w:rsidRPr="004F609D">
        <w:rPr>
          <w:rFonts w:ascii="Times New Roman" w:hAnsi="Times New Roman" w:cs="Times New Roman"/>
          <w:i/>
          <w:noProof/>
          <w:sz w:val="24"/>
          <w:szCs w:val="24"/>
          <w:lang w:val="es-CR"/>
        </w:rPr>
        <w:t>Teología como juego</w:t>
      </w:r>
      <w:r w:rsidRPr="004F609D">
        <w:rPr>
          <w:rFonts w:ascii="Times New Roman" w:hAnsi="Times New Roman" w:cs="Times New Roman"/>
          <w:noProof/>
          <w:sz w:val="24"/>
          <w:szCs w:val="24"/>
          <w:lang w:val="es-CR"/>
        </w:rPr>
        <w:t>. Ed. Digital. Buenos Aires: Aurora.</w:t>
      </w:r>
    </w:p>
    <w:p w14:paraId="53E64AB1" w14:textId="77777777" w:rsidR="001A3E86" w:rsidRPr="0051610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4F609D">
        <w:rPr>
          <w:rFonts w:ascii="Times New Roman" w:hAnsi="Times New Roman" w:cs="Times New Roman"/>
          <w:noProof/>
          <w:sz w:val="24"/>
          <w:szCs w:val="24"/>
          <w:lang w:val="es-CR"/>
        </w:rPr>
        <w:t xml:space="preserve">Arce-Arenales, M. (2008). La Esfinge y el espejo: Occidente y sus orígenes. </w:t>
      </w:r>
      <w:r w:rsidRPr="00516101">
        <w:rPr>
          <w:rFonts w:ascii="Times New Roman" w:hAnsi="Times New Roman" w:cs="Times New Roman"/>
          <w:noProof/>
          <w:sz w:val="24"/>
          <w:szCs w:val="24"/>
        </w:rPr>
        <w:t>San José: Alambique.</w:t>
      </w:r>
    </w:p>
    <w:p w14:paraId="44CC3D1F" w14:textId="77777777" w:rsidR="001A3E86" w:rsidRPr="00516101" w:rsidRDefault="001A3E86" w:rsidP="001A3E86">
      <w:pPr>
        <w:pStyle w:val="NoSpacing"/>
        <w:numPr>
          <w:ilvl w:val="0"/>
          <w:numId w:val="3"/>
        </w:numPr>
        <w:spacing w:line="360" w:lineRule="auto"/>
        <w:jc w:val="both"/>
        <w:rPr>
          <w:rFonts w:ascii="Times New Roman" w:hAnsi="Times New Roman" w:cs="Times New Roman"/>
          <w:noProof/>
          <w:sz w:val="24"/>
          <w:szCs w:val="24"/>
          <w:lang w:val="es-ES"/>
        </w:rPr>
      </w:pPr>
      <w:r w:rsidRPr="004F609D">
        <w:rPr>
          <w:rFonts w:ascii="Times New Roman" w:hAnsi="Times New Roman" w:cs="Times New Roman"/>
          <w:noProof/>
          <w:sz w:val="24"/>
          <w:szCs w:val="24"/>
          <w:lang w:val="es-CR"/>
        </w:rPr>
        <w:t>Avendaño</w:t>
      </w:r>
      <w:r w:rsidRPr="00516101">
        <w:rPr>
          <w:rFonts w:ascii="Times New Roman" w:hAnsi="Times New Roman" w:cs="Times New Roman"/>
          <w:noProof/>
          <w:sz w:val="24"/>
          <w:szCs w:val="24"/>
          <w:lang w:val="es-ES"/>
        </w:rPr>
        <w:t xml:space="preserve">-Herrera, F. (2005). </w:t>
      </w:r>
      <w:r w:rsidRPr="00516101">
        <w:rPr>
          <w:rFonts w:ascii="Times New Roman" w:hAnsi="Times New Roman" w:cs="Times New Roman"/>
          <w:i/>
          <w:iCs/>
          <w:noProof/>
          <w:sz w:val="24"/>
          <w:szCs w:val="24"/>
          <w:lang w:val="es-ES"/>
        </w:rPr>
        <w:t>Introducción a la teología.</w:t>
      </w:r>
      <w:r w:rsidRPr="00516101">
        <w:rPr>
          <w:rFonts w:ascii="Times New Roman" w:hAnsi="Times New Roman" w:cs="Times New Roman"/>
          <w:noProof/>
          <w:sz w:val="24"/>
          <w:szCs w:val="24"/>
          <w:lang w:val="es-ES"/>
        </w:rPr>
        <w:t xml:space="preserve"> San José: EUNED.</w:t>
      </w:r>
    </w:p>
    <w:p w14:paraId="6A51996A" w14:textId="77777777" w:rsidR="001A3E86" w:rsidRPr="0051610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4F609D">
        <w:rPr>
          <w:rFonts w:ascii="Times New Roman" w:hAnsi="Times New Roman" w:cs="Times New Roman"/>
          <w:noProof/>
          <w:sz w:val="24"/>
          <w:szCs w:val="24"/>
          <w:lang w:val="es-CR"/>
        </w:rPr>
        <w:t xml:space="preserve">Cosacov, E. (2007). </w:t>
      </w:r>
      <w:r w:rsidRPr="004F609D">
        <w:rPr>
          <w:rFonts w:ascii="Times New Roman" w:hAnsi="Times New Roman" w:cs="Times New Roman"/>
          <w:i/>
          <w:noProof/>
          <w:sz w:val="24"/>
          <w:szCs w:val="24"/>
          <w:lang w:val="es-CR"/>
        </w:rPr>
        <w:t>Diccionario de términos técnicos de psicología</w:t>
      </w:r>
      <w:r w:rsidRPr="004F609D">
        <w:rPr>
          <w:rFonts w:ascii="Times New Roman" w:hAnsi="Times New Roman" w:cs="Times New Roman"/>
          <w:noProof/>
          <w:sz w:val="24"/>
          <w:szCs w:val="24"/>
          <w:lang w:val="es-CR"/>
        </w:rPr>
        <w:t xml:space="preserve">. </w:t>
      </w:r>
      <w:r w:rsidRPr="00516101">
        <w:rPr>
          <w:rFonts w:ascii="Times New Roman" w:hAnsi="Times New Roman" w:cs="Times New Roman"/>
          <w:noProof/>
          <w:sz w:val="24"/>
          <w:szCs w:val="24"/>
        </w:rPr>
        <w:t>Argentina: Editorial Brujas.</w:t>
      </w:r>
    </w:p>
    <w:p w14:paraId="57775877" w14:textId="77777777" w:rsidR="001A3E86" w:rsidRPr="00516101" w:rsidRDefault="001A3E86" w:rsidP="001A3E86">
      <w:pPr>
        <w:pStyle w:val="NoSpacing"/>
        <w:numPr>
          <w:ilvl w:val="0"/>
          <w:numId w:val="3"/>
        </w:numPr>
        <w:spacing w:line="360" w:lineRule="auto"/>
        <w:jc w:val="both"/>
        <w:rPr>
          <w:rFonts w:ascii="Times New Roman" w:hAnsi="Times New Roman" w:cs="Times New Roman"/>
          <w:noProof/>
          <w:sz w:val="24"/>
          <w:szCs w:val="24"/>
          <w:lang w:val="es-ES"/>
        </w:rPr>
      </w:pPr>
      <w:r w:rsidRPr="004F609D">
        <w:rPr>
          <w:rFonts w:ascii="Times New Roman" w:hAnsi="Times New Roman" w:cs="Times New Roman"/>
          <w:noProof/>
          <w:sz w:val="24"/>
          <w:szCs w:val="24"/>
          <w:lang w:val="es-CR"/>
        </w:rPr>
        <w:t>Escohotado</w:t>
      </w:r>
      <w:r w:rsidRPr="00516101">
        <w:rPr>
          <w:rFonts w:ascii="Times New Roman" w:hAnsi="Times New Roman" w:cs="Times New Roman"/>
          <w:noProof/>
          <w:sz w:val="24"/>
          <w:szCs w:val="24"/>
          <w:lang w:val="es-ES"/>
        </w:rPr>
        <w:t xml:space="preserve">, A. (2002). </w:t>
      </w:r>
      <w:r w:rsidRPr="00516101">
        <w:rPr>
          <w:rFonts w:ascii="Times New Roman" w:hAnsi="Times New Roman" w:cs="Times New Roman"/>
          <w:i/>
          <w:iCs/>
          <w:noProof/>
          <w:sz w:val="24"/>
          <w:szCs w:val="24"/>
          <w:lang w:val="es-ES"/>
        </w:rPr>
        <w:t>Historia General de las Drogas.</w:t>
      </w:r>
      <w:r w:rsidRPr="00516101">
        <w:rPr>
          <w:rFonts w:ascii="Times New Roman" w:hAnsi="Times New Roman" w:cs="Times New Roman"/>
          <w:noProof/>
          <w:sz w:val="24"/>
          <w:szCs w:val="24"/>
          <w:lang w:val="es-ES"/>
        </w:rPr>
        <w:t xml:space="preserve"> Madrid: Espasa.</w:t>
      </w:r>
    </w:p>
    <w:p w14:paraId="1889A8B8" w14:textId="77777777" w:rsidR="001A3E86" w:rsidRPr="00516101" w:rsidRDefault="001A3E86" w:rsidP="001A3E86">
      <w:pPr>
        <w:pStyle w:val="NoSpacing"/>
        <w:numPr>
          <w:ilvl w:val="0"/>
          <w:numId w:val="3"/>
        </w:numPr>
        <w:spacing w:line="360" w:lineRule="auto"/>
        <w:jc w:val="both"/>
        <w:rPr>
          <w:rFonts w:ascii="Times New Roman" w:hAnsi="Times New Roman" w:cs="Times New Roman"/>
          <w:sz w:val="24"/>
          <w:szCs w:val="24"/>
        </w:rPr>
      </w:pPr>
      <w:r w:rsidRPr="004F609D">
        <w:rPr>
          <w:rFonts w:ascii="Times New Roman" w:hAnsi="Times New Roman" w:cs="Times New Roman"/>
          <w:noProof/>
          <w:sz w:val="24"/>
          <w:szCs w:val="24"/>
          <w:lang w:val="es-CR"/>
        </w:rPr>
        <w:t>Fornet</w:t>
      </w:r>
      <w:r w:rsidRPr="004F609D">
        <w:rPr>
          <w:rFonts w:ascii="Times New Roman" w:hAnsi="Times New Roman" w:cs="Times New Roman"/>
          <w:sz w:val="24"/>
          <w:szCs w:val="24"/>
          <w:lang w:val="es-CR"/>
        </w:rPr>
        <w:t xml:space="preserve">-Betancourt, R. (2004) De la inculturación a la interculturalidad. En Tamayo, J.J. y Fornet-Betancourt, R. (Eds.) </w:t>
      </w:r>
      <w:r w:rsidRPr="004F609D">
        <w:rPr>
          <w:rFonts w:ascii="Times New Roman" w:hAnsi="Times New Roman" w:cs="Times New Roman"/>
          <w:i/>
          <w:sz w:val="24"/>
          <w:szCs w:val="24"/>
          <w:lang w:val="es-CR"/>
        </w:rPr>
        <w:t>Interculturalidad, diálogo interreligioso y liberación</w:t>
      </w:r>
      <w:r w:rsidRPr="004F609D">
        <w:rPr>
          <w:rFonts w:ascii="Times New Roman" w:hAnsi="Times New Roman" w:cs="Times New Roman"/>
          <w:sz w:val="24"/>
          <w:szCs w:val="24"/>
          <w:lang w:val="es-CR"/>
        </w:rPr>
        <w:t xml:space="preserve">. </w:t>
      </w:r>
      <w:r w:rsidRPr="00516101">
        <w:rPr>
          <w:rFonts w:ascii="Times New Roman" w:hAnsi="Times New Roman" w:cs="Times New Roman"/>
          <w:sz w:val="24"/>
          <w:szCs w:val="24"/>
        </w:rPr>
        <w:t>(</w:t>
      </w:r>
      <w:proofErr w:type="gramStart"/>
      <w:r w:rsidRPr="00516101">
        <w:rPr>
          <w:rFonts w:ascii="Times New Roman" w:hAnsi="Times New Roman" w:cs="Times New Roman"/>
          <w:sz w:val="24"/>
          <w:szCs w:val="24"/>
        </w:rPr>
        <w:t>pp</w:t>
      </w:r>
      <w:proofErr w:type="gramEnd"/>
      <w:r w:rsidRPr="00516101">
        <w:rPr>
          <w:rFonts w:ascii="Times New Roman" w:hAnsi="Times New Roman" w:cs="Times New Roman"/>
          <w:sz w:val="24"/>
          <w:szCs w:val="24"/>
        </w:rPr>
        <w:t>. 43-60) Madrid: Editorial Verbo Divino.</w:t>
      </w:r>
    </w:p>
    <w:p w14:paraId="741A6C5D" w14:textId="77777777" w:rsidR="001A3E86" w:rsidRPr="0051610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4F609D">
        <w:rPr>
          <w:rFonts w:ascii="Times New Roman" w:hAnsi="Times New Roman" w:cs="Times New Roman"/>
          <w:noProof/>
          <w:sz w:val="24"/>
          <w:szCs w:val="24"/>
          <w:lang w:val="es-CR"/>
        </w:rPr>
        <w:t xml:space="preserve">Fornet-Betancourt, R. (2007). </w:t>
      </w:r>
      <w:r w:rsidRPr="004F609D">
        <w:rPr>
          <w:rFonts w:ascii="Times New Roman" w:hAnsi="Times New Roman" w:cs="Times New Roman"/>
          <w:i/>
          <w:iCs/>
          <w:noProof/>
          <w:sz w:val="24"/>
          <w:szCs w:val="24"/>
          <w:lang w:val="es-CR"/>
        </w:rPr>
        <w:t>Interculturalidad y Religión. Para una lectura intercultural de la crisis actual del cristianismo.</w:t>
      </w:r>
      <w:r w:rsidRPr="004F609D">
        <w:rPr>
          <w:rFonts w:ascii="Times New Roman" w:hAnsi="Times New Roman" w:cs="Times New Roman"/>
          <w:noProof/>
          <w:sz w:val="24"/>
          <w:szCs w:val="24"/>
          <w:lang w:val="es-CR"/>
        </w:rPr>
        <w:t xml:space="preserve"> </w:t>
      </w:r>
      <w:r w:rsidRPr="00516101">
        <w:rPr>
          <w:rFonts w:ascii="Times New Roman" w:hAnsi="Times New Roman" w:cs="Times New Roman"/>
          <w:noProof/>
          <w:sz w:val="24"/>
          <w:szCs w:val="24"/>
        </w:rPr>
        <w:t>Quito-Ecuador: Ediciones Abya-Yala.</w:t>
      </w:r>
    </w:p>
    <w:p w14:paraId="34BC1D9A" w14:textId="77777777" w:rsidR="001A3E86" w:rsidRPr="0051610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4F609D">
        <w:rPr>
          <w:rFonts w:ascii="Times New Roman" w:hAnsi="Times New Roman" w:cs="Times New Roman"/>
          <w:noProof/>
          <w:sz w:val="24"/>
          <w:szCs w:val="24"/>
          <w:lang w:val="es-CR"/>
        </w:rPr>
        <w:t xml:space="preserve">Fuentes-Arderiu, X. (1998). </w:t>
      </w:r>
      <w:r w:rsidRPr="004F609D">
        <w:rPr>
          <w:rFonts w:ascii="Times New Roman" w:hAnsi="Times New Roman" w:cs="Times New Roman"/>
          <w:i/>
          <w:noProof/>
          <w:sz w:val="24"/>
          <w:szCs w:val="24"/>
          <w:lang w:val="es-CR"/>
        </w:rPr>
        <w:t>Bioquímica clínica y patología molecular</w:t>
      </w:r>
      <w:r w:rsidRPr="004F609D">
        <w:rPr>
          <w:rFonts w:ascii="Times New Roman" w:hAnsi="Times New Roman" w:cs="Times New Roman"/>
          <w:noProof/>
          <w:sz w:val="24"/>
          <w:szCs w:val="24"/>
          <w:lang w:val="es-CR"/>
        </w:rPr>
        <w:t xml:space="preserve">, Volume 2. </w:t>
      </w:r>
      <w:r w:rsidRPr="00516101">
        <w:rPr>
          <w:rFonts w:ascii="Times New Roman" w:hAnsi="Times New Roman" w:cs="Times New Roman"/>
          <w:noProof/>
          <w:sz w:val="24"/>
          <w:szCs w:val="24"/>
        </w:rPr>
        <w:t>Barcelona: Editorial REVERTÉ.</w:t>
      </w:r>
    </w:p>
    <w:p w14:paraId="2FC8737D" w14:textId="77777777" w:rsidR="001A3E86" w:rsidRPr="00516101" w:rsidRDefault="001A3E86" w:rsidP="001A3E86">
      <w:pPr>
        <w:pStyle w:val="NoSpacing"/>
        <w:numPr>
          <w:ilvl w:val="0"/>
          <w:numId w:val="3"/>
        </w:numPr>
        <w:spacing w:line="360" w:lineRule="auto"/>
        <w:jc w:val="both"/>
        <w:rPr>
          <w:rFonts w:ascii="Times New Roman" w:hAnsi="Times New Roman" w:cs="Times New Roman"/>
          <w:sz w:val="24"/>
          <w:szCs w:val="24"/>
          <w:lang w:val="es-ES"/>
        </w:rPr>
      </w:pPr>
      <w:r w:rsidRPr="004F609D">
        <w:rPr>
          <w:rFonts w:ascii="Times New Roman" w:hAnsi="Times New Roman" w:cs="Times New Roman"/>
          <w:noProof/>
          <w:sz w:val="24"/>
          <w:szCs w:val="24"/>
          <w:lang w:val="es-CR"/>
        </w:rPr>
        <w:t>Gallardo</w:t>
      </w:r>
      <w:r w:rsidRPr="00516101">
        <w:rPr>
          <w:rFonts w:ascii="Times New Roman" w:hAnsi="Times New Roman" w:cs="Times New Roman"/>
          <w:sz w:val="24"/>
          <w:szCs w:val="24"/>
          <w:lang w:val="es-ES"/>
        </w:rPr>
        <w:t>, H. (2008).</w:t>
      </w:r>
      <w:r w:rsidRPr="00516101">
        <w:rPr>
          <w:rFonts w:ascii="Times New Roman" w:hAnsi="Times New Roman" w:cs="Times New Roman"/>
          <w:i/>
          <w:sz w:val="24"/>
          <w:szCs w:val="24"/>
          <w:lang w:val="es-ES"/>
        </w:rPr>
        <w:t xml:space="preserve"> Crítica Social del Evangelio que mata. Introducción al pensamiento de Juan Luis Segundo</w:t>
      </w:r>
      <w:r w:rsidRPr="00516101">
        <w:rPr>
          <w:rFonts w:ascii="Times New Roman" w:hAnsi="Times New Roman" w:cs="Times New Roman"/>
          <w:sz w:val="24"/>
          <w:szCs w:val="24"/>
          <w:lang w:val="es-ES"/>
        </w:rPr>
        <w:t>. Heredia: UNA.</w:t>
      </w:r>
    </w:p>
    <w:p w14:paraId="38035462" w14:textId="77777777" w:rsidR="001A3E86" w:rsidRPr="0051610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4F609D">
        <w:rPr>
          <w:rFonts w:ascii="Times New Roman" w:hAnsi="Times New Roman" w:cs="Times New Roman"/>
          <w:noProof/>
          <w:sz w:val="24"/>
          <w:szCs w:val="24"/>
          <w:lang w:val="es-CR"/>
        </w:rPr>
        <w:t xml:space="preserve">Mena, F., Ramírez, I., &amp; Rojas, A. (2006). </w:t>
      </w:r>
      <w:r w:rsidRPr="004F609D">
        <w:rPr>
          <w:rFonts w:ascii="Times New Roman" w:hAnsi="Times New Roman" w:cs="Times New Roman"/>
          <w:i/>
          <w:noProof/>
          <w:sz w:val="24"/>
          <w:szCs w:val="24"/>
          <w:lang w:val="es-CR"/>
        </w:rPr>
        <w:t>Guía del curso Práctica Profesional</w:t>
      </w:r>
      <w:r w:rsidRPr="004F609D">
        <w:rPr>
          <w:rFonts w:ascii="Times New Roman" w:hAnsi="Times New Roman" w:cs="Times New Roman"/>
          <w:noProof/>
          <w:sz w:val="24"/>
          <w:szCs w:val="24"/>
          <w:lang w:val="es-CR"/>
        </w:rPr>
        <w:t xml:space="preserve">. </w:t>
      </w:r>
      <w:r w:rsidRPr="00516101">
        <w:rPr>
          <w:rFonts w:ascii="Times New Roman" w:hAnsi="Times New Roman" w:cs="Times New Roman"/>
          <w:noProof/>
          <w:sz w:val="24"/>
          <w:szCs w:val="24"/>
        </w:rPr>
        <w:t xml:space="preserve">San José: Universidad Estatal a Distancia.  </w:t>
      </w:r>
    </w:p>
    <w:p w14:paraId="72C90280" w14:textId="77777777" w:rsidR="001A3E86" w:rsidRPr="00516101" w:rsidRDefault="001A3E86" w:rsidP="001A3E86">
      <w:pPr>
        <w:pStyle w:val="NoSpacing"/>
        <w:numPr>
          <w:ilvl w:val="0"/>
          <w:numId w:val="3"/>
        </w:numPr>
        <w:spacing w:line="360" w:lineRule="auto"/>
        <w:jc w:val="both"/>
        <w:rPr>
          <w:rFonts w:ascii="Times New Roman" w:hAnsi="Times New Roman" w:cs="Times New Roman"/>
          <w:noProof/>
          <w:sz w:val="24"/>
          <w:szCs w:val="24"/>
          <w:lang w:val="es-ES"/>
        </w:rPr>
      </w:pPr>
      <w:r w:rsidRPr="00AE6A9C">
        <w:rPr>
          <w:rFonts w:ascii="Times New Roman" w:hAnsi="Times New Roman" w:cs="Times New Roman"/>
          <w:noProof/>
          <w:sz w:val="24"/>
          <w:szCs w:val="24"/>
        </w:rPr>
        <w:t xml:space="preserve">Ochoa, T. R. (2010). </w:t>
      </w:r>
      <w:r w:rsidRPr="00AE6A9C">
        <w:rPr>
          <w:rFonts w:ascii="Times New Roman" w:hAnsi="Times New Roman" w:cs="Times New Roman"/>
          <w:i/>
          <w:iCs/>
          <w:noProof/>
          <w:sz w:val="24"/>
          <w:szCs w:val="24"/>
        </w:rPr>
        <w:t>Society of the dead, Quita Manaquita and Palo Praise in Cuba.</w:t>
      </w:r>
      <w:r w:rsidRPr="00AE6A9C">
        <w:rPr>
          <w:rFonts w:ascii="Times New Roman" w:hAnsi="Times New Roman" w:cs="Times New Roman"/>
          <w:noProof/>
          <w:sz w:val="24"/>
          <w:szCs w:val="24"/>
        </w:rPr>
        <w:t xml:space="preserve"> </w:t>
      </w:r>
      <w:r w:rsidRPr="00180D78">
        <w:rPr>
          <w:rFonts w:ascii="Times New Roman" w:hAnsi="Times New Roman" w:cs="Times New Roman"/>
          <w:noProof/>
          <w:sz w:val="24"/>
          <w:szCs w:val="24"/>
        </w:rPr>
        <w:t>Berkeley</w:t>
      </w:r>
      <w:r w:rsidRPr="00516101">
        <w:rPr>
          <w:rFonts w:ascii="Times New Roman" w:hAnsi="Times New Roman" w:cs="Times New Roman"/>
          <w:noProof/>
          <w:sz w:val="24"/>
          <w:szCs w:val="24"/>
          <w:lang w:val="es-ES"/>
        </w:rPr>
        <w:t>: The University of California Press.</w:t>
      </w:r>
    </w:p>
    <w:p w14:paraId="2471CC9B" w14:textId="77777777" w:rsidR="001A3E86" w:rsidRPr="0051610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4F609D">
        <w:rPr>
          <w:rFonts w:ascii="Times New Roman" w:hAnsi="Times New Roman" w:cs="Times New Roman"/>
          <w:noProof/>
          <w:sz w:val="24"/>
          <w:szCs w:val="24"/>
          <w:lang w:val="es-CR"/>
        </w:rPr>
        <w:t xml:space="preserve">Robles, A. (2005). </w:t>
      </w:r>
      <w:r w:rsidRPr="004F609D">
        <w:rPr>
          <w:rFonts w:ascii="Times New Roman" w:hAnsi="Times New Roman" w:cs="Times New Roman"/>
          <w:i/>
          <w:iCs/>
          <w:noProof/>
          <w:sz w:val="24"/>
          <w:szCs w:val="24"/>
          <w:lang w:val="es-CR"/>
        </w:rPr>
        <w:t xml:space="preserve">La religión en la sociedad de conocimiento: o el vino nuevo en odres </w:t>
      </w:r>
      <w:r w:rsidRPr="004F609D">
        <w:rPr>
          <w:rFonts w:ascii="Times New Roman" w:hAnsi="Times New Roman" w:cs="Times New Roman"/>
          <w:noProof/>
          <w:sz w:val="24"/>
          <w:szCs w:val="24"/>
          <w:lang w:val="es-CR"/>
        </w:rPr>
        <w:t xml:space="preserve">nuevos. </w:t>
      </w:r>
      <w:r w:rsidRPr="00516101">
        <w:rPr>
          <w:rFonts w:ascii="Times New Roman" w:hAnsi="Times New Roman" w:cs="Times New Roman"/>
          <w:noProof/>
          <w:sz w:val="24"/>
          <w:szCs w:val="24"/>
        </w:rPr>
        <w:t>San José: UNED.</w:t>
      </w:r>
    </w:p>
    <w:p w14:paraId="3CC3238F" w14:textId="77777777" w:rsidR="001A3E86" w:rsidRPr="00516101"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val="es-CR" w:eastAsia="es-MX"/>
        </w:rPr>
      </w:pPr>
      <w:r w:rsidRPr="004F609D">
        <w:rPr>
          <w:rFonts w:ascii="Times New Roman" w:hAnsi="Times New Roman" w:cs="Times New Roman"/>
          <w:noProof/>
          <w:sz w:val="24"/>
          <w:szCs w:val="24"/>
          <w:lang w:val="es-CR"/>
        </w:rPr>
        <w:t>Robles</w:t>
      </w:r>
      <w:r w:rsidRPr="00516101">
        <w:rPr>
          <w:rFonts w:ascii="Times New Roman" w:eastAsia="Times New Roman" w:hAnsi="Times New Roman" w:cs="Times New Roman"/>
          <w:sz w:val="24"/>
          <w:szCs w:val="24"/>
          <w:lang w:val="es-CR" w:eastAsia="es-MX"/>
        </w:rPr>
        <w:t xml:space="preserve">, A. (2010). </w:t>
      </w:r>
      <w:r w:rsidRPr="00516101">
        <w:rPr>
          <w:rFonts w:ascii="Times New Roman" w:eastAsia="Times New Roman" w:hAnsi="Times New Roman" w:cs="Times New Roman"/>
          <w:i/>
          <w:sz w:val="24"/>
          <w:szCs w:val="24"/>
          <w:lang w:val="es-CR" w:eastAsia="es-MX"/>
        </w:rPr>
        <w:t>Hombre y mujer de conocimiento: La propuesta de Juan Matus y Carlos Castaneda</w:t>
      </w:r>
      <w:r w:rsidRPr="00516101">
        <w:rPr>
          <w:rFonts w:ascii="Times New Roman" w:eastAsia="Times New Roman" w:hAnsi="Times New Roman" w:cs="Times New Roman"/>
          <w:sz w:val="24"/>
          <w:szCs w:val="24"/>
          <w:lang w:val="es-CR" w:eastAsia="es-MX"/>
        </w:rPr>
        <w:t xml:space="preserve">. 1ª edición. </w:t>
      </w:r>
      <w:r w:rsidRPr="00180D78">
        <w:rPr>
          <w:rFonts w:ascii="Times New Roman" w:hAnsi="Times New Roman" w:cs="Times New Roman"/>
          <w:noProof/>
          <w:sz w:val="24"/>
          <w:szCs w:val="24"/>
        </w:rPr>
        <w:t>Heredia</w:t>
      </w:r>
      <w:r w:rsidRPr="00516101">
        <w:rPr>
          <w:rFonts w:ascii="Times New Roman" w:eastAsia="Times New Roman" w:hAnsi="Times New Roman" w:cs="Times New Roman"/>
          <w:sz w:val="24"/>
          <w:szCs w:val="24"/>
          <w:lang w:val="es-CR" w:eastAsia="es-MX"/>
        </w:rPr>
        <w:t xml:space="preserve">: Editorial UNA.  </w:t>
      </w:r>
    </w:p>
    <w:p w14:paraId="25380935" w14:textId="77777777" w:rsidR="001A3E86" w:rsidRPr="00516101"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val="es-CR" w:eastAsia="es-MX"/>
        </w:rPr>
      </w:pPr>
      <w:r w:rsidRPr="004F609D">
        <w:rPr>
          <w:rFonts w:ascii="Times New Roman" w:hAnsi="Times New Roman" w:cs="Times New Roman"/>
          <w:noProof/>
          <w:sz w:val="24"/>
          <w:szCs w:val="24"/>
          <w:lang w:val="es-CR"/>
        </w:rPr>
        <w:lastRenderedPageBreak/>
        <w:t xml:space="preserve">Segundo, J. L. (1991). </w:t>
      </w:r>
      <w:r w:rsidRPr="004F609D">
        <w:rPr>
          <w:rFonts w:ascii="Times New Roman" w:hAnsi="Times New Roman" w:cs="Times New Roman"/>
          <w:i/>
          <w:iCs/>
          <w:noProof/>
          <w:sz w:val="24"/>
          <w:szCs w:val="24"/>
          <w:lang w:val="es-CR"/>
        </w:rPr>
        <w:t xml:space="preserve">La </w:t>
      </w:r>
      <w:r w:rsidRPr="004F609D">
        <w:rPr>
          <w:rFonts w:ascii="Times New Roman" w:hAnsi="Times New Roman" w:cs="Times New Roman"/>
          <w:noProof/>
          <w:sz w:val="24"/>
          <w:szCs w:val="24"/>
          <w:lang w:val="es-CR"/>
        </w:rPr>
        <w:t>historia</w:t>
      </w:r>
      <w:r w:rsidRPr="004F609D">
        <w:rPr>
          <w:rFonts w:ascii="Times New Roman" w:hAnsi="Times New Roman" w:cs="Times New Roman"/>
          <w:i/>
          <w:iCs/>
          <w:noProof/>
          <w:sz w:val="24"/>
          <w:szCs w:val="24"/>
          <w:lang w:val="es-CR"/>
        </w:rPr>
        <w:t xml:space="preserve"> pérdida y recuperada de Jesús de Nazaret.</w:t>
      </w:r>
      <w:r w:rsidRPr="004F609D">
        <w:rPr>
          <w:rFonts w:ascii="Times New Roman" w:hAnsi="Times New Roman" w:cs="Times New Roman"/>
          <w:noProof/>
          <w:sz w:val="24"/>
          <w:szCs w:val="24"/>
          <w:lang w:val="es-CR"/>
        </w:rPr>
        <w:t xml:space="preserve"> </w:t>
      </w:r>
      <w:r w:rsidRPr="00516101">
        <w:rPr>
          <w:rFonts w:ascii="Times New Roman" w:hAnsi="Times New Roman" w:cs="Times New Roman"/>
          <w:noProof/>
          <w:sz w:val="24"/>
          <w:szCs w:val="24"/>
        </w:rPr>
        <w:t>Santander: Sal Terrae.</w:t>
      </w:r>
    </w:p>
    <w:p w14:paraId="71C5EB13" w14:textId="77777777" w:rsidR="001A3E86" w:rsidRPr="0051610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4F609D">
        <w:rPr>
          <w:rFonts w:ascii="Times New Roman" w:hAnsi="Times New Roman" w:cs="Times New Roman"/>
          <w:noProof/>
          <w:sz w:val="24"/>
          <w:szCs w:val="24"/>
          <w:lang w:val="es-CR"/>
        </w:rPr>
        <w:t xml:space="preserve">UNESCO. (2005). </w:t>
      </w:r>
      <w:r w:rsidRPr="004F609D">
        <w:rPr>
          <w:rFonts w:ascii="Times New Roman" w:hAnsi="Times New Roman" w:cs="Times New Roman"/>
          <w:sz w:val="24"/>
          <w:szCs w:val="24"/>
          <w:lang w:val="es-CR"/>
        </w:rPr>
        <w:t>Hacia</w:t>
      </w:r>
      <w:r w:rsidRPr="004F609D">
        <w:rPr>
          <w:rFonts w:ascii="Times New Roman" w:hAnsi="Times New Roman" w:cs="Times New Roman"/>
          <w:i/>
          <w:iCs/>
          <w:noProof/>
          <w:sz w:val="24"/>
          <w:szCs w:val="24"/>
          <w:lang w:val="es-CR"/>
        </w:rPr>
        <w:t xml:space="preserve"> las sociedades del conocimiento.</w:t>
      </w:r>
      <w:r w:rsidRPr="004F609D">
        <w:rPr>
          <w:rFonts w:ascii="Times New Roman" w:hAnsi="Times New Roman" w:cs="Times New Roman"/>
          <w:noProof/>
          <w:sz w:val="24"/>
          <w:szCs w:val="24"/>
          <w:lang w:val="es-CR"/>
        </w:rPr>
        <w:t xml:space="preserve"> </w:t>
      </w:r>
      <w:r w:rsidRPr="00516101">
        <w:rPr>
          <w:rFonts w:ascii="Times New Roman" w:hAnsi="Times New Roman" w:cs="Times New Roman"/>
          <w:noProof/>
          <w:sz w:val="24"/>
          <w:szCs w:val="24"/>
        </w:rPr>
        <w:t>París: Ediciones UNESCO.</w:t>
      </w:r>
    </w:p>
    <w:p w14:paraId="50D83A47" w14:textId="77777777" w:rsidR="001A3E86" w:rsidRPr="004663E9" w:rsidRDefault="001A3E86" w:rsidP="001A3E86">
      <w:pPr>
        <w:pStyle w:val="NoSpacing"/>
        <w:numPr>
          <w:ilvl w:val="0"/>
          <w:numId w:val="3"/>
        </w:numPr>
        <w:spacing w:line="360" w:lineRule="auto"/>
        <w:jc w:val="both"/>
        <w:rPr>
          <w:rFonts w:ascii="Times New Roman" w:hAnsi="Times New Roman" w:cs="Times New Roman"/>
          <w:sz w:val="24"/>
          <w:szCs w:val="24"/>
        </w:rPr>
      </w:pPr>
      <w:r w:rsidRPr="004F609D">
        <w:rPr>
          <w:rFonts w:ascii="Times New Roman" w:hAnsi="Times New Roman" w:cs="Times New Roman"/>
          <w:sz w:val="24"/>
          <w:szCs w:val="24"/>
          <w:lang w:val="es-CR"/>
        </w:rPr>
        <w:t xml:space="preserve">Wicks, Jared. (1998). </w:t>
      </w:r>
      <w:r w:rsidRPr="00180D78">
        <w:rPr>
          <w:rFonts w:ascii="Times New Roman" w:eastAsia="Times New Roman" w:hAnsi="Times New Roman" w:cs="Times New Roman"/>
          <w:sz w:val="24"/>
          <w:szCs w:val="24"/>
          <w:lang w:val="es-CR" w:eastAsia="es-MX"/>
        </w:rPr>
        <w:t>Introducción</w:t>
      </w:r>
      <w:r w:rsidRPr="004F609D">
        <w:rPr>
          <w:rFonts w:ascii="Times New Roman" w:hAnsi="Times New Roman" w:cs="Times New Roman"/>
          <w:i/>
          <w:sz w:val="24"/>
          <w:szCs w:val="24"/>
          <w:lang w:val="es-CR"/>
        </w:rPr>
        <w:t xml:space="preserve"> al Método Teológico</w:t>
      </w:r>
      <w:r w:rsidRPr="004F609D">
        <w:rPr>
          <w:rFonts w:ascii="Times New Roman" w:hAnsi="Times New Roman" w:cs="Times New Roman"/>
          <w:sz w:val="24"/>
          <w:szCs w:val="24"/>
          <w:lang w:val="es-CR"/>
        </w:rPr>
        <w:t xml:space="preserve">. </w:t>
      </w:r>
      <w:r w:rsidRPr="00516101">
        <w:rPr>
          <w:rFonts w:ascii="Times New Roman" w:hAnsi="Times New Roman" w:cs="Times New Roman"/>
          <w:sz w:val="24"/>
          <w:szCs w:val="24"/>
        </w:rPr>
        <w:t>España: Verbo Divino.</w:t>
      </w:r>
    </w:p>
    <w:p w14:paraId="124091BC" w14:textId="77777777" w:rsidR="001A3E86" w:rsidRDefault="00966ED5" w:rsidP="001A3E86">
      <w:pPr>
        <w:pStyle w:val="ListParagraph"/>
        <w:numPr>
          <w:ilvl w:val="0"/>
          <w:numId w:val="10"/>
        </w:numPr>
        <w:jc w:val="both"/>
        <w:rPr>
          <w:rFonts w:ascii="Times New Roman" w:eastAsia="Times New Roman" w:hAnsi="Times New Roman" w:cs="Times New Roman"/>
          <w:b/>
          <w:sz w:val="24"/>
          <w:szCs w:val="24"/>
          <w:lang w:eastAsia="es-MX"/>
        </w:rPr>
      </w:pPr>
      <w:sdt>
        <w:sdtPr>
          <w:id w:val="111145805"/>
          <w:showingPlcHdr/>
          <w:bibliography/>
        </w:sdtPr>
        <w:sdtEndPr>
          <w:rPr>
            <w:lang w:eastAsia="es-MX"/>
          </w:rPr>
        </w:sdtEndPr>
        <w:sdtContent>
          <w:r w:rsidR="001A3E86">
            <w:t xml:space="preserve">     </w:t>
          </w:r>
        </w:sdtContent>
      </w:sdt>
      <w:r w:rsidR="001A3E86" w:rsidRPr="006865D7">
        <w:rPr>
          <w:rFonts w:ascii="Times New Roman" w:eastAsia="Times New Roman" w:hAnsi="Times New Roman" w:cs="Times New Roman"/>
          <w:b/>
          <w:sz w:val="24"/>
          <w:szCs w:val="24"/>
          <w:lang w:eastAsia="es-MX"/>
        </w:rPr>
        <w:t>Artículos:</w:t>
      </w:r>
    </w:p>
    <w:p w14:paraId="522387E7" w14:textId="77777777" w:rsidR="001A3E86" w:rsidRPr="006865D7" w:rsidRDefault="001A3E86" w:rsidP="001A3E86">
      <w:pPr>
        <w:pStyle w:val="ListParagraph"/>
        <w:ind w:left="360"/>
        <w:rPr>
          <w:rFonts w:ascii="Times New Roman" w:eastAsia="Times New Roman" w:hAnsi="Times New Roman" w:cs="Times New Roman"/>
          <w:b/>
          <w:sz w:val="24"/>
          <w:szCs w:val="24"/>
          <w:lang w:eastAsia="es-MX"/>
        </w:rPr>
      </w:pPr>
    </w:p>
    <w:p w14:paraId="38218202" w14:textId="77777777" w:rsidR="001A3E86" w:rsidRPr="00900721" w:rsidRDefault="001A3E86" w:rsidP="001A3E86">
      <w:pPr>
        <w:pStyle w:val="NoSpacing"/>
        <w:numPr>
          <w:ilvl w:val="0"/>
          <w:numId w:val="3"/>
        </w:numPr>
        <w:spacing w:line="360" w:lineRule="auto"/>
        <w:jc w:val="both"/>
        <w:rPr>
          <w:rFonts w:ascii="Times New Roman" w:hAnsi="Times New Roman" w:cs="Times New Roman"/>
          <w:noProof/>
          <w:sz w:val="24"/>
          <w:szCs w:val="24"/>
          <w:lang w:val="es-ES"/>
        </w:rPr>
      </w:pPr>
      <w:r w:rsidRPr="002F0F2C">
        <w:rPr>
          <w:rFonts w:ascii="Times New Roman" w:eastAsia="Times New Roman" w:hAnsi="Times New Roman" w:cs="Times New Roman"/>
          <w:sz w:val="24"/>
          <w:szCs w:val="24"/>
          <w:lang w:val="es-CR" w:eastAsia="es-MX"/>
        </w:rPr>
        <w:t>Arce</w:t>
      </w:r>
      <w:r w:rsidRPr="00900721">
        <w:rPr>
          <w:rFonts w:ascii="Times New Roman" w:hAnsi="Times New Roman" w:cs="Times New Roman"/>
          <w:noProof/>
          <w:sz w:val="24"/>
          <w:szCs w:val="24"/>
          <w:lang w:val="es-ES"/>
        </w:rPr>
        <w:t xml:space="preserve">-Arenales, M. (2010). </w:t>
      </w:r>
      <w:r w:rsidRPr="00900721">
        <w:rPr>
          <w:rFonts w:ascii="Times New Roman" w:hAnsi="Times New Roman" w:cs="Times New Roman"/>
          <w:i/>
          <w:iCs/>
          <w:noProof/>
          <w:sz w:val="24"/>
          <w:szCs w:val="24"/>
          <w:lang w:val="es-ES"/>
        </w:rPr>
        <w:t>Algunos principios de la Teoría de Dinámica de Tropas.</w:t>
      </w:r>
      <w:r w:rsidRPr="00900721">
        <w:rPr>
          <w:rFonts w:ascii="Times New Roman" w:hAnsi="Times New Roman" w:cs="Times New Roman"/>
          <w:noProof/>
          <w:sz w:val="24"/>
          <w:szCs w:val="24"/>
          <w:lang w:val="es-ES"/>
        </w:rPr>
        <w:t xml:space="preserve"> San José: Instituto de Investigaciones en Ingeniería Programa de Investigación en Cognición y Lenguaje, UCR.</w:t>
      </w:r>
    </w:p>
    <w:p w14:paraId="78855F70" w14:textId="77777777" w:rsidR="001A3E86" w:rsidRPr="00900721"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val="es-CR" w:eastAsia="es-MX"/>
        </w:rPr>
      </w:pPr>
      <w:r w:rsidRPr="00900721">
        <w:rPr>
          <w:rFonts w:ascii="Times New Roman" w:eastAsia="Times New Roman" w:hAnsi="Times New Roman" w:cs="Times New Roman"/>
          <w:sz w:val="24"/>
          <w:szCs w:val="24"/>
          <w:lang w:val="es-CR" w:eastAsia="es-MX"/>
        </w:rPr>
        <w:t xml:space="preserve">Cáceres, A.; Hoyos, A.; Navarro, R.; Sierra, A. (2008). Espiritualidad hoy: una mirada histórica, antropológica y bíblica. Theologica Xaveriana, 58(166), 381-408. Disponible en </w:t>
      </w:r>
      <w:hyperlink r:id="rId16" w:history="1">
        <w:r w:rsidRPr="00900721">
          <w:rPr>
            <w:rStyle w:val="Hyperlink"/>
            <w:rFonts w:ascii="Times New Roman" w:hAnsi="Times New Roman" w:cs="Times New Roman"/>
            <w:sz w:val="24"/>
            <w:szCs w:val="24"/>
            <w:lang w:val="es-CR" w:eastAsia="es-MX"/>
          </w:rPr>
          <w:t>http://www.redalyc.org/articulo.oa?id=191015363004&gt; </w:t>
        </w:r>
      </w:hyperlink>
      <w:r w:rsidRPr="00900721">
        <w:rPr>
          <w:rFonts w:ascii="Times New Roman" w:eastAsia="Times New Roman" w:hAnsi="Times New Roman" w:cs="Times New Roman"/>
          <w:sz w:val="24"/>
          <w:szCs w:val="24"/>
          <w:lang w:val="es-CR" w:eastAsia="es-MX"/>
        </w:rPr>
        <w:t>. ISSN 0120-3649 </w:t>
      </w:r>
    </w:p>
    <w:p w14:paraId="2FAB4E4A" w14:textId="77777777" w:rsidR="001A3E86" w:rsidRPr="0090072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900721">
        <w:rPr>
          <w:rFonts w:ascii="Times New Roman" w:eastAsia="Times New Roman" w:hAnsi="Times New Roman" w:cs="Times New Roman"/>
          <w:sz w:val="24"/>
          <w:szCs w:val="24"/>
          <w:lang w:val="es-CR" w:eastAsia="es-MX"/>
        </w:rPr>
        <w:t>Comblin</w:t>
      </w:r>
      <w:r w:rsidRPr="004F609D">
        <w:rPr>
          <w:rFonts w:ascii="Times New Roman" w:hAnsi="Times New Roman" w:cs="Times New Roman"/>
          <w:noProof/>
          <w:sz w:val="24"/>
          <w:szCs w:val="24"/>
          <w:lang w:val="es-CR"/>
        </w:rPr>
        <w:t xml:space="preserve">, J. (2005). ¿Crisis de la religión en América latina? En UNA, </w:t>
      </w:r>
      <w:r w:rsidRPr="004F609D">
        <w:rPr>
          <w:rFonts w:ascii="Times New Roman" w:hAnsi="Times New Roman" w:cs="Times New Roman"/>
          <w:i/>
          <w:iCs/>
          <w:noProof/>
          <w:sz w:val="24"/>
          <w:szCs w:val="24"/>
          <w:lang w:val="es-CR"/>
        </w:rPr>
        <w:t>Sociedades del conocimiento: Crisis de la religión y retos para la teología</w:t>
      </w:r>
      <w:r w:rsidRPr="004F609D">
        <w:rPr>
          <w:rFonts w:ascii="Times New Roman" w:hAnsi="Times New Roman" w:cs="Times New Roman"/>
          <w:noProof/>
          <w:sz w:val="24"/>
          <w:szCs w:val="24"/>
          <w:lang w:val="es-CR"/>
        </w:rPr>
        <w:t xml:space="preserve"> (págs. </w:t>
      </w:r>
      <w:r w:rsidRPr="00900721">
        <w:rPr>
          <w:rFonts w:ascii="Times New Roman" w:hAnsi="Times New Roman" w:cs="Times New Roman"/>
          <w:noProof/>
          <w:sz w:val="24"/>
          <w:szCs w:val="24"/>
        </w:rPr>
        <w:t>59-64). Heredia: UNA.</w:t>
      </w:r>
    </w:p>
    <w:p w14:paraId="59E7376F" w14:textId="77777777" w:rsidR="001A3E86" w:rsidRPr="0090072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2F0F2C">
        <w:rPr>
          <w:rFonts w:ascii="Times New Roman" w:eastAsia="Times New Roman" w:hAnsi="Times New Roman" w:cs="Times New Roman"/>
          <w:sz w:val="24"/>
          <w:szCs w:val="24"/>
          <w:lang w:val="es-CR" w:eastAsia="es-MX"/>
        </w:rPr>
        <w:t>Corbí</w:t>
      </w:r>
      <w:r w:rsidRPr="004F609D">
        <w:rPr>
          <w:rFonts w:ascii="Times New Roman" w:hAnsi="Times New Roman" w:cs="Times New Roman"/>
          <w:noProof/>
          <w:sz w:val="24"/>
          <w:szCs w:val="24"/>
          <w:lang w:val="es-CR"/>
        </w:rPr>
        <w:t xml:space="preserve">, M. (2005). La espiritualidad en una sociedad laica. En UNA, </w:t>
      </w:r>
      <w:r w:rsidRPr="004F609D">
        <w:rPr>
          <w:rFonts w:ascii="Times New Roman" w:hAnsi="Times New Roman" w:cs="Times New Roman"/>
          <w:i/>
          <w:iCs/>
          <w:noProof/>
          <w:sz w:val="24"/>
          <w:szCs w:val="24"/>
          <w:lang w:val="es-CR"/>
        </w:rPr>
        <w:t>Sociedades de conocimiento: Crisis de la religión y retos para la teología.</w:t>
      </w:r>
      <w:r w:rsidRPr="004F609D">
        <w:rPr>
          <w:rFonts w:ascii="Times New Roman" w:hAnsi="Times New Roman" w:cs="Times New Roman"/>
          <w:noProof/>
          <w:sz w:val="24"/>
          <w:szCs w:val="24"/>
          <w:lang w:val="es-CR"/>
        </w:rPr>
        <w:t xml:space="preserve"> </w:t>
      </w:r>
      <w:r w:rsidRPr="00900721">
        <w:rPr>
          <w:rFonts w:ascii="Times New Roman" w:hAnsi="Times New Roman" w:cs="Times New Roman"/>
          <w:noProof/>
          <w:sz w:val="24"/>
          <w:szCs w:val="24"/>
        </w:rPr>
        <w:t>(págs. 13-38). Heredia: UNA.</w:t>
      </w:r>
    </w:p>
    <w:p w14:paraId="16469344" w14:textId="77777777" w:rsidR="001A3E86" w:rsidRPr="00900721" w:rsidRDefault="001A3E86" w:rsidP="001A3E86">
      <w:pPr>
        <w:pStyle w:val="NoSpacing"/>
        <w:numPr>
          <w:ilvl w:val="0"/>
          <w:numId w:val="3"/>
        </w:numPr>
        <w:spacing w:line="360" w:lineRule="auto"/>
        <w:jc w:val="both"/>
        <w:rPr>
          <w:rFonts w:ascii="Times New Roman" w:hAnsi="Times New Roman" w:cs="Times New Roman"/>
          <w:sz w:val="24"/>
          <w:szCs w:val="24"/>
          <w:lang w:eastAsia="es-MX"/>
        </w:rPr>
      </w:pPr>
      <w:r w:rsidRPr="00AE6A9C">
        <w:rPr>
          <w:rFonts w:ascii="Times New Roman" w:eastAsia="Times New Roman" w:hAnsi="Times New Roman" w:cs="Times New Roman"/>
          <w:sz w:val="24"/>
          <w:szCs w:val="24"/>
          <w:lang w:eastAsia="es-MX"/>
        </w:rPr>
        <w:t>Fingelkurts</w:t>
      </w:r>
      <w:r w:rsidRPr="00900721">
        <w:rPr>
          <w:rFonts w:ascii="Times New Roman" w:hAnsi="Times New Roman" w:cs="Times New Roman"/>
          <w:sz w:val="24"/>
          <w:szCs w:val="24"/>
          <w:lang w:eastAsia="es-MX"/>
        </w:rPr>
        <w:t>, A. &amp; Fingelkurts, A. (2009).</w:t>
      </w:r>
      <w:r>
        <w:rPr>
          <w:rFonts w:ascii="Times New Roman" w:hAnsi="Times New Roman" w:cs="Times New Roman"/>
          <w:sz w:val="24"/>
          <w:szCs w:val="24"/>
          <w:lang w:eastAsia="es-MX"/>
        </w:rPr>
        <w:t xml:space="preserve"> </w:t>
      </w:r>
      <w:r w:rsidRPr="00900721">
        <w:rPr>
          <w:rFonts w:ascii="Times New Roman" w:hAnsi="Times New Roman" w:cs="Times New Roman"/>
          <w:sz w:val="24"/>
          <w:szCs w:val="24"/>
          <w:lang w:eastAsia="es-MX"/>
        </w:rPr>
        <w:t xml:space="preserve">Is our brain hardwired to produce God, or is our brain hardwiredto </w:t>
      </w:r>
      <w:proofErr w:type="gramStart"/>
      <w:r w:rsidRPr="00900721">
        <w:rPr>
          <w:rFonts w:ascii="Times New Roman" w:hAnsi="Times New Roman" w:cs="Times New Roman"/>
          <w:sz w:val="24"/>
          <w:szCs w:val="24"/>
          <w:lang w:eastAsia="es-MX"/>
        </w:rPr>
        <w:t>perceive</w:t>
      </w:r>
      <w:proofErr w:type="gramEnd"/>
      <w:r w:rsidRPr="00900721">
        <w:rPr>
          <w:rFonts w:ascii="Times New Roman" w:hAnsi="Times New Roman" w:cs="Times New Roman"/>
          <w:sz w:val="24"/>
          <w:szCs w:val="24"/>
          <w:lang w:eastAsia="es-MX"/>
        </w:rPr>
        <w:t xml:space="preserve"> God? A systematic review on the role of the brainin mediating religious experience. </w:t>
      </w:r>
      <w:r w:rsidRPr="00900721">
        <w:rPr>
          <w:rFonts w:ascii="Times New Roman" w:hAnsi="Times New Roman" w:cs="Times New Roman"/>
          <w:i/>
          <w:sz w:val="24"/>
          <w:szCs w:val="24"/>
          <w:lang w:eastAsia="es-MX"/>
        </w:rPr>
        <w:t>Cognitive Process</w:t>
      </w:r>
      <w:r w:rsidRPr="00900721">
        <w:rPr>
          <w:rFonts w:ascii="Times New Roman" w:hAnsi="Times New Roman" w:cs="Times New Roman"/>
          <w:sz w:val="24"/>
          <w:szCs w:val="24"/>
          <w:lang w:eastAsia="es-MX"/>
        </w:rPr>
        <w:t xml:space="preserve">, </w:t>
      </w:r>
      <w:r w:rsidRPr="00900721">
        <w:rPr>
          <w:rFonts w:ascii="Times New Roman" w:hAnsi="Times New Roman" w:cs="Times New Roman"/>
          <w:i/>
          <w:sz w:val="24"/>
          <w:szCs w:val="24"/>
          <w:lang w:eastAsia="es-MX"/>
        </w:rPr>
        <w:t>10</w:t>
      </w:r>
      <w:r w:rsidRPr="00900721">
        <w:rPr>
          <w:rFonts w:ascii="Times New Roman" w:hAnsi="Times New Roman" w:cs="Times New Roman"/>
          <w:sz w:val="24"/>
          <w:szCs w:val="24"/>
          <w:lang w:eastAsia="es-MX"/>
        </w:rPr>
        <w:t>, 293–326. DOI 10.1007/s10339-009-0261-3</w:t>
      </w:r>
    </w:p>
    <w:p w14:paraId="2C8C476F" w14:textId="77777777" w:rsidR="001A3E86" w:rsidRPr="0090072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2F0F2C">
        <w:rPr>
          <w:rFonts w:ascii="Times New Roman" w:eastAsia="Times New Roman" w:hAnsi="Times New Roman" w:cs="Times New Roman"/>
          <w:sz w:val="24"/>
          <w:szCs w:val="24"/>
          <w:lang w:val="es-CR" w:eastAsia="es-MX"/>
        </w:rPr>
        <w:t>Fornet</w:t>
      </w:r>
      <w:r w:rsidRPr="004F609D">
        <w:rPr>
          <w:rFonts w:ascii="Times New Roman" w:hAnsi="Times New Roman" w:cs="Times New Roman"/>
          <w:noProof/>
          <w:sz w:val="24"/>
          <w:szCs w:val="24"/>
          <w:lang w:val="es-CR"/>
        </w:rPr>
        <w:t xml:space="preserve">-Betancourt, R. (2008). </w:t>
      </w:r>
      <w:r w:rsidRPr="004F609D">
        <w:rPr>
          <w:rFonts w:ascii="Times New Roman" w:hAnsi="Times New Roman" w:cs="Times New Roman"/>
          <w:i/>
          <w:noProof/>
          <w:sz w:val="24"/>
          <w:szCs w:val="24"/>
          <w:lang w:val="es-CR"/>
        </w:rPr>
        <w:t>Teoría y Praxis de la Filosofía Intercultural</w:t>
      </w:r>
      <w:r w:rsidRPr="004F609D">
        <w:rPr>
          <w:rFonts w:ascii="Times New Roman" w:hAnsi="Times New Roman" w:cs="Times New Roman"/>
          <w:noProof/>
          <w:sz w:val="24"/>
          <w:szCs w:val="24"/>
          <w:lang w:val="es-CR"/>
        </w:rPr>
        <w:t xml:space="preserve">. </w:t>
      </w:r>
      <w:r w:rsidRPr="00900721">
        <w:rPr>
          <w:rFonts w:ascii="Times New Roman" w:hAnsi="Times New Roman" w:cs="Times New Roman"/>
          <w:noProof/>
          <w:sz w:val="24"/>
          <w:szCs w:val="24"/>
        </w:rPr>
        <w:t>SIWO, 9-42.</w:t>
      </w:r>
    </w:p>
    <w:p w14:paraId="1C9D3BDA" w14:textId="77777777" w:rsidR="001A3E86" w:rsidRPr="00900721" w:rsidRDefault="001A3E86" w:rsidP="001A3E86">
      <w:pPr>
        <w:pStyle w:val="NoSpacing"/>
        <w:numPr>
          <w:ilvl w:val="0"/>
          <w:numId w:val="3"/>
        </w:numPr>
        <w:spacing w:line="360" w:lineRule="auto"/>
        <w:jc w:val="both"/>
        <w:rPr>
          <w:rFonts w:ascii="Times New Roman" w:hAnsi="Times New Roman" w:cs="Times New Roman"/>
          <w:noProof/>
          <w:sz w:val="24"/>
          <w:szCs w:val="24"/>
          <w:lang w:val="es-ES"/>
        </w:rPr>
      </w:pPr>
      <w:r w:rsidRPr="002F0F2C">
        <w:rPr>
          <w:rFonts w:ascii="Times New Roman" w:eastAsia="Times New Roman" w:hAnsi="Times New Roman" w:cs="Times New Roman"/>
          <w:sz w:val="24"/>
          <w:szCs w:val="24"/>
          <w:lang w:val="es-CR" w:eastAsia="es-MX"/>
        </w:rPr>
        <w:t>Gallardo</w:t>
      </w:r>
      <w:r w:rsidRPr="00900721">
        <w:rPr>
          <w:rFonts w:ascii="Times New Roman" w:hAnsi="Times New Roman" w:cs="Times New Roman"/>
          <w:noProof/>
          <w:sz w:val="24"/>
          <w:szCs w:val="24"/>
          <w:lang w:val="es-ES"/>
        </w:rPr>
        <w:t>, H. (2013). Elementos de investigación académica.UNED. pp. 1-17.</w:t>
      </w:r>
    </w:p>
    <w:p w14:paraId="570DDB75" w14:textId="77777777" w:rsidR="001A3E86" w:rsidRPr="00900721"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eastAsia="es-MX"/>
        </w:rPr>
      </w:pPr>
      <w:r w:rsidRPr="00AE6A9C">
        <w:rPr>
          <w:rFonts w:ascii="Times New Roman" w:eastAsia="Times New Roman" w:hAnsi="Times New Roman" w:cs="Times New Roman"/>
          <w:sz w:val="24"/>
          <w:szCs w:val="24"/>
          <w:lang w:eastAsia="es-MX"/>
        </w:rPr>
        <w:t>Hood</w:t>
      </w:r>
      <w:r w:rsidRPr="00AE6A9C">
        <w:rPr>
          <w:rFonts w:ascii="Times New Roman" w:hAnsi="Times New Roman" w:cs="Times New Roman"/>
          <w:sz w:val="24"/>
          <w:szCs w:val="24"/>
        </w:rPr>
        <w:t xml:space="preserve">, R. (2005). </w:t>
      </w:r>
      <w:r w:rsidRPr="00900721">
        <w:rPr>
          <w:rFonts w:ascii="Times New Roman" w:hAnsi="Times New Roman" w:cs="Times New Roman"/>
          <w:sz w:val="24"/>
          <w:szCs w:val="24"/>
        </w:rPr>
        <w:t xml:space="preserve">Mystical, spiritual and religious experiences. </w:t>
      </w:r>
      <w:r w:rsidRPr="00900721">
        <w:rPr>
          <w:rFonts w:ascii="Times New Roman" w:eastAsia="Times New Roman" w:hAnsi="Times New Roman" w:cs="Times New Roman"/>
          <w:sz w:val="24"/>
          <w:szCs w:val="24"/>
          <w:lang w:eastAsia="es-MX"/>
        </w:rPr>
        <w:t xml:space="preserve">En Paloutzian, R. y Park, C. (Eds), </w:t>
      </w:r>
      <w:r w:rsidRPr="00900721">
        <w:rPr>
          <w:rFonts w:ascii="Times New Roman" w:eastAsia="Times New Roman" w:hAnsi="Times New Roman" w:cs="Times New Roman"/>
          <w:i/>
          <w:sz w:val="24"/>
          <w:szCs w:val="24"/>
          <w:lang w:eastAsia="es-MX"/>
        </w:rPr>
        <w:t>Handbook of the psychology of religion and spirituality.</w:t>
      </w:r>
      <w:r w:rsidRPr="00900721">
        <w:rPr>
          <w:rFonts w:ascii="Times New Roman" w:eastAsia="Times New Roman" w:hAnsi="Times New Roman" w:cs="Times New Roman"/>
          <w:sz w:val="24"/>
          <w:szCs w:val="24"/>
          <w:lang w:eastAsia="es-MX"/>
        </w:rPr>
        <w:t xml:space="preserve"> Nueva York: The Guilford Press.</w:t>
      </w:r>
    </w:p>
    <w:p w14:paraId="49A8F95C" w14:textId="77777777" w:rsidR="001A3E86" w:rsidRPr="00900721"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eastAsia="es-MX"/>
        </w:rPr>
      </w:pPr>
      <w:r w:rsidRPr="00AE6A9C">
        <w:rPr>
          <w:rFonts w:ascii="Times New Roman" w:eastAsia="Times New Roman" w:hAnsi="Times New Roman" w:cs="Times New Roman"/>
          <w:sz w:val="24"/>
          <w:szCs w:val="24"/>
          <w:lang w:eastAsia="es-MX"/>
        </w:rPr>
        <w:lastRenderedPageBreak/>
        <w:t>Hood</w:t>
      </w:r>
      <w:r w:rsidRPr="00900721">
        <w:rPr>
          <w:rFonts w:ascii="Times New Roman" w:eastAsia="Times New Roman" w:hAnsi="Times New Roman" w:cs="Times New Roman"/>
          <w:sz w:val="24"/>
          <w:szCs w:val="24"/>
          <w:lang w:eastAsia="es-MX"/>
        </w:rPr>
        <w:t xml:space="preserve">, R. (2006). The common core thesis in the study of mysticism. En McNamara, P. (Ed), </w:t>
      </w:r>
      <w:r w:rsidRPr="00900721">
        <w:rPr>
          <w:rFonts w:ascii="Times New Roman" w:eastAsia="Times New Roman" w:hAnsi="Times New Roman" w:cs="Times New Roman"/>
          <w:i/>
          <w:sz w:val="24"/>
          <w:szCs w:val="24"/>
          <w:lang w:eastAsia="es-MX"/>
        </w:rPr>
        <w:t>Where God and Science Meet.</w:t>
      </w:r>
      <w:r w:rsidRPr="00900721">
        <w:rPr>
          <w:rFonts w:ascii="Times New Roman" w:eastAsia="Times New Roman" w:hAnsi="Times New Roman" w:cs="Times New Roman"/>
          <w:sz w:val="24"/>
          <w:szCs w:val="24"/>
          <w:lang w:eastAsia="es-MX"/>
        </w:rPr>
        <w:t xml:space="preserve"> Vol 3 (The Psychology of Religious Experience).</w:t>
      </w:r>
    </w:p>
    <w:p w14:paraId="727320CD" w14:textId="77777777" w:rsidR="001A3E86" w:rsidRPr="0090072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2F0F2C">
        <w:rPr>
          <w:rFonts w:ascii="Times New Roman" w:eastAsia="Times New Roman" w:hAnsi="Times New Roman" w:cs="Times New Roman"/>
          <w:sz w:val="24"/>
          <w:szCs w:val="24"/>
          <w:lang w:val="es-CR" w:eastAsia="es-MX"/>
        </w:rPr>
        <w:t>Madrigal</w:t>
      </w:r>
      <w:r w:rsidRPr="00900721">
        <w:rPr>
          <w:rFonts w:ascii="Times New Roman" w:hAnsi="Times New Roman" w:cs="Times New Roman"/>
          <w:noProof/>
          <w:sz w:val="24"/>
          <w:szCs w:val="24"/>
          <w:lang w:val="es-ES"/>
        </w:rPr>
        <w:t xml:space="preserve">, V. (2008). Una aproximación a la filosofía intercultural de Raúl Fornt-Betancourt: Retos que se plantean a la teología. </w:t>
      </w:r>
      <w:r w:rsidRPr="00900721">
        <w:rPr>
          <w:rFonts w:ascii="Times New Roman" w:hAnsi="Times New Roman" w:cs="Times New Roman"/>
          <w:i/>
          <w:iCs/>
          <w:noProof/>
          <w:sz w:val="24"/>
          <w:szCs w:val="24"/>
        </w:rPr>
        <w:t>SIWO</w:t>
      </w:r>
      <w:r w:rsidRPr="00900721">
        <w:rPr>
          <w:rFonts w:ascii="Times New Roman" w:hAnsi="Times New Roman" w:cs="Times New Roman"/>
          <w:noProof/>
          <w:sz w:val="24"/>
          <w:szCs w:val="24"/>
        </w:rPr>
        <w:t>, 287-2013.</w:t>
      </w:r>
    </w:p>
    <w:p w14:paraId="45BE4545" w14:textId="77777777" w:rsidR="001A3E86" w:rsidRPr="00900721" w:rsidRDefault="001A3E86" w:rsidP="001A3E86">
      <w:pPr>
        <w:pStyle w:val="NoSpacing"/>
        <w:numPr>
          <w:ilvl w:val="0"/>
          <w:numId w:val="3"/>
        </w:numPr>
        <w:spacing w:line="360" w:lineRule="auto"/>
        <w:jc w:val="both"/>
        <w:rPr>
          <w:rFonts w:ascii="Times New Roman" w:hAnsi="Times New Roman" w:cs="Times New Roman"/>
          <w:sz w:val="24"/>
          <w:szCs w:val="24"/>
          <w:lang w:eastAsia="es-MX"/>
        </w:rPr>
      </w:pPr>
      <w:r w:rsidRPr="00AE6A9C">
        <w:rPr>
          <w:rFonts w:ascii="Times New Roman" w:eastAsia="Times New Roman" w:hAnsi="Times New Roman" w:cs="Times New Roman"/>
          <w:sz w:val="24"/>
          <w:szCs w:val="24"/>
          <w:lang w:eastAsia="es-MX"/>
        </w:rPr>
        <w:t>Mohandas</w:t>
      </w:r>
      <w:r w:rsidRPr="00900721">
        <w:rPr>
          <w:rFonts w:ascii="Times New Roman" w:hAnsi="Times New Roman" w:cs="Times New Roman"/>
          <w:sz w:val="24"/>
          <w:szCs w:val="24"/>
          <w:lang w:eastAsia="es-MX"/>
        </w:rPr>
        <w:t xml:space="preserve"> E. (2008). N</w:t>
      </w:r>
      <w:r>
        <w:rPr>
          <w:rFonts w:ascii="Times New Roman" w:hAnsi="Times New Roman" w:cs="Times New Roman"/>
          <w:sz w:val="24"/>
          <w:szCs w:val="24"/>
          <w:lang w:eastAsia="es-MX"/>
        </w:rPr>
        <w:t>eurobiology of Spirituality. En</w:t>
      </w:r>
      <w:r w:rsidRPr="00900721">
        <w:rPr>
          <w:rFonts w:ascii="Times New Roman" w:hAnsi="Times New Roman" w:cs="Times New Roman"/>
          <w:sz w:val="24"/>
          <w:szCs w:val="24"/>
          <w:lang w:eastAsia="es-MX"/>
        </w:rPr>
        <w:t xml:space="preserve"> A.R</w:t>
      </w:r>
      <w:r w:rsidR="00B56345">
        <w:rPr>
          <w:rFonts w:ascii="Times New Roman" w:hAnsi="Times New Roman" w:cs="Times New Roman"/>
          <w:sz w:val="24"/>
          <w:szCs w:val="24"/>
          <w:lang w:eastAsia="es-MX"/>
        </w:rPr>
        <w:t>. Singh and S.A. Singh (Eds.),</w:t>
      </w:r>
      <w:r>
        <w:rPr>
          <w:rFonts w:ascii="Times New Roman" w:hAnsi="Times New Roman" w:cs="Times New Roman"/>
          <w:sz w:val="24"/>
          <w:szCs w:val="24"/>
          <w:lang w:eastAsia="es-MX"/>
        </w:rPr>
        <w:t xml:space="preserve"> </w:t>
      </w:r>
      <w:r w:rsidRPr="00900721">
        <w:rPr>
          <w:rFonts w:ascii="Times New Roman" w:hAnsi="Times New Roman" w:cs="Times New Roman"/>
          <w:i/>
          <w:sz w:val="24"/>
          <w:szCs w:val="24"/>
          <w:lang w:eastAsia="es-MX"/>
        </w:rPr>
        <w:t>Medicine, Mental Health, Science, Religion, and Well-being</w:t>
      </w:r>
      <w:r w:rsidRPr="00900721">
        <w:rPr>
          <w:rFonts w:ascii="Times New Roman" w:hAnsi="Times New Roman" w:cs="Times New Roman"/>
          <w:sz w:val="24"/>
          <w:szCs w:val="24"/>
          <w:lang w:eastAsia="es-MX"/>
        </w:rPr>
        <w:t xml:space="preserve"> </w:t>
      </w:r>
      <w:r w:rsidRPr="00900721">
        <w:rPr>
          <w:rFonts w:ascii="Times New Roman" w:hAnsi="Times New Roman" w:cs="Times New Roman"/>
          <w:i/>
          <w:sz w:val="24"/>
          <w:szCs w:val="24"/>
          <w:lang w:eastAsia="es-MX"/>
        </w:rPr>
        <w:t>6</w:t>
      </w:r>
      <w:r w:rsidRPr="00900721">
        <w:rPr>
          <w:rFonts w:ascii="Times New Roman" w:hAnsi="Times New Roman" w:cs="Times New Roman"/>
          <w:sz w:val="24"/>
          <w:szCs w:val="24"/>
          <w:lang w:eastAsia="es-MX"/>
        </w:rPr>
        <w:t>, 63-80.</w:t>
      </w:r>
    </w:p>
    <w:p w14:paraId="2F743804" w14:textId="77777777" w:rsidR="001A3E86" w:rsidRPr="00900721"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eastAsia="es-MX"/>
        </w:rPr>
      </w:pPr>
      <w:r w:rsidRPr="004F609D">
        <w:rPr>
          <w:rFonts w:ascii="Times New Roman" w:eastAsia="Times New Roman" w:hAnsi="Times New Roman" w:cs="Times New Roman"/>
          <w:sz w:val="24"/>
          <w:szCs w:val="24"/>
          <w:lang w:val="fr-BE" w:eastAsia="es-MX"/>
        </w:rPr>
        <w:t>Newberg</w:t>
      </w:r>
      <w:r w:rsidRPr="00900721">
        <w:rPr>
          <w:rFonts w:ascii="Times New Roman" w:eastAsia="Times New Roman" w:hAnsi="Times New Roman" w:cs="Times New Roman"/>
          <w:sz w:val="24"/>
          <w:szCs w:val="24"/>
          <w:lang w:val="fr-FR" w:eastAsia="es-MX"/>
        </w:rPr>
        <w:t xml:space="preserve">, A. y Newberg, S. (2005). </w:t>
      </w:r>
      <w:r w:rsidRPr="00900721">
        <w:rPr>
          <w:rFonts w:ascii="Times New Roman" w:eastAsia="Times New Roman" w:hAnsi="Times New Roman" w:cs="Times New Roman"/>
          <w:sz w:val="24"/>
          <w:szCs w:val="24"/>
          <w:lang w:eastAsia="es-MX"/>
        </w:rPr>
        <w:t xml:space="preserve">The neuropsychology of religioud and spiritual experience. En Paloutzian, R. y Park, C. (Eds), </w:t>
      </w:r>
      <w:r w:rsidRPr="00900721">
        <w:rPr>
          <w:rFonts w:ascii="Times New Roman" w:eastAsia="Times New Roman" w:hAnsi="Times New Roman" w:cs="Times New Roman"/>
          <w:i/>
          <w:sz w:val="24"/>
          <w:szCs w:val="24"/>
          <w:lang w:eastAsia="es-MX"/>
        </w:rPr>
        <w:t xml:space="preserve">Handbook of the psychology of religion and spirituality. </w:t>
      </w:r>
      <w:r w:rsidRPr="00900721">
        <w:rPr>
          <w:rFonts w:ascii="Times New Roman" w:eastAsia="Times New Roman" w:hAnsi="Times New Roman" w:cs="Times New Roman"/>
          <w:sz w:val="24"/>
          <w:szCs w:val="24"/>
          <w:lang w:eastAsia="es-MX"/>
        </w:rPr>
        <w:t xml:space="preserve">Nueva York: The Guilford Press. </w:t>
      </w:r>
    </w:p>
    <w:p w14:paraId="1895C407" w14:textId="77777777" w:rsidR="001A3E86" w:rsidRPr="00CB3C99"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eastAsia="es-MX"/>
        </w:rPr>
      </w:pPr>
      <w:r w:rsidRPr="00AE6A9C">
        <w:rPr>
          <w:rFonts w:ascii="Times New Roman" w:eastAsia="Times New Roman" w:hAnsi="Times New Roman" w:cs="Times New Roman"/>
          <w:sz w:val="24"/>
          <w:szCs w:val="24"/>
          <w:lang w:eastAsia="es-MX"/>
        </w:rPr>
        <w:t>Nichols</w:t>
      </w:r>
      <w:r w:rsidRPr="00900721">
        <w:rPr>
          <w:rFonts w:ascii="Times New Roman" w:eastAsia="Times New Roman" w:hAnsi="Times New Roman" w:cs="Times New Roman"/>
          <w:sz w:val="24"/>
          <w:szCs w:val="24"/>
          <w:lang w:eastAsia="es-MX"/>
        </w:rPr>
        <w:t xml:space="preserve">, D. y Chemel, B. (2006). The neuropharmacology or religious experience: hallucinogens and the experience of the divine. En McNamara, P. (Ed), </w:t>
      </w:r>
      <w:r w:rsidRPr="00900721">
        <w:rPr>
          <w:rFonts w:ascii="Times New Roman" w:eastAsia="Times New Roman" w:hAnsi="Times New Roman" w:cs="Times New Roman"/>
          <w:i/>
          <w:sz w:val="24"/>
          <w:szCs w:val="24"/>
          <w:lang w:eastAsia="es-MX"/>
        </w:rPr>
        <w:t>Where God and Science Meet.</w:t>
      </w:r>
      <w:r w:rsidRPr="00900721">
        <w:rPr>
          <w:rFonts w:ascii="Times New Roman" w:eastAsia="Times New Roman" w:hAnsi="Times New Roman" w:cs="Times New Roman"/>
          <w:sz w:val="24"/>
          <w:szCs w:val="24"/>
          <w:lang w:eastAsia="es-MX"/>
        </w:rPr>
        <w:t xml:space="preserve"> Vol 3 (The Psychology of Religious Experience).</w:t>
      </w:r>
    </w:p>
    <w:p w14:paraId="448DFA76" w14:textId="77777777" w:rsidR="001A3E86" w:rsidRPr="00900721" w:rsidRDefault="001A3E86" w:rsidP="001A3E86">
      <w:pPr>
        <w:pStyle w:val="NoSpacing"/>
        <w:numPr>
          <w:ilvl w:val="0"/>
          <w:numId w:val="3"/>
        </w:numPr>
        <w:spacing w:line="360" w:lineRule="auto"/>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Quirce-Balma, C.M. (1976)</w:t>
      </w:r>
      <w:r w:rsidRPr="00900721">
        <w:rPr>
          <w:rFonts w:ascii="Times New Roman" w:hAnsi="Times New Roman" w:cs="Times New Roman"/>
          <w:noProof/>
          <w:sz w:val="24"/>
          <w:szCs w:val="24"/>
          <w:lang w:val="es-ES"/>
        </w:rPr>
        <w:t>. Estados Alterados de Conciencia. Revista de Filosofía de la Universidad de Costa Rica. Vol. 16 n. 38. pp. 15-24.</w:t>
      </w:r>
    </w:p>
    <w:p w14:paraId="15CE6A5E" w14:textId="77777777" w:rsidR="001A3E86" w:rsidRPr="0090072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AE6A9C">
        <w:rPr>
          <w:rFonts w:ascii="Times New Roman" w:hAnsi="Times New Roman" w:cs="Times New Roman"/>
          <w:noProof/>
          <w:sz w:val="24"/>
          <w:szCs w:val="24"/>
          <w:lang w:val="es-ES"/>
        </w:rPr>
        <w:t xml:space="preserve">Quirce-Balma, C.M. (1988a). </w:t>
      </w:r>
      <w:r w:rsidRPr="00900721">
        <w:rPr>
          <w:rFonts w:ascii="Times New Roman" w:hAnsi="Times New Roman" w:cs="Times New Roman"/>
          <w:noProof/>
          <w:sz w:val="24"/>
          <w:szCs w:val="24"/>
        </w:rPr>
        <w:t>Carlos Manuel Quirce</w:t>
      </w:r>
      <w:r>
        <w:rPr>
          <w:rFonts w:ascii="Times New Roman" w:hAnsi="Times New Roman" w:cs="Times New Roman"/>
          <w:noProof/>
          <w:sz w:val="24"/>
          <w:szCs w:val="24"/>
        </w:rPr>
        <w:t>-Balma</w:t>
      </w:r>
      <w:r w:rsidRPr="00900721">
        <w:rPr>
          <w:rFonts w:ascii="Times New Roman" w:hAnsi="Times New Roman" w:cs="Times New Roman"/>
          <w:noProof/>
          <w:sz w:val="24"/>
          <w:szCs w:val="24"/>
        </w:rPr>
        <w:t xml:space="preserve"> B. World Bigraphical Hall of Fame. Volume II. Historical Preservations of America. INC-</w:t>
      </w:r>
    </w:p>
    <w:p w14:paraId="2AD36866" w14:textId="77777777" w:rsidR="001A3E86" w:rsidRPr="00900721" w:rsidRDefault="001A3E86" w:rsidP="001A3E86">
      <w:pPr>
        <w:pStyle w:val="NoSpacing"/>
        <w:numPr>
          <w:ilvl w:val="0"/>
          <w:numId w:val="3"/>
        </w:numPr>
        <w:spacing w:line="360" w:lineRule="auto"/>
        <w:jc w:val="both"/>
        <w:rPr>
          <w:rFonts w:ascii="Times New Roman" w:hAnsi="Times New Roman" w:cs="Times New Roman"/>
          <w:i/>
          <w:color w:val="000000"/>
          <w:sz w:val="24"/>
          <w:szCs w:val="24"/>
        </w:rPr>
      </w:pPr>
      <w:r w:rsidRPr="00AE6A9C">
        <w:rPr>
          <w:rFonts w:ascii="Times New Roman" w:hAnsi="Times New Roman" w:cs="Times New Roman"/>
          <w:color w:val="231F20"/>
          <w:sz w:val="24"/>
          <w:szCs w:val="24"/>
          <w:lang w:val="es-ES"/>
        </w:rPr>
        <w:t xml:space="preserve">Quirce-Balma, C.M., Tyler, V. &amp; Maickel, R. P. (1988b). </w:t>
      </w:r>
      <w:r w:rsidRPr="00900721">
        <w:rPr>
          <w:rFonts w:ascii="Times New Roman" w:hAnsi="Times New Roman" w:cs="Times New Roman"/>
          <w:color w:val="231F20"/>
          <w:sz w:val="24"/>
          <w:szCs w:val="24"/>
          <w:lang w:val="es-MX"/>
        </w:rPr>
        <w:t xml:space="preserve">Concepciones culturales de los estados alterados de la conciencia.  </w:t>
      </w:r>
      <w:r w:rsidRPr="00900721">
        <w:rPr>
          <w:rFonts w:ascii="Times New Roman" w:hAnsi="Times New Roman" w:cs="Times New Roman"/>
          <w:i/>
          <w:iCs/>
          <w:color w:val="231F20"/>
          <w:sz w:val="24"/>
          <w:szCs w:val="24"/>
          <w:lang w:val="es-MX"/>
        </w:rPr>
        <w:t>Neuroeje: Asociación Costarricense de Ciencias Neuróticas</w:t>
      </w:r>
      <w:r w:rsidRPr="00900721">
        <w:rPr>
          <w:rFonts w:ascii="Times New Roman" w:hAnsi="Times New Roman" w:cs="Times New Roman"/>
          <w:color w:val="231F20"/>
          <w:sz w:val="24"/>
          <w:szCs w:val="24"/>
          <w:lang w:val="es-MX"/>
        </w:rPr>
        <w:t xml:space="preserve">, </w:t>
      </w:r>
      <w:r w:rsidRPr="00900721">
        <w:rPr>
          <w:rFonts w:ascii="Times New Roman" w:hAnsi="Times New Roman" w:cs="Times New Roman"/>
          <w:i/>
          <w:iCs/>
          <w:color w:val="231F20"/>
          <w:sz w:val="24"/>
          <w:szCs w:val="24"/>
          <w:lang w:val="es-MX"/>
        </w:rPr>
        <w:t>6</w:t>
      </w:r>
      <w:r w:rsidRPr="00900721">
        <w:rPr>
          <w:rFonts w:ascii="Times New Roman" w:hAnsi="Times New Roman" w:cs="Times New Roman"/>
          <w:color w:val="231F20"/>
          <w:sz w:val="24"/>
          <w:szCs w:val="24"/>
          <w:lang w:val="es-MX"/>
        </w:rPr>
        <w:t>,15-30.</w:t>
      </w:r>
    </w:p>
    <w:p w14:paraId="0B58D924" w14:textId="77777777" w:rsidR="001A3E86" w:rsidRPr="00900721" w:rsidRDefault="001A3E86" w:rsidP="001A3E86">
      <w:pPr>
        <w:pStyle w:val="NoSpacing"/>
        <w:numPr>
          <w:ilvl w:val="0"/>
          <w:numId w:val="3"/>
        </w:numPr>
        <w:spacing w:line="360" w:lineRule="auto"/>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Quirce-Balma, C.M. (1994).</w:t>
      </w:r>
      <w:r w:rsidRPr="00900721">
        <w:rPr>
          <w:rFonts w:ascii="Times New Roman" w:hAnsi="Times New Roman" w:cs="Times New Roman"/>
          <w:color w:val="000000"/>
          <w:sz w:val="24"/>
          <w:szCs w:val="24"/>
          <w:lang w:val="es-MX"/>
        </w:rPr>
        <w:t xml:space="preserve"> Señor Dios </w:t>
      </w:r>
      <w:r w:rsidRPr="004F609D">
        <w:rPr>
          <w:rFonts w:ascii="Times New Roman" w:hAnsi="Times New Roman" w:cs="Times New Roman"/>
          <w:color w:val="231F20"/>
          <w:sz w:val="24"/>
          <w:szCs w:val="24"/>
          <w:lang w:val="es-CR"/>
        </w:rPr>
        <w:t>Príncipe</w:t>
      </w:r>
      <w:r w:rsidRPr="00900721">
        <w:rPr>
          <w:rFonts w:ascii="Times New Roman" w:hAnsi="Times New Roman" w:cs="Times New Roman"/>
          <w:color w:val="000000"/>
          <w:sz w:val="24"/>
          <w:szCs w:val="24"/>
          <w:lang w:val="es-MX"/>
        </w:rPr>
        <w:t xml:space="preserve"> de las flores. </w:t>
      </w:r>
      <w:r w:rsidRPr="00900721">
        <w:rPr>
          <w:rFonts w:ascii="Times New Roman" w:hAnsi="Times New Roman" w:cs="Times New Roman"/>
          <w:i/>
          <w:color w:val="000000"/>
          <w:sz w:val="24"/>
          <w:szCs w:val="24"/>
          <w:lang w:val="es-MX"/>
        </w:rPr>
        <w:t>Ciencias Sociales, 65</w:t>
      </w:r>
      <w:r w:rsidRPr="00900721">
        <w:rPr>
          <w:rFonts w:ascii="Times New Roman" w:hAnsi="Times New Roman" w:cs="Times New Roman"/>
          <w:color w:val="000000"/>
          <w:sz w:val="24"/>
          <w:szCs w:val="24"/>
          <w:lang w:val="es-MX"/>
        </w:rPr>
        <w:t>, 149-163</w:t>
      </w:r>
      <w:r>
        <w:rPr>
          <w:rFonts w:ascii="Times New Roman" w:hAnsi="Times New Roman" w:cs="Times New Roman"/>
          <w:color w:val="000000"/>
          <w:sz w:val="24"/>
          <w:szCs w:val="24"/>
          <w:lang w:val="es-MX"/>
        </w:rPr>
        <w:t>.</w:t>
      </w:r>
    </w:p>
    <w:p w14:paraId="6A8EE383" w14:textId="77777777" w:rsidR="001A3E86" w:rsidRPr="00900721" w:rsidRDefault="001A3E86" w:rsidP="001A3E86">
      <w:pPr>
        <w:pStyle w:val="NoSpacing"/>
        <w:numPr>
          <w:ilvl w:val="0"/>
          <w:numId w:val="3"/>
        </w:num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Quirce-Balma, C.M. &amp; Maickel, R. (2009). </w:t>
      </w:r>
      <w:r w:rsidRPr="00900721">
        <w:rPr>
          <w:rFonts w:ascii="Times New Roman" w:hAnsi="Times New Roman" w:cs="Times New Roman"/>
          <w:sz w:val="24"/>
          <w:szCs w:val="24"/>
          <w:lang w:val="es-CR"/>
        </w:rPr>
        <w:t>Los alucinógenos y los teoremas de “Gating” en la acción psicofarmacológica alucinatoria y en la esquizofrenia.</w:t>
      </w:r>
      <w:r w:rsidRPr="00900721">
        <w:rPr>
          <w:rFonts w:ascii="Times New Roman" w:hAnsi="Times New Roman" w:cs="Times New Roman"/>
          <w:i/>
          <w:sz w:val="24"/>
          <w:szCs w:val="24"/>
          <w:lang w:val="es-CR"/>
        </w:rPr>
        <w:t xml:space="preserve"> Revista Costarricense de Psicología, 28</w:t>
      </w:r>
      <w:r w:rsidRPr="00900721">
        <w:rPr>
          <w:rFonts w:ascii="Times New Roman" w:hAnsi="Times New Roman" w:cs="Times New Roman"/>
          <w:sz w:val="24"/>
          <w:szCs w:val="24"/>
          <w:lang w:val="es-CR"/>
        </w:rPr>
        <w:t>(41-42), 85-99.</w:t>
      </w:r>
    </w:p>
    <w:p w14:paraId="06BB0397" w14:textId="77777777" w:rsidR="001A3E86" w:rsidRPr="00900721" w:rsidRDefault="001A3E86" w:rsidP="001A3E86">
      <w:pPr>
        <w:pStyle w:val="NoSpacing"/>
        <w:numPr>
          <w:ilvl w:val="0"/>
          <w:numId w:val="3"/>
        </w:numPr>
        <w:spacing w:line="360" w:lineRule="auto"/>
        <w:jc w:val="both"/>
        <w:rPr>
          <w:rFonts w:ascii="Times New Roman" w:hAnsi="Times New Roman" w:cs="Times New Roman"/>
          <w:i/>
          <w:color w:val="000000"/>
          <w:sz w:val="24"/>
          <w:szCs w:val="24"/>
        </w:rPr>
      </w:pPr>
      <w:r w:rsidRPr="004F609D">
        <w:rPr>
          <w:rFonts w:ascii="Times New Roman" w:hAnsi="Times New Roman" w:cs="Times New Roman"/>
          <w:sz w:val="24"/>
          <w:szCs w:val="24"/>
          <w:lang w:val="es-CR"/>
        </w:rPr>
        <w:t xml:space="preserve">Quirce-Balma, C.M. (2010a). </w:t>
      </w:r>
      <w:r w:rsidRPr="00900721">
        <w:rPr>
          <w:rFonts w:ascii="Times New Roman" w:hAnsi="Times New Roman" w:cs="Times New Roman"/>
          <w:bCs/>
          <w:color w:val="231F20"/>
          <w:sz w:val="24"/>
          <w:szCs w:val="24"/>
          <w:lang w:val="es-MX"/>
        </w:rPr>
        <w:t xml:space="preserve">El chamanismo y las drogas enteogénicas/alucinatorias del mundo precolombino. </w:t>
      </w:r>
      <w:r w:rsidRPr="00900721">
        <w:rPr>
          <w:rFonts w:ascii="Times New Roman" w:hAnsi="Times New Roman" w:cs="Times New Roman"/>
          <w:i/>
          <w:color w:val="231F20"/>
          <w:sz w:val="24"/>
          <w:szCs w:val="24"/>
          <w:lang w:val="es-MX"/>
        </w:rPr>
        <w:t>Revista Costarricense de Psicología, Vol. 29, n. 43.</w:t>
      </w:r>
      <w:r w:rsidRPr="00900721">
        <w:rPr>
          <w:rFonts w:ascii="Times New Roman" w:hAnsi="Times New Roman" w:cs="Times New Roman"/>
          <w:color w:val="231F20"/>
          <w:sz w:val="24"/>
          <w:szCs w:val="24"/>
          <w:lang w:val="es-MX"/>
        </w:rPr>
        <w:t xml:space="preserve"> pp. 1-15</w:t>
      </w:r>
      <w:r w:rsidRPr="00900721">
        <w:rPr>
          <w:rFonts w:ascii="Times New Roman" w:hAnsi="Times New Roman" w:cs="Times New Roman"/>
          <w:sz w:val="24"/>
          <w:szCs w:val="24"/>
        </w:rPr>
        <w:t xml:space="preserve">              </w:t>
      </w:r>
    </w:p>
    <w:p w14:paraId="4F857A04" w14:textId="77777777" w:rsidR="001A3E86" w:rsidRPr="00900721" w:rsidRDefault="001A3E86" w:rsidP="001A3E86">
      <w:pPr>
        <w:pStyle w:val="NoSpacing"/>
        <w:numPr>
          <w:ilvl w:val="0"/>
          <w:numId w:val="3"/>
        </w:num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Quirce-Balma, C.M. (2010b)</w:t>
      </w:r>
      <w:r w:rsidRPr="00900721">
        <w:rPr>
          <w:rFonts w:ascii="Times New Roman" w:hAnsi="Times New Roman" w:cs="Times New Roman"/>
          <w:sz w:val="24"/>
          <w:szCs w:val="24"/>
          <w:lang w:val="es-CR"/>
        </w:rPr>
        <w:t xml:space="preserve">. El modelo del arriba y dejado de la conciencia: análisis etnopsicofarmacológico del uso de plantas enteógenos. </w:t>
      </w:r>
      <w:r w:rsidRPr="00900721">
        <w:rPr>
          <w:rFonts w:ascii="Times New Roman" w:hAnsi="Times New Roman" w:cs="Times New Roman"/>
          <w:i/>
          <w:sz w:val="24"/>
          <w:szCs w:val="24"/>
          <w:lang w:val="es-CR"/>
        </w:rPr>
        <w:t>Revista Reflexiones, 90</w:t>
      </w:r>
      <w:r w:rsidRPr="00900721">
        <w:rPr>
          <w:rFonts w:ascii="Times New Roman" w:hAnsi="Times New Roman" w:cs="Times New Roman"/>
          <w:sz w:val="24"/>
          <w:szCs w:val="24"/>
          <w:lang w:val="es-CR"/>
        </w:rPr>
        <w:t xml:space="preserve">(1), 195-214, ISSN: 1021-1209. </w:t>
      </w:r>
    </w:p>
    <w:p w14:paraId="4EA6D434" w14:textId="77777777" w:rsidR="001A3E86" w:rsidRPr="00900721" w:rsidRDefault="001A3E86" w:rsidP="001A3E86">
      <w:pPr>
        <w:pStyle w:val="NoSpacing"/>
        <w:numPr>
          <w:ilvl w:val="0"/>
          <w:numId w:val="3"/>
        </w:numPr>
        <w:spacing w:line="360" w:lineRule="auto"/>
        <w:jc w:val="both"/>
        <w:rPr>
          <w:rFonts w:ascii="Times New Roman" w:hAnsi="Times New Roman" w:cs="Times New Roman"/>
          <w:i/>
          <w:color w:val="000000"/>
          <w:sz w:val="24"/>
          <w:szCs w:val="24"/>
        </w:rPr>
      </w:pPr>
      <w:r w:rsidRPr="004F609D">
        <w:rPr>
          <w:rFonts w:ascii="Times New Roman" w:hAnsi="Times New Roman" w:cs="Times New Roman"/>
          <w:sz w:val="24"/>
          <w:szCs w:val="24"/>
          <w:lang w:val="es-CR"/>
        </w:rPr>
        <w:lastRenderedPageBreak/>
        <w:t xml:space="preserve">Quirce-Balma, C. M &amp; alt. (2010c). Los </w:t>
      </w:r>
      <w:r w:rsidRPr="00900721">
        <w:rPr>
          <w:rFonts w:ascii="Times New Roman" w:hAnsi="Times New Roman" w:cs="Times New Roman"/>
          <w:color w:val="000000"/>
          <w:sz w:val="24"/>
          <w:szCs w:val="24"/>
          <w:lang w:val="es-MX"/>
        </w:rPr>
        <w:t>alucinógenos</w:t>
      </w:r>
      <w:r w:rsidRPr="004F609D">
        <w:rPr>
          <w:rFonts w:ascii="Times New Roman" w:hAnsi="Times New Roman" w:cs="Times New Roman"/>
          <w:sz w:val="24"/>
          <w:szCs w:val="24"/>
          <w:lang w:val="es-CR"/>
        </w:rPr>
        <w:t xml:space="preserve">: su historia, antropología, química y farmacología. </w:t>
      </w:r>
      <w:r w:rsidRPr="00900721">
        <w:rPr>
          <w:rFonts w:ascii="Times New Roman" w:hAnsi="Times New Roman" w:cs="Times New Roman"/>
          <w:i/>
          <w:sz w:val="24"/>
          <w:szCs w:val="24"/>
        </w:rPr>
        <w:t xml:space="preserve">Psicogente, 13 (23): </w:t>
      </w:r>
      <w:r w:rsidRPr="00900721">
        <w:rPr>
          <w:rFonts w:ascii="Times New Roman" w:hAnsi="Times New Roman" w:cs="Times New Roman"/>
          <w:sz w:val="24"/>
          <w:szCs w:val="24"/>
        </w:rPr>
        <w:t>pp. 174-192</w:t>
      </w:r>
      <w:r w:rsidRPr="00900721">
        <w:rPr>
          <w:rFonts w:ascii="Times New Roman" w:hAnsi="Times New Roman" w:cs="Times New Roman"/>
          <w:i/>
          <w:sz w:val="24"/>
          <w:szCs w:val="24"/>
        </w:rPr>
        <w:t xml:space="preserve">. </w:t>
      </w:r>
    </w:p>
    <w:p w14:paraId="7127A62E" w14:textId="77777777" w:rsidR="001A3E86" w:rsidRPr="00900721" w:rsidRDefault="001A3E86" w:rsidP="001A3E86">
      <w:pPr>
        <w:pStyle w:val="NoSpacing"/>
        <w:numPr>
          <w:ilvl w:val="0"/>
          <w:numId w:val="3"/>
        </w:numPr>
        <w:spacing w:line="360" w:lineRule="auto"/>
        <w:jc w:val="both"/>
        <w:rPr>
          <w:rFonts w:ascii="Times New Roman" w:hAnsi="Times New Roman" w:cs="Times New Roman"/>
          <w:sz w:val="24"/>
          <w:szCs w:val="24"/>
        </w:rPr>
      </w:pPr>
      <w:r w:rsidRPr="004F609D">
        <w:rPr>
          <w:rFonts w:ascii="Times New Roman" w:hAnsi="Times New Roman" w:cs="Times New Roman"/>
          <w:sz w:val="24"/>
          <w:szCs w:val="24"/>
          <w:lang w:val="es-CR"/>
        </w:rPr>
        <w:t xml:space="preserve">Quirce-Balma, C. M. (2010d). Algunas Reflexiones sobre el Chamanismo. </w:t>
      </w:r>
      <w:r w:rsidRPr="00900721">
        <w:rPr>
          <w:rFonts w:ascii="Times New Roman" w:hAnsi="Times New Roman" w:cs="Times New Roman"/>
          <w:i/>
          <w:sz w:val="24"/>
          <w:szCs w:val="24"/>
        </w:rPr>
        <w:t>Semanario Universidad, 1845.</w:t>
      </w:r>
    </w:p>
    <w:p w14:paraId="191F2401" w14:textId="77777777" w:rsidR="001A3E86" w:rsidRPr="00900721" w:rsidRDefault="001A3E86" w:rsidP="001A3E86">
      <w:pPr>
        <w:pStyle w:val="NoSpacing"/>
        <w:numPr>
          <w:ilvl w:val="0"/>
          <w:numId w:val="3"/>
        </w:numPr>
        <w:spacing w:line="360" w:lineRule="auto"/>
        <w:jc w:val="both"/>
        <w:rPr>
          <w:rFonts w:ascii="Times New Roman" w:hAnsi="Times New Roman" w:cs="Times New Roman"/>
          <w:sz w:val="24"/>
          <w:szCs w:val="24"/>
        </w:rPr>
      </w:pPr>
      <w:r w:rsidRPr="00900721">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BIBLIOGRAPHY  \l 5130 </w:instrText>
      </w:r>
      <w:r w:rsidRPr="00900721">
        <w:rPr>
          <w:rFonts w:ascii="Times New Roman" w:hAnsi="Times New Roman" w:cs="Times New Roman"/>
          <w:sz w:val="24"/>
          <w:szCs w:val="24"/>
        </w:rPr>
        <w:fldChar w:fldCharType="separate"/>
      </w:r>
      <w:r w:rsidRPr="004F609D">
        <w:rPr>
          <w:rFonts w:ascii="Times New Roman" w:hAnsi="Times New Roman" w:cs="Times New Roman"/>
          <w:sz w:val="24"/>
          <w:szCs w:val="24"/>
          <w:lang w:val="es-CR"/>
        </w:rPr>
        <w:t xml:space="preserve">Renart, F. (2010). Fe Antropológica y fe religiosa en JLS. </w:t>
      </w:r>
      <w:r>
        <w:rPr>
          <w:rFonts w:ascii="Times New Roman" w:hAnsi="Times New Roman" w:cs="Times New Roman"/>
          <w:sz w:val="24"/>
          <w:szCs w:val="24"/>
        </w:rPr>
        <w:t>UCUDAL</w:t>
      </w:r>
      <w:r w:rsidRPr="00900721">
        <w:rPr>
          <w:rFonts w:ascii="Times New Roman" w:hAnsi="Times New Roman" w:cs="Times New Roman"/>
          <w:sz w:val="24"/>
          <w:szCs w:val="24"/>
        </w:rPr>
        <w:t>, 1-10.</w:t>
      </w:r>
    </w:p>
    <w:p w14:paraId="5AB5066A" w14:textId="77777777" w:rsidR="001A3E86" w:rsidRPr="00C33566"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eastAsia="es-MX"/>
        </w:rPr>
      </w:pPr>
      <w:r w:rsidRPr="00900721">
        <w:rPr>
          <w:rFonts w:ascii="Times New Roman" w:hAnsi="Times New Roman" w:cs="Times New Roman"/>
          <w:sz w:val="24"/>
          <w:szCs w:val="24"/>
        </w:rPr>
        <w:fldChar w:fldCharType="end"/>
      </w:r>
      <w:r w:rsidRPr="00C33566">
        <w:rPr>
          <w:rFonts w:ascii="Times New Roman" w:hAnsi="Times New Roman" w:cs="Times New Roman"/>
          <w:sz w:val="24"/>
          <w:szCs w:val="24"/>
          <w:lang w:val="es-CR"/>
        </w:rPr>
        <w:t xml:space="preserve">Rodríguez, J.M. &amp; Quirce, C.M. (2012). Las plantas y los hongos alucinógenos: Reflexiones preliminares sobre su rol en la evolución humana. </w:t>
      </w:r>
      <w:r w:rsidRPr="00C33566">
        <w:rPr>
          <w:rFonts w:ascii="Times New Roman" w:hAnsi="Times New Roman" w:cs="Times New Roman"/>
          <w:sz w:val="24"/>
          <w:szCs w:val="24"/>
        </w:rPr>
        <w:t>Revista Reflexiones, 91 (2)</w:t>
      </w:r>
      <w:proofErr w:type="gramStart"/>
      <w:r w:rsidRPr="00C33566">
        <w:rPr>
          <w:rFonts w:ascii="Times New Roman" w:hAnsi="Times New Roman" w:cs="Times New Roman"/>
          <w:sz w:val="24"/>
          <w:szCs w:val="24"/>
        </w:rPr>
        <w:t>.:</w:t>
      </w:r>
      <w:proofErr w:type="gramEnd"/>
      <w:r w:rsidRPr="00C33566">
        <w:rPr>
          <w:rFonts w:ascii="Times New Roman" w:hAnsi="Times New Roman" w:cs="Times New Roman"/>
          <w:sz w:val="24"/>
          <w:szCs w:val="24"/>
        </w:rPr>
        <w:t xml:space="preserve"> 9-32, ISSN:1021-1209.</w:t>
      </w:r>
    </w:p>
    <w:p w14:paraId="6DC3F85B" w14:textId="77777777" w:rsidR="001A3E86" w:rsidRPr="00900721"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eastAsia="es-MX"/>
        </w:rPr>
      </w:pPr>
      <w:r w:rsidRPr="00900721">
        <w:rPr>
          <w:rFonts w:ascii="Times New Roman" w:eastAsia="Times New Roman" w:hAnsi="Times New Roman" w:cs="Times New Roman"/>
          <w:sz w:val="24"/>
          <w:szCs w:val="24"/>
          <w:lang w:eastAsia="es-MX"/>
        </w:rPr>
        <w:t xml:space="preserve">Roberts, T. (2006). </w:t>
      </w:r>
      <w:r w:rsidRPr="00AE6A9C">
        <w:rPr>
          <w:rFonts w:ascii="Times New Roman" w:hAnsi="Times New Roman" w:cs="Times New Roman"/>
          <w:sz w:val="24"/>
          <w:szCs w:val="24"/>
        </w:rPr>
        <w:t>Chemical</w:t>
      </w:r>
      <w:r w:rsidRPr="00900721">
        <w:rPr>
          <w:rFonts w:ascii="Times New Roman" w:eastAsia="Times New Roman" w:hAnsi="Times New Roman" w:cs="Times New Roman"/>
          <w:sz w:val="24"/>
          <w:szCs w:val="24"/>
          <w:lang w:eastAsia="es-MX"/>
        </w:rPr>
        <w:t xml:space="preserve"> input, religious output-entheogens: a pharmatheology sampler. En McNamara, P. (Ed), </w:t>
      </w:r>
      <w:r w:rsidRPr="00900721">
        <w:rPr>
          <w:rFonts w:ascii="Times New Roman" w:eastAsia="Times New Roman" w:hAnsi="Times New Roman" w:cs="Times New Roman"/>
          <w:i/>
          <w:sz w:val="24"/>
          <w:szCs w:val="24"/>
          <w:lang w:eastAsia="es-MX"/>
        </w:rPr>
        <w:t xml:space="preserve">Where God and Science Meet. </w:t>
      </w:r>
      <w:r w:rsidRPr="00900721">
        <w:rPr>
          <w:rFonts w:ascii="Times New Roman" w:eastAsia="Times New Roman" w:hAnsi="Times New Roman" w:cs="Times New Roman"/>
          <w:sz w:val="24"/>
          <w:szCs w:val="24"/>
          <w:lang w:eastAsia="es-MX"/>
        </w:rPr>
        <w:t>Vol 3 (The Psychology of Religious Experience).</w:t>
      </w:r>
    </w:p>
    <w:p w14:paraId="121BB1D3" w14:textId="77777777" w:rsidR="001A3E86" w:rsidRPr="00900721"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eastAsia="es-MX"/>
        </w:rPr>
      </w:pPr>
      <w:r w:rsidRPr="00900721">
        <w:rPr>
          <w:rFonts w:ascii="Times New Roman" w:eastAsia="Times New Roman" w:hAnsi="Times New Roman" w:cs="Times New Roman"/>
          <w:sz w:val="24"/>
          <w:szCs w:val="24"/>
          <w:lang w:eastAsia="es-MX"/>
        </w:rPr>
        <w:t>Rogers, S. &amp; Paloutzian, R. (2006). Schizophrenia, neurology, and religion: what can psychosis teach us about the</w:t>
      </w:r>
      <w:r>
        <w:rPr>
          <w:rFonts w:ascii="Times New Roman" w:eastAsia="Times New Roman" w:hAnsi="Times New Roman" w:cs="Times New Roman"/>
          <w:sz w:val="24"/>
          <w:szCs w:val="24"/>
          <w:lang w:eastAsia="es-MX"/>
        </w:rPr>
        <w:t xml:space="preserve"> evolutionary role of religion?</w:t>
      </w:r>
      <w:r w:rsidRPr="00900721">
        <w:rPr>
          <w:rFonts w:ascii="Times New Roman" w:eastAsia="Times New Roman" w:hAnsi="Times New Roman" w:cs="Times New Roman"/>
          <w:sz w:val="24"/>
          <w:szCs w:val="24"/>
          <w:lang w:eastAsia="es-MX"/>
        </w:rPr>
        <w:t xml:space="preserve"> En McNamara, P. (Ed), </w:t>
      </w:r>
      <w:r w:rsidRPr="00900721">
        <w:rPr>
          <w:rFonts w:ascii="Times New Roman" w:eastAsia="Times New Roman" w:hAnsi="Times New Roman" w:cs="Times New Roman"/>
          <w:i/>
          <w:sz w:val="24"/>
          <w:szCs w:val="24"/>
          <w:lang w:eastAsia="es-MX"/>
        </w:rPr>
        <w:t xml:space="preserve">Where God and Science Meet. </w:t>
      </w:r>
      <w:r w:rsidRPr="00900721">
        <w:rPr>
          <w:rFonts w:ascii="Times New Roman" w:eastAsia="Times New Roman" w:hAnsi="Times New Roman" w:cs="Times New Roman"/>
          <w:sz w:val="24"/>
          <w:szCs w:val="24"/>
          <w:lang w:eastAsia="es-MX"/>
        </w:rPr>
        <w:t>Vol 3 (The Psychology of Religious Experience).</w:t>
      </w:r>
    </w:p>
    <w:p w14:paraId="4B819B62" w14:textId="77777777" w:rsidR="001A3E86" w:rsidRPr="00900721"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eastAsia="es-MX"/>
        </w:rPr>
      </w:pPr>
      <w:r w:rsidRPr="00900721">
        <w:rPr>
          <w:rFonts w:ascii="Times New Roman" w:eastAsia="Times New Roman" w:hAnsi="Times New Roman" w:cs="Times New Roman"/>
          <w:sz w:val="24"/>
          <w:szCs w:val="24"/>
          <w:lang w:eastAsia="es-MX"/>
        </w:rPr>
        <w:t xml:space="preserve">Spilka, B. (2005). Religioud practice, ritual and prayer. En Paloutzian, R. y Park, C. (Eds). </w:t>
      </w:r>
      <w:r w:rsidRPr="00900721">
        <w:rPr>
          <w:rFonts w:ascii="Times New Roman" w:eastAsia="Times New Roman" w:hAnsi="Times New Roman" w:cs="Times New Roman"/>
          <w:i/>
          <w:sz w:val="24"/>
          <w:szCs w:val="24"/>
          <w:lang w:eastAsia="es-MX"/>
        </w:rPr>
        <w:t>Handbook of the psychology of religion and spirituality.</w:t>
      </w:r>
      <w:r w:rsidRPr="00900721">
        <w:rPr>
          <w:rFonts w:ascii="Times New Roman" w:eastAsia="Times New Roman" w:hAnsi="Times New Roman" w:cs="Times New Roman"/>
          <w:sz w:val="24"/>
          <w:szCs w:val="24"/>
          <w:lang w:eastAsia="es-MX"/>
        </w:rPr>
        <w:t xml:space="preserve"> Nueva York: The Guilford Press. </w:t>
      </w:r>
    </w:p>
    <w:p w14:paraId="4632CD20" w14:textId="77777777" w:rsidR="001A3E86" w:rsidRPr="00900721" w:rsidRDefault="001A3E86" w:rsidP="001A3E86">
      <w:pPr>
        <w:pStyle w:val="NoSpacing"/>
        <w:numPr>
          <w:ilvl w:val="0"/>
          <w:numId w:val="3"/>
        </w:numPr>
        <w:spacing w:line="360" w:lineRule="auto"/>
        <w:jc w:val="both"/>
        <w:rPr>
          <w:rFonts w:ascii="Times New Roman" w:hAnsi="Times New Roman" w:cs="Times New Roman"/>
          <w:sz w:val="24"/>
          <w:szCs w:val="24"/>
          <w:lang w:eastAsia="es-MX"/>
        </w:rPr>
      </w:pPr>
      <w:r w:rsidRPr="00900721">
        <w:rPr>
          <w:rFonts w:ascii="Times New Roman" w:hAnsi="Times New Roman" w:cs="Times New Roman"/>
          <w:sz w:val="24"/>
          <w:szCs w:val="24"/>
          <w:lang w:eastAsia="es-MX"/>
        </w:rPr>
        <w:t>Taylor</w:t>
      </w:r>
      <w:r>
        <w:rPr>
          <w:rFonts w:ascii="Times New Roman" w:hAnsi="Times New Roman" w:cs="Times New Roman"/>
          <w:sz w:val="24"/>
          <w:szCs w:val="24"/>
          <w:lang w:eastAsia="es-MX"/>
        </w:rPr>
        <w:t>, S.</w:t>
      </w:r>
      <w:r w:rsidRPr="00900721">
        <w:rPr>
          <w:rFonts w:ascii="Times New Roman" w:hAnsi="Times New Roman" w:cs="Times New Roman"/>
          <w:sz w:val="24"/>
          <w:szCs w:val="24"/>
          <w:lang w:eastAsia="es-MX"/>
        </w:rPr>
        <w:t xml:space="preserve"> (2005). The </w:t>
      </w:r>
      <w:r w:rsidRPr="00CB3C99">
        <w:rPr>
          <w:rFonts w:ascii="Times New Roman" w:eastAsia="Times New Roman" w:hAnsi="Times New Roman" w:cs="Times New Roman"/>
          <w:sz w:val="24"/>
          <w:szCs w:val="24"/>
          <w:lang w:eastAsia="es-MX"/>
        </w:rPr>
        <w:t>Sources</w:t>
      </w:r>
      <w:r w:rsidRPr="00900721">
        <w:rPr>
          <w:rFonts w:ascii="Times New Roman" w:hAnsi="Times New Roman" w:cs="Times New Roman"/>
          <w:sz w:val="24"/>
          <w:szCs w:val="24"/>
          <w:lang w:eastAsia="es-MX"/>
        </w:rPr>
        <w:t xml:space="preserve"> of Higher States of Consciousness. </w:t>
      </w:r>
      <w:r w:rsidRPr="00900721">
        <w:rPr>
          <w:rFonts w:ascii="Times New Roman" w:hAnsi="Times New Roman" w:cs="Times New Roman"/>
          <w:i/>
          <w:sz w:val="24"/>
          <w:szCs w:val="24"/>
          <w:lang w:eastAsia="es-MX"/>
        </w:rPr>
        <w:t>The International Journal of Transpersonal Studies, 24</w:t>
      </w:r>
      <w:r w:rsidRPr="00900721">
        <w:rPr>
          <w:rFonts w:ascii="Times New Roman" w:hAnsi="Times New Roman" w:cs="Times New Roman"/>
          <w:sz w:val="24"/>
          <w:szCs w:val="24"/>
          <w:lang w:eastAsia="es-MX"/>
        </w:rPr>
        <w:t>, 48-60.</w:t>
      </w:r>
    </w:p>
    <w:p w14:paraId="25F42C41" w14:textId="77777777" w:rsidR="001A3E86" w:rsidRPr="00900721"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eastAsia="es-MX"/>
        </w:rPr>
      </w:pPr>
      <w:r w:rsidRPr="00CB3C99">
        <w:rPr>
          <w:rFonts w:ascii="Times New Roman" w:hAnsi="Times New Roman" w:cs="Times New Roman"/>
          <w:sz w:val="24"/>
          <w:szCs w:val="24"/>
          <w:lang w:eastAsia="es-MX"/>
        </w:rPr>
        <w:t>Winkelman</w:t>
      </w:r>
      <w:r w:rsidRPr="00900721">
        <w:rPr>
          <w:rFonts w:ascii="Times New Roman" w:eastAsia="Times New Roman" w:hAnsi="Times New Roman" w:cs="Times New Roman"/>
          <w:sz w:val="24"/>
          <w:szCs w:val="24"/>
          <w:lang w:eastAsia="es-MX"/>
        </w:rPr>
        <w:t xml:space="preserve">, M. (2004). Shamanism as the original neurotheology.  </w:t>
      </w:r>
      <w:r w:rsidRPr="00900721">
        <w:rPr>
          <w:rFonts w:ascii="Times New Roman" w:eastAsia="Times New Roman" w:hAnsi="Times New Roman" w:cs="Times New Roman"/>
          <w:i/>
          <w:sz w:val="24"/>
          <w:szCs w:val="24"/>
          <w:lang w:eastAsia="es-MX"/>
        </w:rPr>
        <w:t>Zygon, 39</w:t>
      </w:r>
      <w:r w:rsidRPr="00900721">
        <w:rPr>
          <w:rFonts w:ascii="Times New Roman" w:eastAsia="Times New Roman" w:hAnsi="Times New Roman" w:cs="Times New Roman"/>
          <w:sz w:val="24"/>
          <w:szCs w:val="24"/>
          <w:lang w:eastAsia="es-MX"/>
        </w:rPr>
        <w:t>(1), 193-217.</w:t>
      </w:r>
    </w:p>
    <w:p w14:paraId="2352751C" w14:textId="77777777" w:rsidR="001A3E86" w:rsidRPr="00900721" w:rsidRDefault="001A3E86" w:rsidP="001A3E86">
      <w:pPr>
        <w:pStyle w:val="NoSpacing"/>
        <w:numPr>
          <w:ilvl w:val="0"/>
          <w:numId w:val="3"/>
        </w:numPr>
        <w:spacing w:line="360" w:lineRule="auto"/>
        <w:jc w:val="both"/>
        <w:rPr>
          <w:rFonts w:ascii="Times New Roman" w:eastAsia="Times New Roman" w:hAnsi="Times New Roman" w:cs="Times New Roman"/>
          <w:sz w:val="24"/>
          <w:szCs w:val="24"/>
          <w:lang w:eastAsia="es-MX"/>
        </w:rPr>
      </w:pPr>
      <w:r w:rsidRPr="00CB3C99">
        <w:rPr>
          <w:rFonts w:ascii="Times New Roman" w:hAnsi="Times New Roman" w:cs="Times New Roman"/>
          <w:sz w:val="24"/>
          <w:szCs w:val="24"/>
          <w:lang w:eastAsia="es-MX"/>
        </w:rPr>
        <w:t>Winkelman</w:t>
      </w:r>
      <w:r w:rsidRPr="00900721">
        <w:rPr>
          <w:rFonts w:ascii="Times New Roman" w:eastAsia="Times New Roman" w:hAnsi="Times New Roman" w:cs="Times New Roman"/>
          <w:sz w:val="24"/>
          <w:szCs w:val="24"/>
          <w:lang w:eastAsia="es-MX"/>
        </w:rPr>
        <w:t xml:space="preserve">, M. (2006). Cross-cultural assessments of shamanismas a biogenetic foundation for religión. En McNamara, P. (Ed), </w:t>
      </w:r>
      <w:r w:rsidRPr="00900721">
        <w:rPr>
          <w:rFonts w:ascii="Times New Roman" w:eastAsia="Times New Roman" w:hAnsi="Times New Roman" w:cs="Times New Roman"/>
          <w:i/>
          <w:sz w:val="24"/>
          <w:szCs w:val="24"/>
          <w:lang w:eastAsia="es-MX"/>
        </w:rPr>
        <w:t xml:space="preserve">Where God and Science Meet. </w:t>
      </w:r>
      <w:r w:rsidRPr="00900721">
        <w:rPr>
          <w:rFonts w:ascii="Times New Roman" w:eastAsia="Times New Roman" w:hAnsi="Times New Roman" w:cs="Times New Roman"/>
          <w:sz w:val="24"/>
          <w:szCs w:val="24"/>
          <w:lang w:eastAsia="es-MX"/>
        </w:rPr>
        <w:t>Vol 3 (The Psychology of Religious Experience).</w:t>
      </w:r>
      <w:r w:rsidRPr="00900721">
        <w:rPr>
          <w:rFonts w:ascii="Times New Roman" w:hAnsi="Times New Roman" w:cs="Times New Roman"/>
          <w:sz w:val="24"/>
          <w:szCs w:val="24"/>
          <w:lang w:val="es-CR"/>
        </w:rPr>
        <w:fldChar w:fldCharType="begin"/>
      </w:r>
      <w:r w:rsidRPr="00900721">
        <w:rPr>
          <w:rFonts w:ascii="Times New Roman" w:hAnsi="Times New Roman" w:cs="Times New Roman"/>
          <w:sz w:val="24"/>
          <w:szCs w:val="24"/>
        </w:rPr>
        <w:instrText xml:space="preserve"> BIBLIOGRAPHY  \l 5130 </w:instrText>
      </w:r>
      <w:r w:rsidRPr="00900721">
        <w:rPr>
          <w:rFonts w:ascii="Times New Roman" w:hAnsi="Times New Roman" w:cs="Times New Roman"/>
          <w:sz w:val="24"/>
          <w:szCs w:val="24"/>
          <w:lang w:val="es-CR"/>
        </w:rPr>
        <w:fldChar w:fldCharType="separate"/>
      </w:r>
    </w:p>
    <w:p w14:paraId="2D636F31" w14:textId="77777777" w:rsidR="001A3E86" w:rsidRPr="00900721" w:rsidRDefault="001A3E86" w:rsidP="001A3E86">
      <w:pPr>
        <w:pStyle w:val="NoSpacing"/>
        <w:numPr>
          <w:ilvl w:val="0"/>
          <w:numId w:val="3"/>
        </w:numPr>
        <w:spacing w:line="360" w:lineRule="auto"/>
        <w:jc w:val="both"/>
        <w:rPr>
          <w:rFonts w:ascii="Times New Roman" w:hAnsi="Times New Roman" w:cs="Times New Roman"/>
          <w:noProof/>
          <w:sz w:val="24"/>
          <w:szCs w:val="24"/>
        </w:rPr>
      </w:pPr>
      <w:r w:rsidRPr="004F609D">
        <w:rPr>
          <w:rFonts w:ascii="Times New Roman" w:hAnsi="Times New Roman" w:cs="Times New Roman"/>
          <w:noProof/>
          <w:sz w:val="24"/>
          <w:szCs w:val="24"/>
          <w:lang w:val="es-CR"/>
        </w:rPr>
        <w:t xml:space="preserve">Vigil, J. M. (2005). </w:t>
      </w:r>
      <w:r w:rsidRPr="00AE6A9C">
        <w:rPr>
          <w:rFonts w:ascii="Times New Roman" w:hAnsi="Times New Roman" w:cs="Times New Roman"/>
          <w:sz w:val="24"/>
          <w:szCs w:val="24"/>
          <w:lang w:val="es-ES" w:eastAsia="es-MX"/>
        </w:rPr>
        <w:t>Crisis</w:t>
      </w:r>
      <w:r w:rsidRPr="004F609D">
        <w:rPr>
          <w:rFonts w:ascii="Times New Roman" w:hAnsi="Times New Roman" w:cs="Times New Roman"/>
          <w:noProof/>
          <w:sz w:val="24"/>
          <w:szCs w:val="24"/>
          <w:lang w:val="es-CR"/>
        </w:rPr>
        <w:t xml:space="preserve"> de la religión a partir del pluralismo religioso. En UNA, </w:t>
      </w:r>
      <w:r w:rsidRPr="004F609D">
        <w:rPr>
          <w:rFonts w:ascii="Times New Roman" w:hAnsi="Times New Roman" w:cs="Times New Roman"/>
          <w:i/>
          <w:iCs/>
          <w:noProof/>
          <w:sz w:val="24"/>
          <w:szCs w:val="24"/>
          <w:lang w:val="es-CR"/>
        </w:rPr>
        <w:t>Sociedades del conocimiento: Crisis de la religión y retos para la teología</w:t>
      </w:r>
      <w:r w:rsidRPr="004F609D">
        <w:rPr>
          <w:rFonts w:ascii="Times New Roman" w:hAnsi="Times New Roman" w:cs="Times New Roman"/>
          <w:noProof/>
          <w:sz w:val="24"/>
          <w:szCs w:val="24"/>
          <w:lang w:val="es-CR"/>
        </w:rPr>
        <w:t xml:space="preserve"> (pp. 65-72). </w:t>
      </w:r>
      <w:r w:rsidRPr="00900721">
        <w:rPr>
          <w:rFonts w:ascii="Times New Roman" w:hAnsi="Times New Roman" w:cs="Times New Roman"/>
          <w:noProof/>
          <w:sz w:val="24"/>
          <w:szCs w:val="24"/>
        </w:rPr>
        <w:t>Heredia: UNA.</w:t>
      </w:r>
    </w:p>
    <w:p w14:paraId="5AAD713B" w14:textId="77777777" w:rsidR="001A3E86" w:rsidRPr="00516101" w:rsidRDefault="001A3E86" w:rsidP="001A3E86">
      <w:pPr>
        <w:pStyle w:val="NoSpacing"/>
        <w:spacing w:line="360" w:lineRule="auto"/>
        <w:jc w:val="both"/>
      </w:pPr>
      <w:r w:rsidRPr="00900721">
        <w:rPr>
          <w:rFonts w:ascii="Times New Roman" w:hAnsi="Times New Roman" w:cs="Times New Roman"/>
          <w:sz w:val="24"/>
          <w:szCs w:val="24"/>
        </w:rPr>
        <w:fldChar w:fldCharType="end"/>
      </w:r>
    </w:p>
    <w:p w14:paraId="4ADDDABF" w14:textId="77777777" w:rsidR="001A3E86" w:rsidRPr="00516101" w:rsidRDefault="001A3E86" w:rsidP="001A3E86">
      <w:pPr>
        <w:autoSpaceDE w:val="0"/>
        <w:autoSpaceDN w:val="0"/>
        <w:adjustRightInd w:val="0"/>
        <w:spacing w:before="100" w:beforeAutospacing="1" w:after="100" w:afterAutospacing="1" w:line="360" w:lineRule="auto"/>
        <w:rPr>
          <w:rFonts w:ascii="Times New Roman" w:eastAsia="Times New Roman" w:hAnsi="Times New Roman" w:cs="Times New Roman"/>
          <w:b/>
          <w:sz w:val="24"/>
          <w:szCs w:val="24"/>
          <w:lang w:eastAsia="es-MX"/>
        </w:rPr>
      </w:pPr>
      <w:r w:rsidRPr="00516101">
        <w:rPr>
          <w:rFonts w:ascii="Times New Roman" w:eastAsia="Times New Roman" w:hAnsi="Times New Roman" w:cs="Times New Roman"/>
          <w:b/>
          <w:sz w:val="24"/>
          <w:szCs w:val="24"/>
          <w:lang w:eastAsia="es-MX"/>
        </w:rPr>
        <w:t>3. Tesis:</w:t>
      </w:r>
    </w:p>
    <w:p w14:paraId="3C1DA3F5" w14:textId="77777777" w:rsidR="001A3E86" w:rsidRPr="004F609D" w:rsidRDefault="001A3E86" w:rsidP="001A3E86">
      <w:pPr>
        <w:pStyle w:val="NoSpacing"/>
        <w:numPr>
          <w:ilvl w:val="0"/>
          <w:numId w:val="3"/>
        </w:numPr>
        <w:spacing w:line="360" w:lineRule="auto"/>
        <w:jc w:val="both"/>
        <w:rPr>
          <w:rFonts w:ascii="Times New Roman" w:hAnsi="Times New Roman" w:cs="Times New Roman"/>
          <w:sz w:val="24"/>
          <w:szCs w:val="24"/>
          <w:lang w:val="es-CR"/>
        </w:rPr>
      </w:pPr>
      <w:r w:rsidRPr="004F609D">
        <w:rPr>
          <w:rFonts w:ascii="Times New Roman" w:hAnsi="Times New Roman" w:cs="Times New Roman"/>
          <w:sz w:val="24"/>
          <w:szCs w:val="24"/>
          <w:lang w:val="es-CR"/>
        </w:rPr>
        <w:lastRenderedPageBreak/>
        <w:t xml:space="preserve">Tapia, </w:t>
      </w:r>
      <w:r w:rsidRPr="004F609D">
        <w:rPr>
          <w:rFonts w:ascii="Times New Roman" w:hAnsi="Times New Roman" w:cs="Times New Roman"/>
          <w:noProof/>
          <w:sz w:val="24"/>
          <w:szCs w:val="24"/>
          <w:lang w:val="es-CR"/>
        </w:rPr>
        <w:t>Napoleón</w:t>
      </w:r>
      <w:r w:rsidRPr="004F609D">
        <w:rPr>
          <w:rFonts w:ascii="Times New Roman" w:hAnsi="Times New Roman" w:cs="Times New Roman"/>
          <w:sz w:val="24"/>
          <w:szCs w:val="24"/>
          <w:lang w:val="es-CR"/>
        </w:rPr>
        <w:t xml:space="preserve"> (1993). </w:t>
      </w:r>
      <w:r w:rsidRPr="004F609D">
        <w:rPr>
          <w:rFonts w:ascii="Times New Roman" w:hAnsi="Times New Roman" w:cs="Times New Roman"/>
          <w:i/>
          <w:sz w:val="24"/>
          <w:szCs w:val="24"/>
          <w:lang w:val="es-CR"/>
        </w:rPr>
        <w:t>Psicología de la religión: aproximación teórico-reconstructiva a un modelo de investigación desde Costa Rica</w:t>
      </w:r>
      <w:r w:rsidRPr="004F609D">
        <w:rPr>
          <w:rFonts w:ascii="Times New Roman" w:hAnsi="Times New Roman" w:cs="Times New Roman"/>
          <w:sz w:val="24"/>
          <w:szCs w:val="24"/>
          <w:lang w:val="es-CR"/>
        </w:rPr>
        <w:t>. Tesis de licenciatura en psicología, Universidad de Costa Rica. INÉDITA.</w:t>
      </w:r>
    </w:p>
    <w:p w14:paraId="5827CE49" w14:textId="77777777" w:rsidR="001A3E86" w:rsidRPr="00516101" w:rsidRDefault="001A3E86" w:rsidP="001A3E86">
      <w:pPr>
        <w:autoSpaceDE w:val="0"/>
        <w:autoSpaceDN w:val="0"/>
        <w:adjustRightInd w:val="0"/>
        <w:spacing w:before="100" w:beforeAutospacing="1" w:after="100" w:afterAutospacing="1" w:line="360" w:lineRule="auto"/>
        <w:rPr>
          <w:rFonts w:ascii="Times New Roman" w:eastAsia="Times New Roman" w:hAnsi="Times New Roman" w:cs="Times New Roman"/>
          <w:b/>
          <w:sz w:val="24"/>
          <w:szCs w:val="24"/>
          <w:lang w:eastAsia="es-MX"/>
        </w:rPr>
      </w:pPr>
      <w:r w:rsidRPr="00516101">
        <w:rPr>
          <w:rFonts w:ascii="Times New Roman" w:eastAsia="Times New Roman" w:hAnsi="Times New Roman" w:cs="Times New Roman"/>
          <w:b/>
          <w:sz w:val="24"/>
          <w:szCs w:val="24"/>
          <w:lang w:eastAsia="es-MX"/>
        </w:rPr>
        <w:t>4. Sitios web:</w:t>
      </w:r>
    </w:p>
    <w:p w14:paraId="0A21B006" w14:textId="77777777" w:rsidR="001A3E86" w:rsidRDefault="001A3E86" w:rsidP="001A3E86">
      <w:pPr>
        <w:pStyle w:val="NoSpacing"/>
        <w:numPr>
          <w:ilvl w:val="0"/>
          <w:numId w:val="3"/>
        </w:numPr>
        <w:spacing w:line="360" w:lineRule="auto"/>
        <w:jc w:val="both"/>
        <w:rPr>
          <w:rFonts w:ascii="Times New Roman" w:hAnsi="Times New Roman" w:cs="Times New Roman"/>
          <w:noProof/>
          <w:sz w:val="24"/>
          <w:szCs w:val="24"/>
          <w:lang w:val="es-ES"/>
        </w:rPr>
      </w:pPr>
      <w:r w:rsidRPr="00AE6A9C">
        <w:rPr>
          <w:rFonts w:ascii="Times New Roman" w:hAnsi="Times New Roman" w:cs="Times New Roman"/>
          <w:noProof/>
          <w:sz w:val="24"/>
          <w:szCs w:val="24"/>
          <w:lang w:val="es-ES"/>
        </w:rPr>
        <w:t xml:space="preserve">Boff, L. (10 de </w:t>
      </w:r>
      <w:r w:rsidRPr="004F609D">
        <w:rPr>
          <w:rFonts w:ascii="Times New Roman" w:hAnsi="Times New Roman" w:cs="Times New Roman"/>
          <w:sz w:val="24"/>
          <w:szCs w:val="24"/>
          <w:lang w:val="es-CR"/>
        </w:rPr>
        <w:t>enero</w:t>
      </w:r>
      <w:r w:rsidRPr="00AE6A9C">
        <w:rPr>
          <w:rFonts w:ascii="Times New Roman" w:hAnsi="Times New Roman" w:cs="Times New Roman"/>
          <w:noProof/>
          <w:sz w:val="24"/>
          <w:szCs w:val="24"/>
          <w:lang w:val="es-ES"/>
        </w:rPr>
        <w:t xml:space="preserve"> de 2016). </w:t>
      </w:r>
      <w:r w:rsidRPr="00AE6A9C">
        <w:rPr>
          <w:rFonts w:ascii="Times New Roman" w:hAnsi="Times New Roman" w:cs="Times New Roman"/>
          <w:i/>
          <w:iCs/>
          <w:noProof/>
          <w:sz w:val="24"/>
          <w:szCs w:val="24"/>
          <w:lang w:val="es-ES"/>
        </w:rPr>
        <w:t>Declaração de Leonardo Boff sobre Fernando, Chico e a Doutrina do Santo Daime</w:t>
      </w:r>
      <w:r w:rsidRPr="00AE6A9C">
        <w:rPr>
          <w:rFonts w:ascii="Times New Roman" w:hAnsi="Times New Roman" w:cs="Times New Roman"/>
          <w:noProof/>
          <w:sz w:val="24"/>
          <w:szCs w:val="24"/>
          <w:lang w:val="es-ES"/>
        </w:rPr>
        <w:t>. Obtenido de Santo Daime: http://www.santodaime.org/site-antigo/fardados/espanha/esp9.htm</w:t>
      </w:r>
    </w:p>
    <w:p w14:paraId="496A8010" w14:textId="77777777" w:rsidR="001A3E86" w:rsidRPr="00AE6A9C" w:rsidRDefault="001A3E86" w:rsidP="001A3E86">
      <w:pPr>
        <w:pStyle w:val="NoSpacing"/>
        <w:numPr>
          <w:ilvl w:val="0"/>
          <w:numId w:val="3"/>
        </w:numPr>
        <w:spacing w:line="360" w:lineRule="auto"/>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Oliveros-</w:t>
      </w:r>
      <w:r w:rsidRPr="00C145DB">
        <w:rPr>
          <w:rFonts w:ascii="Times New Roman" w:hAnsi="Times New Roman" w:cs="Times New Roman"/>
          <w:noProof/>
          <w:sz w:val="24"/>
          <w:szCs w:val="24"/>
          <w:lang w:val="es-ES"/>
        </w:rPr>
        <w:t>Maqueo, R. (Diciembre de 1990). Historia Breve de la Teología de la Liberación (1962-1990). Publicado en papel en “Mysterium Liberationis”, UCA, San Salvador 1991, vol. I, pp. 17-50 . Recuperado el 12 de Octubre de 2012, de Servicios de Koinonía: http://servicioskoinonia.org/relat/300.htm#_ftn1</w:t>
      </w:r>
    </w:p>
    <w:p w14:paraId="15BFD442" w14:textId="77777777" w:rsidR="001A3E86" w:rsidRPr="004F609D" w:rsidRDefault="001A3E86" w:rsidP="001A3E86">
      <w:pPr>
        <w:pStyle w:val="NoSpacing"/>
        <w:numPr>
          <w:ilvl w:val="0"/>
          <w:numId w:val="3"/>
        </w:numPr>
        <w:spacing w:line="360" w:lineRule="auto"/>
        <w:jc w:val="both"/>
        <w:rPr>
          <w:rFonts w:ascii="Times New Roman" w:hAnsi="Times New Roman" w:cs="Times New Roman"/>
          <w:noProof/>
          <w:sz w:val="24"/>
          <w:szCs w:val="24"/>
          <w:lang w:val="es-CR"/>
        </w:rPr>
      </w:pPr>
      <w:r w:rsidRPr="00180D78">
        <w:rPr>
          <w:rFonts w:ascii="Times New Roman" w:hAnsi="Times New Roman" w:cs="Times New Roman"/>
          <w:sz w:val="24"/>
          <w:szCs w:val="24"/>
        </w:rPr>
        <w:fldChar w:fldCharType="begin"/>
      </w:r>
      <w:r w:rsidRPr="004F609D">
        <w:rPr>
          <w:rFonts w:ascii="Times New Roman" w:hAnsi="Times New Roman" w:cs="Times New Roman"/>
          <w:sz w:val="24"/>
          <w:szCs w:val="24"/>
          <w:lang w:val="es-CR"/>
        </w:rPr>
        <w:instrText xml:space="preserve"> BIBLIOGRAPHY  \l 22538 </w:instrText>
      </w:r>
      <w:r w:rsidRPr="00180D78">
        <w:rPr>
          <w:rFonts w:ascii="Times New Roman" w:hAnsi="Times New Roman" w:cs="Times New Roman"/>
          <w:sz w:val="24"/>
          <w:szCs w:val="24"/>
        </w:rPr>
        <w:fldChar w:fldCharType="separate"/>
      </w:r>
      <w:r w:rsidRPr="004F609D">
        <w:rPr>
          <w:rFonts w:ascii="Times New Roman" w:hAnsi="Times New Roman" w:cs="Times New Roman"/>
          <w:noProof/>
          <w:sz w:val="24"/>
          <w:szCs w:val="24"/>
          <w:lang w:val="es-CR"/>
        </w:rPr>
        <w:t>Quirce-</w:t>
      </w:r>
      <w:r w:rsidRPr="00AE6A9C">
        <w:rPr>
          <w:rFonts w:ascii="Times New Roman" w:hAnsi="Times New Roman" w:cs="Times New Roman"/>
          <w:noProof/>
          <w:sz w:val="24"/>
          <w:szCs w:val="24"/>
          <w:lang w:val="es-ES"/>
        </w:rPr>
        <w:t>Balma</w:t>
      </w:r>
      <w:r w:rsidRPr="004F609D">
        <w:rPr>
          <w:rFonts w:ascii="Times New Roman" w:hAnsi="Times New Roman" w:cs="Times New Roman"/>
          <w:noProof/>
          <w:sz w:val="24"/>
          <w:szCs w:val="24"/>
          <w:lang w:val="es-CR"/>
        </w:rPr>
        <w:t xml:space="preserve">, C. (2 de Agosto de 2011). </w:t>
      </w:r>
      <w:r w:rsidRPr="004F609D">
        <w:rPr>
          <w:rFonts w:ascii="Times New Roman" w:hAnsi="Times New Roman" w:cs="Times New Roman"/>
          <w:i/>
          <w:iCs/>
          <w:noProof/>
          <w:sz w:val="24"/>
          <w:szCs w:val="24"/>
          <w:lang w:val="es-CR"/>
        </w:rPr>
        <w:t>Milieu Teológico</w:t>
      </w:r>
      <w:r w:rsidRPr="004F609D">
        <w:rPr>
          <w:rFonts w:ascii="Times New Roman" w:hAnsi="Times New Roman" w:cs="Times New Roman"/>
          <w:noProof/>
          <w:sz w:val="24"/>
          <w:szCs w:val="24"/>
          <w:lang w:val="es-CR"/>
        </w:rPr>
        <w:t>. Obtenido de Semanario Universidad: http://semanariouniversidad.ucr.cr/opinion/el-milieu-teolgico/</w:t>
      </w:r>
    </w:p>
    <w:p w14:paraId="7B3EB7C6" w14:textId="77777777" w:rsidR="001A3E86" w:rsidRPr="004F609D" w:rsidRDefault="001A3E86" w:rsidP="001A3E86">
      <w:pPr>
        <w:pStyle w:val="NoSpacing"/>
        <w:numPr>
          <w:ilvl w:val="0"/>
          <w:numId w:val="3"/>
        </w:numPr>
        <w:spacing w:line="360" w:lineRule="auto"/>
        <w:jc w:val="both"/>
        <w:rPr>
          <w:rFonts w:ascii="Times New Roman" w:hAnsi="Times New Roman" w:cs="Times New Roman"/>
          <w:iCs/>
          <w:noProof/>
          <w:sz w:val="24"/>
          <w:szCs w:val="24"/>
          <w:lang w:val="es-CR"/>
        </w:rPr>
      </w:pPr>
      <w:r w:rsidRPr="00180D78">
        <w:rPr>
          <w:rFonts w:ascii="Times New Roman" w:hAnsi="Times New Roman" w:cs="Times New Roman"/>
          <w:sz w:val="24"/>
          <w:szCs w:val="24"/>
        </w:rPr>
        <w:fldChar w:fldCharType="end"/>
      </w:r>
      <w:r w:rsidRPr="004F609D">
        <w:rPr>
          <w:rFonts w:ascii="Times New Roman" w:hAnsi="Times New Roman" w:cs="Times New Roman"/>
          <w:iCs/>
          <w:noProof/>
          <w:sz w:val="24"/>
          <w:szCs w:val="24"/>
          <w:lang w:val="es-CR"/>
        </w:rPr>
        <w:t xml:space="preserve">Vargas </w:t>
      </w:r>
      <w:r w:rsidRPr="004F609D">
        <w:rPr>
          <w:rFonts w:ascii="Times New Roman" w:hAnsi="Times New Roman" w:cs="Times New Roman"/>
          <w:noProof/>
          <w:sz w:val="24"/>
          <w:szCs w:val="24"/>
          <w:lang w:val="es-CR"/>
        </w:rPr>
        <w:t>Carranza</w:t>
      </w:r>
      <w:r w:rsidRPr="004F609D">
        <w:rPr>
          <w:rFonts w:ascii="Times New Roman" w:hAnsi="Times New Roman" w:cs="Times New Roman"/>
          <w:iCs/>
          <w:noProof/>
          <w:sz w:val="24"/>
          <w:szCs w:val="24"/>
          <w:lang w:val="es-CR"/>
        </w:rPr>
        <w:t xml:space="preserve">, A. (2013). </w:t>
      </w:r>
      <w:r w:rsidRPr="004F609D">
        <w:rPr>
          <w:rFonts w:ascii="Times New Roman" w:hAnsi="Times New Roman" w:cs="Times New Roman"/>
          <w:i/>
          <w:iCs/>
          <w:noProof/>
          <w:sz w:val="24"/>
          <w:szCs w:val="24"/>
          <w:lang w:val="es-CR"/>
        </w:rPr>
        <w:t>Los aportes de la pneumociencia de Teilhard de Chardin y de Quirce-Balma para el actual problema de desespiritualización vivido en Occidente</w:t>
      </w:r>
      <w:r w:rsidRPr="004F609D">
        <w:rPr>
          <w:rFonts w:ascii="Times New Roman" w:hAnsi="Times New Roman" w:cs="Times New Roman"/>
          <w:iCs/>
          <w:noProof/>
          <w:sz w:val="24"/>
          <w:szCs w:val="24"/>
          <w:lang w:val="es-CR"/>
        </w:rPr>
        <w:t>. </w:t>
      </w:r>
      <w:r w:rsidRPr="004F609D">
        <w:rPr>
          <w:rFonts w:ascii="Times New Roman" w:hAnsi="Times New Roman" w:cs="Times New Roman"/>
          <w:noProof/>
          <w:sz w:val="24"/>
          <w:szCs w:val="24"/>
          <w:lang w:val="es-CR"/>
        </w:rPr>
        <w:t>Revista Espiga, 11</w:t>
      </w:r>
      <w:r w:rsidRPr="004F609D">
        <w:rPr>
          <w:rFonts w:ascii="Times New Roman" w:hAnsi="Times New Roman" w:cs="Times New Roman"/>
          <w:iCs/>
          <w:noProof/>
          <w:sz w:val="24"/>
          <w:szCs w:val="24"/>
          <w:lang w:val="es-CR"/>
        </w:rPr>
        <w:t>(25), 79-96. Recuperado de </w:t>
      </w:r>
      <w:r w:rsidR="00966ED5">
        <w:fldChar w:fldCharType="begin"/>
      </w:r>
      <w:r w:rsidR="00966ED5">
        <w:instrText xml:space="preserve"> HYPERLINK "http://investiga.uned.ac.cr/revistas/index.php/espiga/article/view/971" \t "_new" </w:instrText>
      </w:r>
      <w:r w:rsidR="00966ED5">
        <w:fldChar w:fldCharType="separate"/>
      </w:r>
      <w:r w:rsidRPr="004F609D">
        <w:rPr>
          <w:rFonts w:ascii="Times New Roman" w:hAnsi="Times New Roman" w:cs="Times New Roman"/>
          <w:iCs/>
          <w:noProof/>
          <w:sz w:val="24"/>
          <w:szCs w:val="24"/>
          <w:lang w:val="es-CR"/>
        </w:rPr>
        <w:t>http://investiga.uned.ac.cr/revistas/index.php/espiga/article/view/971</w:t>
      </w:r>
      <w:r w:rsidR="00966ED5">
        <w:rPr>
          <w:rFonts w:ascii="Times New Roman" w:hAnsi="Times New Roman" w:cs="Times New Roman"/>
          <w:iCs/>
          <w:noProof/>
          <w:sz w:val="24"/>
          <w:szCs w:val="24"/>
          <w:lang w:val="es-CR"/>
        </w:rPr>
        <w:fldChar w:fldCharType="end"/>
      </w:r>
    </w:p>
    <w:p w14:paraId="301D11EE" w14:textId="77777777" w:rsidR="001A3E86" w:rsidRPr="00516101" w:rsidRDefault="001A3E86" w:rsidP="001A3E86">
      <w:pPr>
        <w:autoSpaceDE w:val="0"/>
        <w:autoSpaceDN w:val="0"/>
        <w:adjustRightInd w:val="0"/>
        <w:spacing w:before="100" w:beforeAutospacing="1" w:after="100" w:afterAutospacing="1" w:line="360" w:lineRule="auto"/>
        <w:jc w:val="both"/>
        <w:rPr>
          <w:rFonts w:ascii="Times New Roman" w:eastAsia="Times New Roman" w:hAnsi="Times New Roman" w:cs="Times New Roman"/>
          <w:b/>
          <w:sz w:val="24"/>
          <w:szCs w:val="24"/>
          <w:lang w:eastAsia="es-MX"/>
        </w:rPr>
      </w:pPr>
      <w:r w:rsidRPr="00516101">
        <w:rPr>
          <w:rFonts w:ascii="Times New Roman" w:eastAsia="Times New Roman" w:hAnsi="Times New Roman" w:cs="Times New Roman"/>
          <w:b/>
          <w:sz w:val="24"/>
          <w:szCs w:val="24"/>
          <w:lang w:eastAsia="es-MX"/>
        </w:rPr>
        <w:t>5</w:t>
      </w:r>
      <w:r>
        <w:rPr>
          <w:rFonts w:ascii="Times New Roman" w:eastAsia="Times New Roman" w:hAnsi="Times New Roman" w:cs="Times New Roman"/>
          <w:b/>
          <w:sz w:val="24"/>
          <w:szCs w:val="24"/>
          <w:lang w:eastAsia="es-MX"/>
        </w:rPr>
        <w:t>. Vi</w:t>
      </w:r>
      <w:r w:rsidRPr="00516101">
        <w:rPr>
          <w:rFonts w:ascii="Times New Roman" w:eastAsia="Times New Roman" w:hAnsi="Times New Roman" w:cs="Times New Roman"/>
          <w:b/>
          <w:sz w:val="24"/>
          <w:szCs w:val="24"/>
          <w:lang w:eastAsia="es-MX"/>
        </w:rPr>
        <w:t>deo:</w:t>
      </w:r>
    </w:p>
    <w:p w14:paraId="6645999F" w14:textId="77777777" w:rsidR="001A3E86" w:rsidRPr="008B7B42" w:rsidRDefault="001A3E86" w:rsidP="001A3E86">
      <w:pPr>
        <w:pStyle w:val="NoSpacing"/>
        <w:numPr>
          <w:ilvl w:val="0"/>
          <w:numId w:val="3"/>
        </w:numPr>
        <w:spacing w:line="360" w:lineRule="auto"/>
        <w:jc w:val="both"/>
        <w:rPr>
          <w:rFonts w:ascii="Times New Roman" w:hAnsi="Times New Roman" w:cs="Times New Roman"/>
          <w:noProof/>
          <w:sz w:val="24"/>
          <w:szCs w:val="24"/>
          <w:lang w:val="es-ES"/>
        </w:rPr>
      </w:pPr>
      <w:r w:rsidRPr="004F609D">
        <w:rPr>
          <w:rFonts w:ascii="Times New Roman" w:hAnsi="Times New Roman" w:cs="Times New Roman"/>
          <w:iCs/>
          <w:noProof/>
          <w:sz w:val="24"/>
          <w:szCs w:val="24"/>
          <w:lang w:val="es-CR"/>
        </w:rPr>
        <w:t>Guerin</w:t>
      </w:r>
      <w:r>
        <w:rPr>
          <w:rFonts w:ascii="Times New Roman" w:hAnsi="Times New Roman" w:cs="Times New Roman"/>
          <w:noProof/>
          <w:sz w:val="24"/>
          <w:szCs w:val="24"/>
          <w:lang w:val="es-ES"/>
        </w:rPr>
        <w:t xml:space="preserve">, G.P. </w:t>
      </w:r>
      <w:r w:rsidRPr="008B7B42">
        <w:rPr>
          <w:rFonts w:ascii="Times New Roman" w:hAnsi="Times New Roman" w:cs="Times New Roman"/>
          <w:noProof/>
          <w:sz w:val="24"/>
          <w:szCs w:val="24"/>
          <w:lang w:val="es-ES"/>
        </w:rPr>
        <w:t>&amp; de Sedouy (Productores), &amp; Roumette, S. (Director). (1993). Plantas y hombres. Una historia de los medicamentos. El trigo cornudo [DVD]. Francia: GMT Productions.</w:t>
      </w:r>
    </w:p>
    <w:p w14:paraId="17235184" w14:textId="77777777" w:rsidR="001A3E86" w:rsidRPr="004F609D" w:rsidRDefault="001A3E86" w:rsidP="001A3E86">
      <w:pPr>
        <w:pStyle w:val="BodyText"/>
        <w:spacing w:after="0" w:line="360" w:lineRule="auto"/>
        <w:jc w:val="both"/>
        <w:rPr>
          <w:rFonts w:ascii="Arial" w:hAnsi="Arial" w:cs="Arial"/>
          <w:sz w:val="24"/>
          <w:szCs w:val="24"/>
          <w:lang w:val="es-CR"/>
        </w:rPr>
      </w:pPr>
    </w:p>
    <w:p w14:paraId="40FAE5E2" w14:textId="77777777" w:rsidR="001A3E86" w:rsidRPr="004F609D" w:rsidRDefault="001A3E86" w:rsidP="001A3E86">
      <w:pPr>
        <w:pStyle w:val="BodyText"/>
        <w:spacing w:after="0" w:line="360" w:lineRule="auto"/>
        <w:ind w:firstLine="720"/>
        <w:jc w:val="both"/>
        <w:rPr>
          <w:rFonts w:ascii="Arial" w:hAnsi="Arial" w:cs="Arial"/>
          <w:sz w:val="24"/>
          <w:szCs w:val="24"/>
          <w:lang w:val="es-CR"/>
        </w:rPr>
      </w:pPr>
    </w:p>
    <w:p w14:paraId="7451DA07" w14:textId="77777777" w:rsidR="001A3E86" w:rsidRPr="004F609D" w:rsidRDefault="001A3E86" w:rsidP="001A3E86">
      <w:pPr>
        <w:pStyle w:val="BodyText"/>
        <w:spacing w:after="0" w:line="360" w:lineRule="auto"/>
        <w:ind w:firstLine="720"/>
        <w:jc w:val="both"/>
        <w:rPr>
          <w:rFonts w:ascii="Arial" w:hAnsi="Arial" w:cs="Arial"/>
          <w:sz w:val="24"/>
          <w:szCs w:val="24"/>
          <w:lang w:val="es-CR"/>
        </w:rPr>
      </w:pPr>
    </w:p>
    <w:p w14:paraId="032630F6" w14:textId="77777777" w:rsidR="001A3E86" w:rsidRPr="004F609D" w:rsidRDefault="001A3E86" w:rsidP="001A3E86">
      <w:pPr>
        <w:pStyle w:val="BodyText"/>
        <w:spacing w:after="0" w:line="360" w:lineRule="auto"/>
        <w:jc w:val="both"/>
        <w:rPr>
          <w:rFonts w:ascii="Arial" w:hAnsi="Arial" w:cs="Arial"/>
          <w:sz w:val="24"/>
          <w:szCs w:val="24"/>
          <w:lang w:val="es-CR"/>
        </w:rPr>
      </w:pPr>
    </w:p>
    <w:p w14:paraId="6B310EED" w14:textId="77777777" w:rsidR="001A3E86" w:rsidRDefault="001A3E86" w:rsidP="001A3E86">
      <w:pPr>
        <w:pStyle w:val="Heading1"/>
        <w:jc w:val="left"/>
      </w:pPr>
    </w:p>
    <w:p w14:paraId="541697D4" w14:textId="77777777" w:rsidR="001A3E86" w:rsidRDefault="001A3E86" w:rsidP="001A3E86">
      <w:pPr>
        <w:pStyle w:val="Heading1"/>
      </w:pPr>
    </w:p>
    <w:p w14:paraId="01CB88FF" w14:textId="77777777" w:rsidR="001A3E86" w:rsidRDefault="001A3E86" w:rsidP="001A3E86">
      <w:pPr>
        <w:pStyle w:val="Heading1"/>
      </w:pPr>
    </w:p>
    <w:p w14:paraId="78533E1A" w14:textId="77777777" w:rsidR="001A3E86" w:rsidRDefault="001A3E86" w:rsidP="001A3E86">
      <w:pPr>
        <w:pStyle w:val="Heading1"/>
      </w:pPr>
    </w:p>
    <w:p w14:paraId="2C8276BE" w14:textId="77777777" w:rsidR="001A3E86" w:rsidRDefault="001A3E86" w:rsidP="001A3E86">
      <w:pPr>
        <w:pStyle w:val="Heading1"/>
      </w:pPr>
    </w:p>
    <w:p w14:paraId="241214D7" w14:textId="77777777" w:rsidR="001A3E86" w:rsidRDefault="001A3E86" w:rsidP="001A3E86">
      <w:pPr>
        <w:pStyle w:val="Heading1"/>
      </w:pPr>
    </w:p>
    <w:p w14:paraId="64B65053" w14:textId="77777777" w:rsidR="001A3E86" w:rsidRDefault="001A3E86" w:rsidP="001A3E86">
      <w:pPr>
        <w:pStyle w:val="Heading1"/>
        <w:jc w:val="left"/>
      </w:pPr>
    </w:p>
    <w:p w14:paraId="41346049" w14:textId="77777777" w:rsidR="001A3E86" w:rsidRDefault="001A3E86" w:rsidP="001A3E86">
      <w:pPr>
        <w:rPr>
          <w:lang w:val="es-ES"/>
        </w:rPr>
      </w:pPr>
    </w:p>
    <w:p w14:paraId="115EAC16" w14:textId="77777777" w:rsidR="001A3E86" w:rsidRDefault="001A3E86" w:rsidP="001A3E86">
      <w:pPr>
        <w:rPr>
          <w:lang w:val="es-ES"/>
        </w:rPr>
      </w:pPr>
    </w:p>
    <w:p w14:paraId="77FC7A1E" w14:textId="77777777" w:rsidR="001A3E86" w:rsidRDefault="001A3E86" w:rsidP="001A3E86">
      <w:pPr>
        <w:rPr>
          <w:lang w:val="es-ES"/>
        </w:rPr>
      </w:pPr>
    </w:p>
    <w:p w14:paraId="2BE5BE98" w14:textId="77777777" w:rsidR="001A3E86" w:rsidRDefault="001A3E86" w:rsidP="001A3E86">
      <w:pPr>
        <w:rPr>
          <w:lang w:val="es-ES"/>
        </w:rPr>
      </w:pPr>
    </w:p>
    <w:p w14:paraId="27CDA410" w14:textId="77777777" w:rsidR="001A3E86" w:rsidRDefault="001A3E86" w:rsidP="001A3E86">
      <w:pPr>
        <w:rPr>
          <w:lang w:val="es-ES"/>
        </w:rPr>
      </w:pPr>
    </w:p>
    <w:p w14:paraId="171BC14C" w14:textId="77777777" w:rsidR="001A3E86" w:rsidRDefault="001A3E86" w:rsidP="001A3E86">
      <w:pPr>
        <w:rPr>
          <w:lang w:val="es-ES"/>
        </w:rPr>
      </w:pPr>
    </w:p>
    <w:p w14:paraId="1ED33F07" w14:textId="77777777" w:rsidR="001A3E86" w:rsidRDefault="001A3E86" w:rsidP="001A3E86">
      <w:pPr>
        <w:rPr>
          <w:lang w:val="es-ES"/>
        </w:rPr>
      </w:pPr>
    </w:p>
    <w:p w14:paraId="2925AEC9" w14:textId="77777777" w:rsidR="001A3E86" w:rsidRDefault="001A3E86" w:rsidP="001A3E86">
      <w:pPr>
        <w:rPr>
          <w:lang w:val="es-ES"/>
        </w:rPr>
      </w:pPr>
    </w:p>
    <w:p w14:paraId="25AF1430" w14:textId="77777777" w:rsidR="001A3E86" w:rsidRPr="004663E9" w:rsidRDefault="001A3E86" w:rsidP="001A3E86">
      <w:pPr>
        <w:rPr>
          <w:lang w:val="es-ES"/>
        </w:rPr>
      </w:pPr>
    </w:p>
    <w:p w14:paraId="48A62DA2" w14:textId="77777777" w:rsidR="001A3E86" w:rsidRDefault="001A3E86" w:rsidP="001A3E86">
      <w:pPr>
        <w:pStyle w:val="Heading1"/>
        <w:rPr>
          <w:rFonts w:ascii="Times New Roman" w:hAnsi="Times New Roman"/>
          <w:sz w:val="24"/>
          <w:szCs w:val="24"/>
        </w:rPr>
      </w:pPr>
      <w:bookmarkStart w:id="46" w:name="_Toc474090246"/>
    </w:p>
    <w:p w14:paraId="2A318289" w14:textId="77777777" w:rsidR="001A3E86" w:rsidRDefault="001A3E86" w:rsidP="001A3E86">
      <w:pPr>
        <w:pStyle w:val="Heading1"/>
        <w:rPr>
          <w:rFonts w:ascii="Times New Roman" w:hAnsi="Times New Roman"/>
          <w:sz w:val="24"/>
          <w:szCs w:val="24"/>
        </w:rPr>
      </w:pPr>
    </w:p>
    <w:p w14:paraId="48697DB6" w14:textId="77777777" w:rsidR="001A3E86" w:rsidRDefault="001A3E86" w:rsidP="001A3E86">
      <w:pPr>
        <w:pStyle w:val="Heading1"/>
        <w:rPr>
          <w:rFonts w:ascii="Times New Roman" w:hAnsi="Times New Roman"/>
          <w:sz w:val="24"/>
          <w:szCs w:val="24"/>
        </w:rPr>
      </w:pPr>
    </w:p>
    <w:p w14:paraId="120894F3" w14:textId="77777777" w:rsidR="001A3E86" w:rsidRDefault="001A3E86" w:rsidP="001A3E86">
      <w:pPr>
        <w:pStyle w:val="Heading1"/>
        <w:rPr>
          <w:rFonts w:ascii="Times New Roman" w:hAnsi="Times New Roman"/>
          <w:sz w:val="24"/>
          <w:szCs w:val="24"/>
        </w:rPr>
      </w:pPr>
    </w:p>
    <w:p w14:paraId="6E46DBFB" w14:textId="77777777" w:rsidR="001A3E86" w:rsidRDefault="001A3E86" w:rsidP="001A3E86">
      <w:pPr>
        <w:pStyle w:val="Heading1"/>
        <w:rPr>
          <w:rFonts w:ascii="Times New Roman" w:hAnsi="Times New Roman"/>
          <w:sz w:val="24"/>
          <w:szCs w:val="24"/>
        </w:rPr>
      </w:pPr>
    </w:p>
    <w:p w14:paraId="2F7224BF" w14:textId="77777777" w:rsidR="001A3E86" w:rsidRDefault="001A3E86" w:rsidP="001A3E86">
      <w:pPr>
        <w:pStyle w:val="Heading1"/>
        <w:rPr>
          <w:rFonts w:ascii="Times New Roman" w:hAnsi="Times New Roman"/>
          <w:sz w:val="24"/>
          <w:szCs w:val="24"/>
        </w:rPr>
      </w:pPr>
    </w:p>
    <w:p w14:paraId="48F870E7" w14:textId="77777777" w:rsidR="001A3E86" w:rsidRDefault="001A3E86" w:rsidP="001A3E86">
      <w:pPr>
        <w:pStyle w:val="Heading1"/>
        <w:rPr>
          <w:rFonts w:ascii="Times New Roman" w:hAnsi="Times New Roman"/>
          <w:sz w:val="24"/>
          <w:szCs w:val="24"/>
        </w:rPr>
      </w:pPr>
    </w:p>
    <w:p w14:paraId="7E102CA0" w14:textId="77777777" w:rsidR="001A3E86" w:rsidRPr="008B7B42" w:rsidRDefault="001A3E86" w:rsidP="001A3E86">
      <w:pPr>
        <w:pStyle w:val="Heading1"/>
        <w:rPr>
          <w:rFonts w:ascii="Times New Roman" w:hAnsi="Times New Roman"/>
          <w:sz w:val="24"/>
          <w:szCs w:val="24"/>
        </w:rPr>
      </w:pPr>
      <w:r w:rsidRPr="008B7B42">
        <w:rPr>
          <w:rFonts w:ascii="Times New Roman" w:hAnsi="Times New Roman"/>
          <w:sz w:val="24"/>
          <w:szCs w:val="24"/>
        </w:rPr>
        <w:t>Anexo</w:t>
      </w:r>
      <w:bookmarkEnd w:id="46"/>
    </w:p>
    <w:p w14:paraId="4D8CE6BE" w14:textId="77777777" w:rsidR="001A3E86" w:rsidRPr="00AF4BEE" w:rsidRDefault="001A3E86" w:rsidP="001A3E86">
      <w:pPr>
        <w:spacing w:after="0"/>
        <w:ind w:left="-1440" w:right="10464"/>
        <w:rPr>
          <w:lang w:val="es-ES"/>
        </w:rPr>
      </w:pPr>
      <w:r>
        <w:rPr>
          <w:noProof/>
        </w:rPr>
        <w:lastRenderedPageBreak/>
        <w:drawing>
          <wp:anchor distT="0" distB="0" distL="114300" distR="114300" simplePos="0" relativeHeight="251666432" behindDoc="0" locked="0" layoutInCell="1" allowOverlap="0" wp14:anchorId="526CE678" wp14:editId="36D277D0">
            <wp:simplePos x="0" y="0"/>
            <wp:positionH relativeFrom="page">
              <wp:posOffset>0</wp:posOffset>
            </wp:positionH>
            <wp:positionV relativeFrom="page">
              <wp:posOffset>0</wp:posOffset>
            </wp:positionV>
            <wp:extent cx="7559040" cy="10689336"/>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stretch>
                      <a:fillRect/>
                    </a:stretch>
                  </pic:blipFill>
                  <pic:spPr>
                    <a:xfrm>
                      <a:off x="0" y="0"/>
                      <a:ext cx="7559040" cy="10689336"/>
                    </a:xfrm>
                    <a:prstGeom prst="rect">
                      <a:avLst/>
                    </a:prstGeom>
                  </pic:spPr>
                </pic:pic>
              </a:graphicData>
            </a:graphic>
          </wp:anchor>
        </w:drawing>
      </w:r>
      <w:r w:rsidRPr="00AF4BEE">
        <w:rPr>
          <w:lang w:val="es-ES"/>
        </w:rPr>
        <w:br w:type="page"/>
      </w:r>
    </w:p>
    <w:p w14:paraId="317CE12A" w14:textId="77777777" w:rsidR="001A3E86" w:rsidRPr="00AF4BEE" w:rsidRDefault="001A3E86" w:rsidP="001A3E86">
      <w:pPr>
        <w:spacing w:after="0"/>
        <w:ind w:left="-1440" w:right="10464"/>
        <w:rPr>
          <w:lang w:val="es-ES"/>
        </w:rPr>
      </w:pPr>
      <w:r>
        <w:rPr>
          <w:noProof/>
        </w:rPr>
        <w:lastRenderedPageBreak/>
        <w:drawing>
          <wp:anchor distT="0" distB="0" distL="114300" distR="114300" simplePos="0" relativeHeight="251667456" behindDoc="0" locked="0" layoutInCell="1" allowOverlap="0" wp14:anchorId="434B47D2" wp14:editId="3A0F144A">
            <wp:simplePos x="0" y="0"/>
            <wp:positionH relativeFrom="page">
              <wp:posOffset>0</wp:posOffset>
            </wp:positionH>
            <wp:positionV relativeFrom="page">
              <wp:posOffset>0</wp:posOffset>
            </wp:positionV>
            <wp:extent cx="7559040" cy="10689336"/>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cstate="print"/>
                    <a:stretch>
                      <a:fillRect/>
                    </a:stretch>
                  </pic:blipFill>
                  <pic:spPr>
                    <a:xfrm>
                      <a:off x="0" y="0"/>
                      <a:ext cx="7559040" cy="10689336"/>
                    </a:xfrm>
                    <a:prstGeom prst="rect">
                      <a:avLst/>
                    </a:prstGeom>
                  </pic:spPr>
                </pic:pic>
              </a:graphicData>
            </a:graphic>
          </wp:anchor>
        </w:drawing>
      </w:r>
      <w:r w:rsidRPr="00AF4BEE">
        <w:rPr>
          <w:lang w:val="es-ES"/>
        </w:rPr>
        <w:br w:type="page"/>
      </w:r>
    </w:p>
    <w:p w14:paraId="1ED6CF71" w14:textId="77777777" w:rsidR="001A3E86" w:rsidRPr="00AF4BEE" w:rsidRDefault="001A3E86" w:rsidP="001A3E86">
      <w:pPr>
        <w:spacing w:after="0"/>
        <w:ind w:left="-1440" w:right="10464"/>
        <w:rPr>
          <w:lang w:val="es-ES"/>
        </w:rPr>
      </w:pPr>
      <w:r>
        <w:rPr>
          <w:noProof/>
        </w:rPr>
        <w:lastRenderedPageBreak/>
        <w:drawing>
          <wp:anchor distT="0" distB="0" distL="114300" distR="114300" simplePos="0" relativeHeight="251668480" behindDoc="0" locked="0" layoutInCell="1" allowOverlap="0" wp14:anchorId="6F8A1BEB" wp14:editId="205DF9B0">
            <wp:simplePos x="0" y="0"/>
            <wp:positionH relativeFrom="page">
              <wp:posOffset>0</wp:posOffset>
            </wp:positionH>
            <wp:positionV relativeFrom="page">
              <wp:posOffset>0</wp:posOffset>
            </wp:positionV>
            <wp:extent cx="7559040" cy="10689336"/>
            <wp:effectExtent l="0" t="0" r="0" b="0"/>
            <wp:wrapTopAndBottom/>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9" cstate="print"/>
                    <a:stretch>
                      <a:fillRect/>
                    </a:stretch>
                  </pic:blipFill>
                  <pic:spPr>
                    <a:xfrm>
                      <a:off x="0" y="0"/>
                      <a:ext cx="7559040" cy="10689336"/>
                    </a:xfrm>
                    <a:prstGeom prst="rect">
                      <a:avLst/>
                    </a:prstGeom>
                  </pic:spPr>
                </pic:pic>
              </a:graphicData>
            </a:graphic>
          </wp:anchor>
        </w:drawing>
      </w:r>
      <w:r w:rsidRPr="00AF4BEE">
        <w:rPr>
          <w:lang w:val="es-ES"/>
        </w:rPr>
        <w:br w:type="page"/>
      </w:r>
    </w:p>
    <w:p w14:paraId="31E0EAF5" w14:textId="77777777" w:rsidR="001A3E86" w:rsidRPr="00AF4BEE" w:rsidRDefault="001A3E86" w:rsidP="001A3E86">
      <w:pPr>
        <w:spacing w:after="0"/>
        <w:ind w:left="-1440" w:right="10464"/>
        <w:rPr>
          <w:lang w:val="es-ES"/>
        </w:rPr>
      </w:pPr>
      <w:r>
        <w:rPr>
          <w:noProof/>
        </w:rPr>
        <w:lastRenderedPageBreak/>
        <w:drawing>
          <wp:anchor distT="0" distB="0" distL="114300" distR="114300" simplePos="0" relativeHeight="251674624" behindDoc="0" locked="0" layoutInCell="1" allowOverlap="0" wp14:anchorId="50409D64" wp14:editId="59E2F7F8">
            <wp:simplePos x="0" y="0"/>
            <wp:positionH relativeFrom="page">
              <wp:posOffset>0</wp:posOffset>
            </wp:positionH>
            <wp:positionV relativeFrom="page">
              <wp:posOffset>61056164</wp:posOffset>
            </wp:positionV>
            <wp:extent cx="7559040" cy="10688955"/>
            <wp:effectExtent l="0" t="0" r="3810" b="0"/>
            <wp:wrapTopAndBottom/>
            <wp:docPr id="5239" name="Picture 5239"/>
            <wp:cNvGraphicFramePr/>
            <a:graphic xmlns:a="http://schemas.openxmlformats.org/drawingml/2006/main">
              <a:graphicData uri="http://schemas.openxmlformats.org/drawingml/2006/picture">
                <pic:pic xmlns:pic="http://schemas.openxmlformats.org/drawingml/2006/picture">
                  <pic:nvPicPr>
                    <pic:cNvPr id="5239" name="Picture 5239"/>
                    <pic:cNvPicPr/>
                  </pic:nvPicPr>
                  <pic:blipFill>
                    <a:blip r:embed="rId20" cstate="print"/>
                    <a:stretch>
                      <a:fillRect/>
                    </a:stretch>
                  </pic:blipFill>
                  <pic:spPr>
                    <a:xfrm>
                      <a:off x="0" y="0"/>
                      <a:ext cx="7559040" cy="10688955"/>
                    </a:xfrm>
                    <a:prstGeom prst="rect">
                      <a:avLst/>
                    </a:prstGeom>
                  </pic:spPr>
                </pic:pic>
              </a:graphicData>
            </a:graphic>
          </wp:anchor>
        </w:drawing>
      </w:r>
      <w:r>
        <w:rPr>
          <w:noProof/>
        </w:rPr>
        <w:drawing>
          <wp:anchor distT="0" distB="0" distL="114300" distR="114300" simplePos="0" relativeHeight="251669504" behindDoc="0" locked="0" layoutInCell="1" allowOverlap="0" wp14:anchorId="734FBB7C" wp14:editId="54D86E72">
            <wp:simplePos x="0" y="0"/>
            <wp:positionH relativeFrom="page">
              <wp:posOffset>0</wp:posOffset>
            </wp:positionH>
            <wp:positionV relativeFrom="page">
              <wp:posOffset>0</wp:posOffset>
            </wp:positionV>
            <wp:extent cx="7559040" cy="10689336"/>
            <wp:effectExtent l="0" t="0" r="0" b="0"/>
            <wp:wrapTopAndBottom/>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21" cstate="print"/>
                    <a:stretch>
                      <a:fillRect/>
                    </a:stretch>
                  </pic:blipFill>
                  <pic:spPr>
                    <a:xfrm>
                      <a:off x="0" y="0"/>
                      <a:ext cx="7559040" cy="10689336"/>
                    </a:xfrm>
                    <a:prstGeom prst="rect">
                      <a:avLst/>
                    </a:prstGeom>
                  </pic:spPr>
                </pic:pic>
              </a:graphicData>
            </a:graphic>
          </wp:anchor>
        </w:drawing>
      </w:r>
      <w:r w:rsidRPr="00AF4BEE">
        <w:rPr>
          <w:lang w:val="es-ES"/>
        </w:rPr>
        <w:br w:type="page"/>
      </w:r>
    </w:p>
    <w:p w14:paraId="1CA288BB" w14:textId="77777777" w:rsidR="001A3E86" w:rsidRPr="00AF4BEE" w:rsidRDefault="001A3E86" w:rsidP="001A3E86">
      <w:pPr>
        <w:spacing w:after="0"/>
        <w:ind w:left="-1440" w:right="10464"/>
        <w:rPr>
          <w:lang w:val="es-ES"/>
        </w:rPr>
      </w:pPr>
      <w:r>
        <w:rPr>
          <w:noProof/>
        </w:rPr>
        <w:lastRenderedPageBreak/>
        <w:drawing>
          <wp:anchor distT="0" distB="0" distL="114300" distR="114300" simplePos="0" relativeHeight="251670528" behindDoc="0" locked="0" layoutInCell="1" allowOverlap="0" wp14:anchorId="0E11E28F" wp14:editId="5F2D44F0">
            <wp:simplePos x="0" y="0"/>
            <wp:positionH relativeFrom="page">
              <wp:posOffset>0</wp:posOffset>
            </wp:positionH>
            <wp:positionV relativeFrom="page">
              <wp:posOffset>0</wp:posOffset>
            </wp:positionV>
            <wp:extent cx="7559040" cy="10689336"/>
            <wp:effectExtent l="0" t="0" r="0" b="0"/>
            <wp:wrapTopAndBottom/>
            <wp:docPr id="1649"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22" cstate="print"/>
                    <a:stretch>
                      <a:fillRect/>
                    </a:stretch>
                  </pic:blipFill>
                  <pic:spPr>
                    <a:xfrm>
                      <a:off x="0" y="0"/>
                      <a:ext cx="7559040" cy="10689336"/>
                    </a:xfrm>
                    <a:prstGeom prst="rect">
                      <a:avLst/>
                    </a:prstGeom>
                  </pic:spPr>
                </pic:pic>
              </a:graphicData>
            </a:graphic>
          </wp:anchor>
        </w:drawing>
      </w:r>
      <w:r w:rsidRPr="00AF4BEE">
        <w:rPr>
          <w:lang w:val="es-ES"/>
        </w:rPr>
        <w:br w:type="page"/>
      </w:r>
    </w:p>
    <w:p w14:paraId="22642B9A" w14:textId="77777777" w:rsidR="001A3E86" w:rsidRPr="00AF4BEE" w:rsidRDefault="001A3E86" w:rsidP="001A3E86">
      <w:pPr>
        <w:spacing w:after="0"/>
        <w:ind w:left="-1440" w:right="10464"/>
        <w:rPr>
          <w:lang w:val="es-ES"/>
        </w:rPr>
      </w:pPr>
      <w:r>
        <w:rPr>
          <w:noProof/>
        </w:rPr>
        <w:lastRenderedPageBreak/>
        <w:drawing>
          <wp:anchor distT="0" distB="0" distL="114300" distR="114300" simplePos="0" relativeHeight="251671552" behindDoc="0" locked="0" layoutInCell="1" allowOverlap="0" wp14:anchorId="66BAA5D8" wp14:editId="21793693">
            <wp:simplePos x="0" y="0"/>
            <wp:positionH relativeFrom="page">
              <wp:posOffset>0</wp:posOffset>
            </wp:positionH>
            <wp:positionV relativeFrom="page">
              <wp:posOffset>0</wp:posOffset>
            </wp:positionV>
            <wp:extent cx="7559040" cy="10689336"/>
            <wp:effectExtent l="0" t="0" r="0" b="0"/>
            <wp:wrapTopAndBottom/>
            <wp:docPr id="2512" name="Picture 2512"/>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23" cstate="print"/>
                    <a:stretch>
                      <a:fillRect/>
                    </a:stretch>
                  </pic:blipFill>
                  <pic:spPr>
                    <a:xfrm>
                      <a:off x="0" y="0"/>
                      <a:ext cx="7559040" cy="10689336"/>
                    </a:xfrm>
                    <a:prstGeom prst="rect">
                      <a:avLst/>
                    </a:prstGeom>
                  </pic:spPr>
                </pic:pic>
              </a:graphicData>
            </a:graphic>
          </wp:anchor>
        </w:drawing>
      </w:r>
      <w:r w:rsidRPr="00AF4BEE">
        <w:rPr>
          <w:lang w:val="es-ES"/>
        </w:rPr>
        <w:br w:type="page"/>
      </w:r>
    </w:p>
    <w:p w14:paraId="77E9793A" w14:textId="77777777" w:rsidR="001A3E86" w:rsidRPr="00AF4BEE" w:rsidRDefault="001A3E86" w:rsidP="001A3E86">
      <w:pPr>
        <w:spacing w:after="0"/>
        <w:ind w:left="-1440" w:right="10464"/>
        <w:rPr>
          <w:lang w:val="es-ES"/>
        </w:rPr>
      </w:pPr>
      <w:r>
        <w:rPr>
          <w:noProof/>
        </w:rPr>
        <w:lastRenderedPageBreak/>
        <w:drawing>
          <wp:anchor distT="0" distB="0" distL="114300" distR="114300" simplePos="0" relativeHeight="251672576" behindDoc="0" locked="0" layoutInCell="1" allowOverlap="0" wp14:anchorId="422F567B" wp14:editId="2D15858D">
            <wp:simplePos x="0" y="0"/>
            <wp:positionH relativeFrom="page">
              <wp:posOffset>0</wp:posOffset>
            </wp:positionH>
            <wp:positionV relativeFrom="page">
              <wp:posOffset>0</wp:posOffset>
            </wp:positionV>
            <wp:extent cx="7559040" cy="10689336"/>
            <wp:effectExtent l="0" t="0" r="0" b="0"/>
            <wp:wrapTopAndBottom/>
            <wp:docPr id="3326" name="Picture 3326"/>
            <wp:cNvGraphicFramePr/>
            <a:graphic xmlns:a="http://schemas.openxmlformats.org/drawingml/2006/main">
              <a:graphicData uri="http://schemas.openxmlformats.org/drawingml/2006/picture">
                <pic:pic xmlns:pic="http://schemas.openxmlformats.org/drawingml/2006/picture">
                  <pic:nvPicPr>
                    <pic:cNvPr id="3326" name="Picture 3326"/>
                    <pic:cNvPicPr/>
                  </pic:nvPicPr>
                  <pic:blipFill>
                    <a:blip r:embed="rId24" cstate="print"/>
                    <a:stretch>
                      <a:fillRect/>
                    </a:stretch>
                  </pic:blipFill>
                  <pic:spPr>
                    <a:xfrm>
                      <a:off x="0" y="0"/>
                      <a:ext cx="7559040" cy="10689336"/>
                    </a:xfrm>
                    <a:prstGeom prst="rect">
                      <a:avLst/>
                    </a:prstGeom>
                  </pic:spPr>
                </pic:pic>
              </a:graphicData>
            </a:graphic>
          </wp:anchor>
        </w:drawing>
      </w:r>
      <w:r w:rsidRPr="00AF4BEE">
        <w:rPr>
          <w:lang w:val="es-ES"/>
        </w:rPr>
        <w:br w:type="page"/>
      </w:r>
    </w:p>
    <w:p w14:paraId="52DC8E72" w14:textId="77777777" w:rsidR="001A3E86" w:rsidRPr="00AF4BEE" w:rsidRDefault="001A3E86" w:rsidP="001A3E86">
      <w:pPr>
        <w:spacing w:after="0"/>
        <w:ind w:left="-1440" w:right="10464"/>
        <w:rPr>
          <w:lang w:val="es-ES"/>
        </w:rPr>
      </w:pPr>
      <w:r>
        <w:rPr>
          <w:noProof/>
        </w:rPr>
        <w:lastRenderedPageBreak/>
        <w:drawing>
          <wp:anchor distT="0" distB="0" distL="114300" distR="114300" simplePos="0" relativeHeight="251673600" behindDoc="0" locked="0" layoutInCell="1" allowOverlap="0" wp14:anchorId="2DB13609" wp14:editId="0272B983">
            <wp:simplePos x="0" y="0"/>
            <wp:positionH relativeFrom="page">
              <wp:posOffset>0</wp:posOffset>
            </wp:positionH>
            <wp:positionV relativeFrom="page">
              <wp:posOffset>0</wp:posOffset>
            </wp:positionV>
            <wp:extent cx="7559040" cy="10689336"/>
            <wp:effectExtent l="0" t="0" r="0" b="0"/>
            <wp:wrapTopAndBottom/>
            <wp:docPr id="4235" name="Picture 4235"/>
            <wp:cNvGraphicFramePr/>
            <a:graphic xmlns:a="http://schemas.openxmlformats.org/drawingml/2006/main">
              <a:graphicData uri="http://schemas.openxmlformats.org/drawingml/2006/picture">
                <pic:pic xmlns:pic="http://schemas.openxmlformats.org/drawingml/2006/picture">
                  <pic:nvPicPr>
                    <pic:cNvPr id="4235" name="Picture 4235"/>
                    <pic:cNvPicPr/>
                  </pic:nvPicPr>
                  <pic:blipFill>
                    <a:blip r:embed="rId25" cstate="print"/>
                    <a:stretch>
                      <a:fillRect/>
                    </a:stretch>
                  </pic:blipFill>
                  <pic:spPr>
                    <a:xfrm>
                      <a:off x="0" y="0"/>
                      <a:ext cx="7559040" cy="10689336"/>
                    </a:xfrm>
                    <a:prstGeom prst="rect">
                      <a:avLst/>
                    </a:prstGeom>
                  </pic:spPr>
                </pic:pic>
              </a:graphicData>
            </a:graphic>
          </wp:anchor>
        </w:drawing>
      </w:r>
      <w:r w:rsidRPr="00AF4BEE">
        <w:rPr>
          <w:lang w:val="es-ES"/>
        </w:rPr>
        <w:br w:type="page"/>
      </w:r>
    </w:p>
    <w:p w14:paraId="7251864D" w14:textId="77777777" w:rsidR="001A3E86" w:rsidRDefault="001A3E86" w:rsidP="001A3E86">
      <w:pPr>
        <w:pStyle w:val="NoSpacing"/>
        <w:jc w:val="both"/>
        <w:rPr>
          <w:rFonts w:ascii="Times New Roman" w:hAnsi="Times New Roman" w:cs="Times New Roman"/>
          <w:b/>
          <w:sz w:val="24"/>
          <w:szCs w:val="24"/>
          <w:lang w:val="es-ES" w:eastAsia="hi-IN" w:bidi="hi-IN"/>
        </w:rPr>
      </w:pPr>
      <w:r>
        <w:rPr>
          <w:rFonts w:ascii="Times New Roman" w:hAnsi="Times New Roman" w:cs="Times New Roman"/>
          <w:b/>
          <w:sz w:val="24"/>
          <w:szCs w:val="24"/>
          <w:lang w:val="es-ES" w:eastAsia="hi-IN" w:bidi="hi-IN"/>
        </w:rPr>
        <w:lastRenderedPageBreak/>
        <w:t>PERSONAS COLABORADORAS</w:t>
      </w:r>
    </w:p>
    <w:p w14:paraId="3C9A1E7A" w14:textId="77777777" w:rsidR="001A3E86" w:rsidRPr="001B265A" w:rsidRDefault="001A3E86" w:rsidP="001A3E86">
      <w:pPr>
        <w:pStyle w:val="NoSpacing"/>
        <w:jc w:val="both"/>
        <w:rPr>
          <w:rFonts w:ascii="Times New Roman" w:hAnsi="Times New Roman" w:cs="Times New Roman"/>
          <w:b/>
          <w:sz w:val="24"/>
          <w:szCs w:val="24"/>
          <w:lang w:val="es-ES" w:eastAsia="hi-IN" w:bidi="hi-IN"/>
        </w:rPr>
      </w:pPr>
    </w:p>
    <w:p w14:paraId="7F8FF460" w14:textId="77777777" w:rsidR="001A3E86" w:rsidRDefault="001A3E86" w:rsidP="001A3E86">
      <w:pPr>
        <w:pStyle w:val="NoSpacing"/>
        <w:jc w:val="both"/>
        <w:rPr>
          <w:rFonts w:ascii="Times New Roman" w:hAnsi="Times New Roman" w:cs="Times New Roman"/>
          <w:b/>
          <w:sz w:val="24"/>
          <w:szCs w:val="24"/>
          <w:lang w:val="es-ES" w:eastAsia="hi-IN" w:bidi="hi-IN"/>
        </w:rPr>
      </w:pPr>
    </w:p>
    <w:p w14:paraId="509F00B5" w14:textId="77777777" w:rsidR="001A3E86" w:rsidRDefault="001A3E86" w:rsidP="001A3E86">
      <w:pPr>
        <w:pStyle w:val="NoSpacing"/>
        <w:jc w:val="both"/>
        <w:rPr>
          <w:rFonts w:ascii="Times New Roman" w:hAnsi="Times New Roman" w:cs="Times New Roman"/>
          <w:b/>
          <w:sz w:val="24"/>
          <w:szCs w:val="24"/>
          <w:lang w:val="es-ES" w:eastAsia="hi-IN" w:bidi="hi-IN"/>
        </w:rPr>
      </w:pPr>
      <w:r>
        <w:rPr>
          <w:rFonts w:ascii="Times New Roman" w:hAnsi="Times New Roman" w:cs="Times New Roman"/>
          <w:b/>
          <w:sz w:val="24"/>
          <w:szCs w:val="24"/>
          <w:lang w:val="es-ES" w:eastAsia="hi-IN" w:bidi="hi-IN"/>
        </w:rPr>
        <w:t>ALEJANDRO VARGAS CARRANZA</w:t>
      </w:r>
    </w:p>
    <w:p w14:paraId="7EEB0714" w14:textId="77777777" w:rsidR="001A3E86" w:rsidRDefault="001A3E86" w:rsidP="001A3E86">
      <w:pPr>
        <w:pStyle w:val="NoSpacing"/>
        <w:jc w:val="both"/>
        <w:rPr>
          <w:rFonts w:ascii="Times New Roman" w:hAnsi="Times New Roman" w:cs="Times New Roman"/>
          <w:b/>
          <w:sz w:val="24"/>
          <w:szCs w:val="24"/>
          <w:lang w:val="es-ES" w:eastAsia="hi-IN" w:bidi="hi-IN"/>
        </w:rPr>
      </w:pPr>
      <w:r>
        <w:rPr>
          <w:rFonts w:ascii="Times New Roman" w:hAnsi="Times New Roman" w:cs="Times New Roman"/>
          <w:b/>
          <w:sz w:val="24"/>
          <w:szCs w:val="24"/>
          <w:lang w:val="es-ES" w:eastAsia="hi-IN" w:bidi="hi-IN"/>
        </w:rPr>
        <w:t xml:space="preserve">Costarricense. </w:t>
      </w:r>
      <w:proofErr w:type="gramStart"/>
      <w:r w:rsidRPr="00CB4574">
        <w:rPr>
          <w:rFonts w:ascii="Times New Roman" w:hAnsi="Times New Roman" w:cs="Times New Roman"/>
          <w:sz w:val="24"/>
          <w:szCs w:val="24"/>
        </w:rPr>
        <w:t>Filólogo, escritor e investigador independiente.</w:t>
      </w:r>
      <w:proofErr w:type="gramEnd"/>
      <w:r w:rsidRPr="00CB4574">
        <w:rPr>
          <w:rFonts w:ascii="Times New Roman" w:hAnsi="Times New Roman" w:cs="Times New Roman"/>
          <w:sz w:val="24"/>
          <w:szCs w:val="24"/>
        </w:rPr>
        <w:t xml:space="preserve"> </w:t>
      </w:r>
      <w:proofErr w:type="gramStart"/>
      <w:r w:rsidRPr="00CB4574">
        <w:rPr>
          <w:rFonts w:ascii="Times New Roman" w:hAnsi="Times New Roman" w:cs="Times New Roman"/>
          <w:sz w:val="24"/>
          <w:szCs w:val="24"/>
        </w:rPr>
        <w:t>Licenciado en Teología por la Universidad Estatal a Distancia (UNED).</w:t>
      </w:r>
      <w:proofErr w:type="gramEnd"/>
    </w:p>
    <w:p w14:paraId="197B769D" w14:textId="77777777" w:rsidR="001A3E86" w:rsidRPr="001B265A" w:rsidRDefault="001A3E86" w:rsidP="001A3E86">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alejvargasc2@gmail.com</w:t>
      </w:r>
    </w:p>
    <w:p w14:paraId="308231B0" w14:textId="77777777" w:rsidR="001A3E86" w:rsidRDefault="001A3E86" w:rsidP="001A3E86">
      <w:pPr>
        <w:pStyle w:val="NoSpacing"/>
        <w:jc w:val="both"/>
        <w:rPr>
          <w:rFonts w:ascii="Times New Roman" w:hAnsi="Times New Roman" w:cs="Times New Roman"/>
          <w:b/>
          <w:sz w:val="24"/>
          <w:szCs w:val="24"/>
          <w:lang w:val="es-ES" w:eastAsia="hi-IN" w:bidi="hi-IN"/>
        </w:rPr>
      </w:pPr>
    </w:p>
    <w:p w14:paraId="0DB8FFD0"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0D3A7DFF"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1800524A"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5F61B2A1"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420EAAD9"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47BD10F0"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3B3F9351"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110352E2"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478F7461"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657083A1"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2876A1E3"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6A2D589B"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68AD15A9"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5324EF0D"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4AF3ACD3"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0139F219"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27095B96"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2D0B4D4E"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25A17713"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3E61EBE8"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4DA3F6DD"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26425AB2"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5A9E3368"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02270755"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2E510698"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7576D055"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6A2338EC"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644BB33D"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47280E84"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66C1B23F"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2FE001FD"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3FB91E5A"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3BCE3B90"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71CFC71F"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4B16D8DC"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468A5FA4"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4583E9C0"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70AB360D"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73457F9D" w14:textId="77777777" w:rsidR="001A3E86" w:rsidRDefault="001A3E86" w:rsidP="001A3E86">
      <w:pPr>
        <w:pStyle w:val="NoSpacing"/>
        <w:jc w:val="center"/>
        <w:rPr>
          <w:rFonts w:ascii="Times New Roman" w:hAnsi="Times New Roman" w:cs="Times New Roman"/>
          <w:b/>
          <w:sz w:val="24"/>
          <w:szCs w:val="24"/>
          <w:lang w:val="es-ES" w:eastAsia="hi-IN" w:bidi="hi-IN"/>
        </w:rPr>
      </w:pPr>
    </w:p>
    <w:p w14:paraId="4C3DA3A5" w14:textId="77777777" w:rsidR="001A3E86" w:rsidRPr="008B7B42" w:rsidRDefault="001A3E86" w:rsidP="001A3E86">
      <w:pPr>
        <w:pStyle w:val="NoSpacing"/>
        <w:jc w:val="center"/>
        <w:rPr>
          <w:rFonts w:ascii="Times New Roman" w:hAnsi="Times New Roman" w:cs="Times New Roman"/>
          <w:b/>
          <w:sz w:val="24"/>
          <w:szCs w:val="24"/>
          <w:lang w:val="es-ES" w:eastAsia="hi-IN" w:bidi="hi-IN"/>
        </w:rPr>
      </w:pPr>
      <w:r w:rsidRPr="008B7B42">
        <w:rPr>
          <w:rFonts w:ascii="Times New Roman" w:hAnsi="Times New Roman" w:cs="Times New Roman"/>
          <w:b/>
          <w:sz w:val="24"/>
          <w:szCs w:val="24"/>
          <w:lang w:val="es-ES" w:eastAsia="hi-IN" w:bidi="hi-IN"/>
        </w:rPr>
        <w:lastRenderedPageBreak/>
        <w:t>Normas para presentación de artículos</w:t>
      </w:r>
    </w:p>
    <w:p w14:paraId="73BBC349" w14:textId="77777777" w:rsidR="001A3E86" w:rsidRPr="008B7B42" w:rsidRDefault="001A3E86" w:rsidP="001A3E86">
      <w:pPr>
        <w:pStyle w:val="NoSpacing"/>
        <w:jc w:val="both"/>
        <w:rPr>
          <w:rFonts w:ascii="Times New Roman" w:hAnsi="Times New Roman" w:cs="Times New Roman"/>
          <w:sz w:val="24"/>
          <w:szCs w:val="24"/>
          <w:lang w:val="es-ES" w:eastAsia="hi-IN" w:bidi="hi-IN"/>
        </w:rPr>
      </w:pPr>
    </w:p>
    <w:p w14:paraId="053FB944" w14:textId="77777777" w:rsidR="001A3E86" w:rsidRPr="008B7B42" w:rsidRDefault="001A3E86" w:rsidP="001A3E86">
      <w:pPr>
        <w:pStyle w:val="NoSpacing"/>
        <w:spacing w:line="360" w:lineRule="auto"/>
        <w:ind w:firstLine="720"/>
        <w:jc w:val="both"/>
        <w:rPr>
          <w:rFonts w:ascii="Times New Roman" w:hAnsi="Times New Roman" w:cs="Times New Roman"/>
          <w:sz w:val="24"/>
          <w:szCs w:val="24"/>
          <w:lang w:val="es-ES" w:eastAsia="hi-IN" w:bidi="hi-IN"/>
        </w:rPr>
      </w:pPr>
      <w:r w:rsidRPr="008B7B42">
        <w:rPr>
          <w:rFonts w:ascii="Times New Roman" w:hAnsi="Times New Roman" w:cs="Times New Roman"/>
          <w:sz w:val="24"/>
          <w:szCs w:val="24"/>
          <w:lang w:val="es-ES" w:eastAsia="hi-IN" w:bidi="hi-IN"/>
        </w:rPr>
        <w:t xml:space="preserve">La </w:t>
      </w:r>
      <w:r w:rsidRPr="008B7B42">
        <w:rPr>
          <w:rFonts w:ascii="Times New Roman" w:hAnsi="Times New Roman" w:cs="Times New Roman"/>
          <w:i/>
          <w:sz w:val="24"/>
          <w:szCs w:val="24"/>
          <w:lang w:val="es-ES" w:eastAsia="hi-IN" w:bidi="hi-IN"/>
        </w:rPr>
        <w:t xml:space="preserve">Revista Siwô´ </w:t>
      </w:r>
      <w:r w:rsidRPr="008B7B42">
        <w:rPr>
          <w:rFonts w:ascii="Times New Roman" w:hAnsi="Times New Roman" w:cs="Times New Roman"/>
          <w:sz w:val="24"/>
          <w:szCs w:val="24"/>
          <w:lang w:val="es-ES" w:eastAsia="hi-IN" w:bidi="hi-IN"/>
        </w:rPr>
        <w:t xml:space="preserve">se publica anualmente. Tiene como objetivo principal, promover el desarrollo de la investigación teológica ecuménica realizada en la Escuela Ecuménica de Ciencias de la Religión y fuera de esta; los artículos discuten temas de realidad social que integran problemáticas costarricenses y latinoamericanas.  </w:t>
      </w:r>
    </w:p>
    <w:p w14:paraId="78B30EFC" w14:textId="77777777" w:rsidR="001A3E86" w:rsidRPr="008B7B42" w:rsidRDefault="001A3E86" w:rsidP="001A3E86">
      <w:pPr>
        <w:pStyle w:val="NoSpacing"/>
        <w:spacing w:line="360" w:lineRule="auto"/>
        <w:ind w:firstLine="720"/>
        <w:jc w:val="both"/>
        <w:rPr>
          <w:rFonts w:ascii="Times New Roman" w:hAnsi="Times New Roman" w:cs="Times New Roman"/>
          <w:sz w:val="24"/>
          <w:szCs w:val="24"/>
          <w:lang w:val="es-ES" w:eastAsia="hi-IN" w:bidi="hi-IN"/>
        </w:rPr>
      </w:pPr>
      <w:r w:rsidRPr="008B7B42">
        <w:rPr>
          <w:rFonts w:ascii="Times New Roman" w:hAnsi="Times New Roman" w:cs="Times New Roman"/>
          <w:sz w:val="24"/>
          <w:szCs w:val="24"/>
          <w:lang w:val="es-ES" w:eastAsia="hi-IN" w:bidi="hi-IN"/>
        </w:rPr>
        <w:t>Los artículos incluidos son inéditos y originales. En el proceso de revisión se designan pares externos, quienes emiten un veredicto acerca de la calidad del trabajo, el cual luego es analizado por los comités editoriales (una y Ubl) y los asesores extranjeros.</w:t>
      </w:r>
    </w:p>
    <w:p w14:paraId="0852DCFA" w14:textId="77777777" w:rsidR="001A3E86" w:rsidRPr="008B7B42" w:rsidRDefault="001A3E86" w:rsidP="001A3E86">
      <w:pPr>
        <w:pStyle w:val="NoSpacing"/>
        <w:spacing w:line="360" w:lineRule="auto"/>
        <w:ind w:firstLine="720"/>
        <w:jc w:val="both"/>
        <w:rPr>
          <w:rFonts w:ascii="Times New Roman" w:hAnsi="Times New Roman" w:cs="Times New Roman"/>
          <w:sz w:val="24"/>
          <w:szCs w:val="24"/>
          <w:lang w:val="es-ES" w:eastAsia="hi-IN" w:bidi="hi-IN"/>
        </w:rPr>
      </w:pPr>
      <w:r w:rsidRPr="008B7B42">
        <w:rPr>
          <w:rFonts w:ascii="Times New Roman" w:hAnsi="Times New Roman" w:cs="Times New Roman"/>
          <w:sz w:val="24"/>
          <w:szCs w:val="24"/>
          <w:lang w:val="es-ES" w:eastAsia="hi-IN" w:bidi="hi-IN"/>
        </w:rPr>
        <w:t>A continuación, se incluyen las normas para la presentación de artículos que deben ser atendidas por cualquier persona que, siguiendo el objetivo central de la revista, desee plantear un artículo ante el Consejo Editorial de la Escuela Ecuménica de Ciencias de la Religión.</w:t>
      </w:r>
    </w:p>
    <w:p w14:paraId="6DF40702" w14:textId="77777777" w:rsidR="001A3E86" w:rsidRPr="008B7B42" w:rsidRDefault="001A3E86" w:rsidP="001A3E86">
      <w:pPr>
        <w:pStyle w:val="NoSpacing"/>
        <w:spacing w:line="360" w:lineRule="auto"/>
        <w:ind w:firstLine="720"/>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Los trabajos deben ser inéditos y originales; no deben estar aprobados para publicarse en otra revista (se enviará una carta al comité editorial donde se dé fe de esto). El autor o la autora adjuntará información personal de contacto: institución, correo electrónico, número telefónico, ciudad.</w:t>
      </w:r>
    </w:p>
    <w:p w14:paraId="45BDCDAA" w14:textId="77777777" w:rsidR="001A3E86" w:rsidRPr="008B7B42" w:rsidRDefault="001A3E86" w:rsidP="001A3E86">
      <w:pPr>
        <w:pStyle w:val="NoSpacing"/>
        <w:spacing w:line="360" w:lineRule="auto"/>
        <w:ind w:firstLine="720"/>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Se privilegia el trabajo teológico ecuménico en lengua castellana. En casos excepcionales, el Consejo Editorial aceptará contribuciones en otras lenguas, principalmente del portugués, inglés y francés.</w:t>
      </w:r>
    </w:p>
    <w:p w14:paraId="1D87C901" w14:textId="77777777" w:rsidR="001A3E86" w:rsidRPr="008B7B42" w:rsidRDefault="001A3E86" w:rsidP="001A3E86">
      <w:pPr>
        <w:pStyle w:val="NoSpacing"/>
        <w:spacing w:line="360" w:lineRule="auto"/>
        <w:ind w:firstLine="720"/>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El artículo debe presentarse en letra Times New Roman, 12 puntos, espacio y medio. Su extensión no debe ser menor de 12 páginas ni mayor de 25. La división de párrafos debe tener sangría.</w:t>
      </w:r>
    </w:p>
    <w:p w14:paraId="7D36E175" w14:textId="77777777" w:rsidR="001A3E86" w:rsidRPr="008B7B42" w:rsidRDefault="001A3E86" w:rsidP="001A3E86">
      <w:pPr>
        <w:pStyle w:val="NoSpacing"/>
        <w:spacing w:line="360" w:lineRule="auto"/>
        <w:ind w:firstLine="720"/>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 xml:space="preserve">El artículo debe ser enviado a las siguientes direcciones: </w:t>
      </w:r>
      <w:hyperlink r:id="rId26" w:history="1">
        <w:r w:rsidRPr="008B7B42">
          <w:rPr>
            <w:rFonts w:ascii="Times New Roman" w:eastAsia="Calibri" w:hAnsi="Times New Roman" w:cs="Times New Roman"/>
            <w:color w:val="0000FF"/>
            <w:sz w:val="24"/>
            <w:szCs w:val="24"/>
            <w:u w:val="single"/>
            <w:lang w:val="es-ES" w:eastAsia="hi-IN" w:bidi="hi-IN"/>
          </w:rPr>
          <w:t>revistasiwo@una.ac.cr</w:t>
        </w:r>
      </w:hyperlink>
      <w:r w:rsidRPr="008B7B42">
        <w:rPr>
          <w:rFonts w:ascii="Times New Roman" w:eastAsia="Calibri" w:hAnsi="Times New Roman" w:cs="Times New Roman"/>
          <w:sz w:val="24"/>
          <w:szCs w:val="24"/>
          <w:lang w:val="es-ES" w:eastAsia="hi-IN" w:bidi="hi-IN"/>
        </w:rPr>
        <w:t xml:space="preserve">, </w:t>
      </w:r>
      <w:hyperlink r:id="rId27" w:history="1">
        <w:r w:rsidRPr="008B7B42">
          <w:rPr>
            <w:rFonts w:ascii="Times New Roman" w:eastAsia="Calibri" w:hAnsi="Times New Roman" w:cs="Times New Roman"/>
            <w:color w:val="0000FF"/>
            <w:sz w:val="24"/>
            <w:szCs w:val="24"/>
            <w:u w:val="single"/>
            <w:lang w:val="es-ES" w:eastAsia="hi-IN" w:bidi="hi-IN"/>
          </w:rPr>
          <w:t>revistasiwo@gmail.com</w:t>
        </w:r>
      </w:hyperlink>
      <w:r w:rsidRPr="008B7B42">
        <w:rPr>
          <w:rFonts w:ascii="Times New Roman" w:eastAsia="Calibri" w:hAnsi="Times New Roman" w:cs="Times New Roman"/>
          <w:sz w:val="24"/>
          <w:szCs w:val="24"/>
          <w:lang w:val="es-ES" w:eastAsia="hi-IN" w:bidi="hi-IN"/>
        </w:rPr>
        <w:t xml:space="preserve"> o bien, se pueden entregar los impresos en la secretaría de la escuela.</w:t>
      </w:r>
    </w:p>
    <w:p w14:paraId="3D744B40" w14:textId="77777777" w:rsidR="001A3E86" w:rsidRDefault="001A3E86" w:rsidP="001A3E86">
      <w:pPr>
        <w:pStyle w:val="NoSpacing"/>
        <w:jc w:val="both"/>
        <w:rPr>
          <w:rFonts w:ascii="Times New Roman" w:eastAsia="Calibri" w:hAnsi="Times New Roman" w:cs="Times New Roman"/>
          <w:sz w:val="24"/>
          <w:szCs w:val="24"/>
          <w:lang w:val="es-ES" w:eastAsia="hi-IN" w:bidi="hi-IN"/>
        </w:rPr>
      </w:pPr>
    </w:p>
    <w:p w14:paraId="3177B8EF" w14:textId="77777777" w:rsidR="001A3E86" w:rsidRPr="008B7B42" w:rsidRDefault="001A3E86" w:rsidP="001A3E86">
      <w:pPr>
        <w:pStyle w:val="NoSpacing"/>
        <w:numPr>
          <w:ilvl w:val="0"/>
          <w:numId w:val="3"/>
        </w:numPr>
        <w:spacing w:line="360" w:lineRule="auto"/>
        <w:ind w:left="714" w:hanging="357"/>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Emplee una redacción fluida.</w:t>
      </w:r>
    </w:p>
    <w:p w14:paraId="58FE64C4" w14:textId="77777777" w:rsidR="001A3E86" w:rsidRPr="008B7B42" w:rsidRDefault="001A3E86" w:rsidP="001A3E86">
      <w:pPr>
        <w:pStyle w:val="NoSpacing"/>
        <w:numPr>
          <w:ilvl w:val="0"/>
          <w:numId w:val="3"/>
        </w:numPr>
        <w:spacing w:line="360" w:lineRule="auto"/>
        <w:ind w:left="714" w:hanging="357"/>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Escriba los subtítulos en negrita y de acuerdo con el sistema decimal (ej. 1., 1.1, 1.2).</w:t>
      </w:r>
    </w:p>
    <w:p w14:paraId="326C9908" w14:textId="77777777" w:rsidR="001A3E86" w:rsidRPr="008B7B42" w:rsidRDefault="001A3E86" w:rsidP="001A3E86">
      <w:pPr>
        <w:pStyle w:val="NoSpacing"/>
        <w:numPr>
          <w:ilvl w:val="0"/>
          <w:numId w:val="3"/>
        </w:numPr>
        <w:spacing w:line="360" w:lineRule="auto"/>
        <w:ind w:left="714" w:hanging="357"/>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Utilice cursivas (itálicas) para dar énfasis o escribir palabras en otra lengua.</w:t>
      </w:r>
    </w:p>
    <w:p w14:paraId="0B379BFB" w14:textId="77777777" w:rsidR="001A3E86" w:rsidRPr="008B7B42" w:rsidRDefault="001A3E86" w:rsidP="001A3E86">
      <w:pPr>
        <w:pStyle w:val="NoSpacing"/>
        <w:numPr>
          <w:ilvl w:val="0"/>
          <w:numId w:val="3"/>
        </w:numPr>
        <w:spacing w:line="360" w:lineRule="auto"/>
        <w:ind w:left="714" w:hanging="357"/>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Si el texto incluye fuentes del griego o hebreo, indíquelo.</w:t>
      </w:r>
    </w:p>
    <w:p w14:paraId="6F679804" w14:textId="77777777" w:rsidR="001A3E86" w:rsidRPr="008B7B42" w:rsidRDefault="001A3E86" w:rsidP="001A3E86">
      <w:pPr>
        <w:pStyle w:val="NoSpacing"/>
        <w:numPr>
          <w:ilvl w:val="0"/>
          <w:numId w:val="3"/>
        </w:numPr>
        <w:spacing w:line="360" w:lineRule="auto"/>
        <w:ind w:left="714" w:hanging="357"/>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lastRenderedPageBreak/>
        <w:t>Las citas de cuatro líneas o menores van dentro del párrafo; las citas mayores de cuatro líneas van fuera de párrafo. Regule la inclusión de citas.</w:t>
      </w:r>
    </w:p>
    <w:p w14:paraId="743FB541" w14:textId="77777777" w:rsidR="001A3E86" w:rsidRPr="00904842" w:rsidRDefault="001A3E86" w:rsidP="00B53917">
      <w:pPr>
        <w:pStyle w:val="NoSpacing"/>
        <w:numPr>
          <w:ilvl w:val="0"/>
          <w:numId w:val="3"/>
        </w:numPr>
        <w:ind w:left="714" w:hanging="357"/>
        <w:jc w:val="both"/>
        <w:rPr>
          <w:rFonts w:ascii="Times New Roman"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Las fuentes bibliográficas deben seguir el siguiente orden del formato CHICAGO.</w:t>
      </w:r>
      <w:r w:rsidR="00B53917">
        <w:rPr>
          <w:rFonts w:ascii="Times New Roman" w:eastAsia="Calibri" w:hAnsi="Times New Roman" w:cs="Times New Roman"/>
          <w:sz w:val="24"/>
          <w:szCs w:val="24"/>
          <w:lang w:val="es-ES" w:eastAsia="hi-IN" w:bidi="hi-IN"/>
        </w:rPr>
        <w:t xml:space="preserve"> Para esto agregamos algunas normas generales sobre la forma de citación</w:t>
      </w:r>
      <w:r w:rsidR="00904842">
        <w:rPr>
          <w:rFonts w:ascii="Times New Roman" w:eastAsia="Calibri" w:hAnsi="Times New Roman" w:cs="Times New Roman"/>
          <w:sz w:val="24"/>
          <w:szCs w:val="24"/>
          <w:lang w:val="es-ES" w:eastAsia="hi-IN" w:bidi="hi-IN"/>
        </w:rPr>
        <w:t>:</w:t>
      </w:r>
    </w:p>
    <w:p w14:paraId="4B197CB8" w14:textId="77777777" w:rsidR="00904842" w:rsidRDefault="00904842" w:rsidP="00B53917">
      <w:pPr>
        <w:pStyle w:val="NoSpacing"/>
        <w:ind w:left="714"/>
        <w:jc w:val="both"/>
        <w:rPr>
          <w:rFonts w:ascii="Times New Roman" w:eastAsia="Calibri" w:hAnsi="Times New Roman" w:cs="Times New Roman"/>
          <w:sz w:val="24"/>
          <w:szCs w:val="24"/>
          <w:lang w:val="es-ES" w:eastAsia="hi-IN" w:bidi="hi-IN"/>
        </w:rPr>
      </w:pPr>
    </w:p>
    <w:p w14:paraId="2BD26D4C" w14:textId="77777777" w:rsidR="00652EF1" w:rsidRPr="00B53917" w:rsidRDefault="00652EF1" w:rsidP="00652EF1">
      <w:pPr>
        <w:pStyle w:val="NoSpacing"/>
        <w:numPr>
          <w:ilvl w:val="0"/>
          <w:numId w:val="27"/>
        </w:numPr>
        <w:jc w:val="both"/>
        <w:rPr>
          <w:rFonts w:ascii="Times New Roman" w:eastAsia="Calibri" w:hAnsi="Times New Roman" w:cs="Times New Roman"/>
          <w:b/>
          <w:sz w:val="24"/>
          <w:szCs w:val="24"/>
          <w:lang w:val="es-ES" w:eastAsia="hi-IN" w:bidi="hi-IN"/>
        </w:rPr>
      </w:pPr>
      <w:r w:rsidRPr="00B53917">
        <w:rPr>
          <w:rFonts w:ascii="Times New Roman" w:eastAsia="Calibri" w:hAnsi="Times New Roman" w:cs="Times New Roman"/>
          <w:b/>
          <w:sz w:val="24"/>
          <w:szCs w:val="24"/>
          <w:lang w:val="es-ES" w:eastAsia="hi-IN" w:bidi="hi-IN"/>
        </w:rPr>
        <w:t xml:space="preserve">Libros </w:t>
      </w:r>
    </w:p>
    <w:p w14:paraId="42B7B6E7" w14:textId="77777777" w:rsidR="00652EF1" w:rsidRPr="00B53917" w:rsidRDefault="00652EF1" w:rsidP="00652EF1">
      <w:pPr>
        <w:pStyle w:val="NoSpacing"/>
        <w:ind w:left="714"/>
        <w:jc w:val="both"/>
        <w:rPr>
          <w:rFonts w:ascii="Times New Roman" w:eastAsia="Calibri" w:hAnsi="Times New Roman" w:cs="Times New Roman"/>
          <w:b/>
          <w:sz w:val="24"/>
          <w:szCs w:val="24"/>
          <w:lang w:val="es-ES" w:eastAsia="hi-IN" w:bidi="hi-IN"/>
        </w:rPr>
      </w:pPr>
      <w:r w:rsidRPr="00B53917">
        <w:rPr>
          <w:rFonts w:ascii="Times New Roman" w:eastAsia="Calibri" w:hAnsi="Times New Roman" w:cs="Times New Roman"/>
          <w:b/>
          <w:sz w:val="24"/>
          <w:szCs w:val="24"/>
          <w:lang w:val="es-ES" w:eastAsia="hi-IN" w:bidi="hi-IN"/>
        </w:rPr>
        <w:t xml:space="preserve"> </w:t>
      </w:r>
    </w:p>
    <w:p w14:paraId="1CF0A1E6" w14:textId="77777777" w:rsidR="00652EF1" w:rsidRPr="00B53917" w:rsidRDefault="00652EF1" w:rsidP="00652EF1">
      <w:pPr>
        <w:pStyle w:val="NoSpacing"/>
        <w:numPr>
          <w:ilvl w:val="0"/>
          <w:numId w:val="28"/>
        </w:numPr>
        <w:jc w:val="both"/>
        <w:rPr>
          <w:rFonts w:ascii="Times New Roman" w:eastAsia="Calibri" w:hAnsi="Times New Roman" w:cs="Times New Roman"/>
          <w:b/>
          <w:sz w:val="24"/>
          <w:szCs w:val="24"/>
          <w:lang w:val="es-ES" w:eastAsia="hi-IN" w:bidi="hi-IN"/>
        </w:rPr>
      </w:pPr>
      <w:r w:rsidRPr="00B53917">
        <w:rPr>
          <w:rFonts w:ascii="Times New Roman" w:eastAsia="Calibri" w:hAnsi="Times New Roman" w:cs="Times New Roman"/>
          <w:b/>
          <w:sz w:val="24"/>
          <w:szCs w:val="24"/>
          <w:lang w:val="es-ES" w:eastAsia="hi-IN" w:bidi="hi-IN"/>
        </w:rPr>
        <w:t xml:space="preserve">Libros con un autor </w:t>
      </w:r>
    </w:p>
    <w:p w14:paraId="567FB032" w14:textId="77777777" w:rsidR="00652EF1" w:rsidRPr="00B53917" w:rsidRDefault="00652EF1" w:rsidP="00652EF1">
      <w:pPr>
        <w:pStyle w:val="NoSpacing"/>
        <w:ind w:left="714"/>
        <w:jc w:val="both"/>
        <w:rPr>
          <w:rFonts w:ascii="Times New Roman" w:eastAsia="Calibri" w:hAnsi="Times New Roman" w:cs="Times New Roman"/>
          <w:sz w:val="24"/>
          <w:szCs w:val="24"/>
          <w:lang w:val="es-ES" w:eastAsia="hi-IN" w:bidi="hi-IN"/>
        </w:rPr>
      </w:pPr>
      <w:r w:rsidRPr="00B53917">
        <w:rPr>
          <w:rFonts w:ascii="Times New Roman" w:eastAsia="Calibri" w:hAnsi="Times New Roman" w:cs="Times New Roman"/>
          <w:sz w:val="24"/>
          <w:szCs w:val="24"/>
          <w:lang w:val="es-ES" w:eastAsia="hi-IN" w:bidi="hi-IN"/>
        </w:rPr>
        <w:t xml:space="preserve"> </w:t>
      </w:r>
    </w:p>
    <w:p w14:paraId="7B975E7A" w14:textId="77777777" w:rsidR="00652EF1" w:rsidRPr="00B53917" w:rsidRDefault="00652EF1" w:rsidP="00652EF1">
      <w:pPr>
        <w:pStyle w:val="NoSpacing"/>
        <w:jc w:val="both"/>
        <w:rPr>
          <w:rFonts w:ascii="Times New Roman" w:eastAsia="Calibri" w:hAnsi="Times New Roman" w:cs="Times New Roman"/>
          <w:b/>
          <w:sz w:val="24"/>
          <w:szCs w:val="24"/>
          <w:lang w:val="es-ES" w:eastAsia="hi-IN" w:bidi="hi-IN"/>
        </w:rPr>
      </w:pPr>
      <w:r w:rsidRPr="00B53917">
        <w:rPr>
          <w:rFonts w:ascii="Times New Roman" w:eastAsia="Calibri" w:hAnsi="Times New Roman" w:cs="Times New Roman"/>
          <w:b/>
          <w:sz w:val="24"/>
          <w:szCs w:val="24"/>
          <w:lang w:val="es-ES" w:eastAsia="hi-IN" w:bidi="hi-IN"/>
        </w:rPr>
        <w:t xml:space="preserve">Nota al pie de página </w:t>
      </w:r>
    </w:p>
    <w:p w14:paraId="7910793C" w14:textId="77777777" w:rsidR="00652EF1" w:rsidRPr="00B53917" w:rsidRDefault="00652EF1" w:rsidP="00652EF1">
      <w:pPr>
        <w:pStyle w:val="NoSpacing"/>
        <w:jc w:val="both"/>
        <w:rPr>
          <w:rFonts w:ascii="Times New Roman" w:eastAsia="Calibri" w:hAnsi="Times New Roman" w:cs="Times New Roman"/>
          <w:sz w:val="24"/>
          <w:szCs w:val="24"/>
          <w:lang w:val="es-ES" w:eastAsia="hi-IN" w:bidi="hi-IN"/>
        </w:rPr>
      </w:pPr>
      <w:r>
        <w:rPr>
          <w:rFonts w:ascii="Times New Roman" w:eastAsia="Calibri" w:hAnsi="Times New Roman" w:cs="Times New Roman"/>
          <w:sz w:val="24"/>
          <w:szCs w:val="24"/>
          <w:lang w:val="es-ES" w:eastAsia="hi-IN" w:bidi="hi-IN"/>
        </w:rPr>
        <w:t xml:space="preserve">Joseph Campbell. </w:t>
      </w:r>
      <w:r w:rsidRPr="00B53917">
        <w:rPr>
          <w:rFonts w:ascii="Times New Roman" w:eastAsia="Calibri" w:hAnsi="Times New Roman" w:cs="Times New Roman"/>
          <w:i/>
          <w:sz w:val="24"/>
          <w:szCs w:val="24"/>
          <w:lang w:val="es-ES" w:eastAsia="hi-IN" w:bidi="hi-IN"/>
        </w:rPr>
        <w:t xml:space="preserve">El héroe de las mil caras </w:t>
      </w:r>
      <w:r w:rsidRPr="00B53917">
        <w:rPr>
          <w:rFonts w:ascii="Times New Roman" w:eastAsia="Calibri" w:hAnsi="Times New Roman" w:cs="Times New Roman"/>
          <w:sz w:val="24"/>
          <w:szCs w:val="24"/>
          <w:lang w:val="es-ES" w:eastAsia="hi-IN" w:bidi="hi-IN"/>
        </w:rPr>
        <w:t xml:space="preserve">(México: Fondo de Cultura Económica, 1999), 218-223. </w:t>
      </w:r>
    </w:p>
    <w:p w14:paraId="0807EA03" w14:textId="77777777" w:rsidR="00652EF1" w:rsidRPr="00B53917" w:rsidRDefault="00652EF1" w:rsidP="00652EF1">
      <w:pPr>
        <w:pStyle w:val="NoSpacing"/>
        <w:ind w:left="714"/>
        <w:jc w:val="both"/>
        <w:rPr>
          <w:rFonts w:ascii="Times New Roman" w:eastAsia="Calibri" w:hAnsi="Times New Roman" w:cs="Times New Roman"/>
          <w:sz w:val="24"/>
          <w:szCs w:val="24"/>
          <w:lang w:val="es-ES" w:eastAsia="hi-IN" w:bidi="hi-IN"/>
        </w:rPr>
      </w:pPr>
      <w:r w:rsidRPr="00B53917">
        <w:rPr>
          <w:rFonts w:ascii="Times New Roman" w:eastAsia="Calibri" w:hAnsi="Times New Roman" w:cs="Times New Roman"/>
          <w:sz w:val="24"/>
          <w:szCs w:val="24"/>
          <w:lang w:val="es-ES" w:eastAsia="hi-IN" w:bidi="hi-IN"/>
        </w:rPr>
        <w:t xml:space="preserve"> </w:t>
      </w:r>
    </w:p>
    <w:p w14:paraId="32A92844" w14:textId="77777777" w:rsidR="00652EF1" w:rsidRPr="00B53917" w:rsidRDefault="00652EF1" w:rsidP="00652EF1">
      <w:pPr>
        <w:pStyle w:val="NoSpacing"/>
        <w:jc w:val="both"/>
        <w:rPr>
          <w:rFonts w:ascii="Times New Roman" w:eastAsia="Calibri" w:hAnsi="Times New Roman" w:cs="Times New Roman"/>
          <w:b/>
          <w:sz w:val="24"/>
          <w:szCs w:val="24"/>
          <w:lang w:val="es-ES" w:eastAsia="hi-IN" w:bidi="hi-IN"/>
        </w:rPr>
      </w:pPr>
      <w:r w:rsidRPr="00B53917">
        <w:rPr>
          <w:rFonts w:ascii="Times New Roman" w:eastAsia="Calibri" w:hAnsi="Times New Roman" w:cs="Times New Roman"/>
          <w:b/>
          <w:sz w:val="24"/>
          <w:szCs w:val="24"/>
          <w:lang w:val="es-ES" w:eastAsia="hi-IN" w:bidi="hi-IN"/>
        </w:rPr>
        <w:t xml:space="preserve">Cita en el texto </w:t>
      </w:r>
    </w:p>
    <w:p w14:paraId="1E7A94DE" w14:textId="77777777" w:rsidR="00652EF1" w:rsidRPr="00B53917" w:rsidRDefault="00652EF1" w:rsidP="00652EF1">
      <w:pPr>
        <w:pStyle w:val="NoSpacing"/>
        <w:jc w:val="both"/>
        <w:rPr>
          <w:rFonts w:ascii="Times New Roman" w:eastAsia="Calibri" w:hAnsi="Times New Roman" w:cs="Times New Roman"/>
          <w:sz w:val="24"/>
          <w:szCs w:val="24"/>
          <w:lang w:val="es-ES" w:eastAsia="hi-IN" w:bidi="hi-IN"/>
        </w:rPr>
      </w:pPr>
      <w:r>
        <w:rPr>
          <w:rFonts w:ascii="Times New Roman" w:eastAsia="Calibri" w:hAnsi="Times New Roman" w:cs="Times New Roman"/>
          <w:sz w:val="24"/>
          <w:szCs w:val="24"/>
          <w:lang w:val="es-ES" w:eastAsia="hi-IN" w:bidi="hi-IN"/>
        </w:rPr>
        <w:t>(Campbell</w:t>
      </w:r>
      <w:r w:rsidRPr="00B53917">
        <w:rPr>
          <w:rFonts w:ascii="Times New Roman" w:eastAsia="Calibri" w:hAnsi="Times New Roman" w:cs="Times New Roman"/>
          <w:sz w:val="24"/>
          <w:szCs w:val="24"/>
          <w:lang w:val="es-ES" w:eastAsia="hi-IN" w:bidi="hi-IN"/>
        </w:rPr>
        <w:t xml:space="preserve"> 1999, 218-223) </w:t>
      </w:r>
    </w:p>
    <w:p w14:paraId="5FADCC28" w14:textId="77777777" w:rsidR="00652EF1" w:rsidRPr="00B53917" w:rsidRDefault="00652EF1" w:rsidP="00652EF1">
      <w:pPr>
        <w:pStyle w:val="NoSpacing"/>
        <w:ind w:left="714"/>
        <w:jc w:val="both"/>
        <w:rPr>
          <w:rFonts w:ascii="Times New Roman" w:eastAsia="Calibri" w:hAnsi="Times New Roman" w:cs="Times New Roman"/>
          <w:sz w:val="24"/>
          <w:szCs w:val="24"/>
          <w:lang w:val="es-ES" w:eastAsia="hi-IN" w:bidi="hi-IN"/>
        </w:rPr>
      </w:pPr>
      <w:r w:rsidRPr="00B53917">
        <w:rPr>
          <w:rFonts w:ascii="Times New Roman" w:eastAsia="Calibri" w:hAnsi="Times New Roman" w:cs="Times New Roman"/>
          <w:sz w:val="24"/>
          <w:szCs w:val="24"/>
          <w:lang w:val="es-ES" w:eastAsia="hi-IN" w:bidi="hi-IN"/>
        </w:rPr>
        <w:t xml:space="preserve"> </w:t>
      </w:r>
    </w:p>
    <w:p w14:paraId="297E0D9F" w14:textId="77777777" w:rsidR="00652EF1" w:rsidRPr="00B53917" w:rsidRDefault="00652EF1" w:rsidP="00652EF1">
      <w:pPr>
        <w:pStyle w:val="NoSpacing"/>
        <w:jc w:val="both"/>
        <w:rPr>
          <w:rFonts w:ascii="Times New Roman" w:eastAsia="Calibri" w:hAnsi="Times New Roman" w:cs="Times New Roman"/>
          <w:b/>
          <w:sz w:val="24"/>
          <w:szCs w:val="24"/>
          <w:lang w:val="es-ES" w:eastAsia="hi-IN" w:bidi="hi-IN"/>
        </w:rPr>
      </w:pPr>
      <w:r w:rsidRPr="00B53917">
        <w:rPr>
          <w:rFonts w:ascii="Times New Roman" w:eastAsia="Calibri" w:hAnsi="Times New Roman" w:cs="Times New Roman"/>
          <w:b/>
          <w:sz w:val="24"/>
          <w:szCs w:val="24"/>
          <w:lang w:val="es-ES" w:eastAsia="hi-IN" w:bidi="hi-IN"/>
        </w:rPr>
        <w:t xml:space="preserve">Bibliografía </w:t>
      </w:r>
    </w:p>
    <w:p w14:paraId="63DD6699" w14:textId="77777777" w:rsidR="00652EF1" w:rsidRPr="00B53917" w:rsidRDefault="00652EF1" w:rsidP="00652EF1">
      <w:pPr>
        <w:pStyle w:val="NoSpacing"/>
        <w:jc w:val="both"/>
        <w:rPr>
          <w:rFonts w:ascii="Times New Roman" w:eastAsia="Calibri" w:hAnsi="Times New Roman" w:cs="Times New Roman"/>
          <w:sz w:val="24"/>
          <w:szCs w:val="24"/>
          <w:lang w:val="es-ES" w:eastAsia="hi-IN" w:bidi="hi-IN"/>
        </w:rPr>
      </w:pPr>
      <w:r>
        <w:rPr>
          <w:rFonts w:ascii="Times New Roman" w:eastAsia="Calibri" w:hAnsi="Times New Roman" w:cs="Times New Roman"/>
          <w:sz w:val="24"/>
          <w:szCs w:val="24"/>
          <w:lang w:val="es-ES" w:eastAsia="hi-IN" w:bidi="hi-IN"/>
        </w:rPr>
        <w:t xml:space="preserve">Campbell, Joseph. 1999. </w:t>
      </w:r>
      <w:r w:rsidRPr="00B53917">
        <w:rPr>
          <w:rFonts w:ascii="Times New Roman" w:eastAsia="Calibri" w:hAnsi="Times New Roman" w:cs="Times New Roman"/>
          <w:i/>
          <w:sz w:val="24"/>
          <w:szCs w:val="24"/>
          <w:lang w:val="es-ES" w:eastAsia="hi-IN" w:bidi="hi-IN"/>
        </w:rPr>
        <w:t>El héroe de las mil caras</w:t>
      </w:r>
      <w:r w:rsidRPr="00B53917">
        <w:rPr>
          <w:rFonts w:ascii="Times New Roman" w:eastAsia="Calibri" w:hAnsi="Times New Roman" w:cs="Times New Roman"/>
          <w:sz w:val="24"/>
          <w:szCs w:val="24"/>
          <w:lang w:val="es-ES" w:eastAsia="hi-IN" w:bidi="hi-IN"/>
        </w:rPr>
        <w:t>. México: Fondo de Cultura Económica.</w:t>
      </w:r>
    </w:p>
    <w:p w14:paraId="3FB5F39E" w14:textId="77777777" w:rsidR="00652EF1" w:rsidRPr="008B7B42" w:rsidRDefault="00652EF1" w:rsidP="00652EF1">
      <w:pPr>
        <w:pStyle w:val="NoSpacing"/>
        <w:spacing w:line="360" w:lineRule="auto"/>
        <w:ind w:left="714"/>
        <w:jc w:val="both"/>
        <w:rPr>
          <w:rFonts w:ascii="Times New Roman" w:hAnsi="Times New Roman" w:cs="Times New Roman"/>
          <w:sz w:val="24"/>
          <w:szCs w:val="24"/>
          <w:lang w:val="es-ES" w:eastAsia="hi-IN" w:bidi="hi-IN"/>
        </w:rPr>
      </w:pPr>
    </w:p>
    <w:p w14:paraId="424FCDCA" w14:textId="77777777" w:rsidR="00652EF1" w:rsidRPr="005A6F34" w:rsidRDefault="00652EF1" w:rsidP="00652EF1">
      <w:pPr>
        <w:pStyle w:val="NoSpacing"/>
        <w:numPr>
          <w:ilvl w:val="0"/>
          <w:numId w:val="28"/>
        </w:numPr>
        <w:jc w:val="both"/>
        <w:rPr>
          <w:rFonts w:ascii="Times New Roman" w:hAnsi="Times New Roman" w:cs="Times New Roman"/>
          <w:b/>
          <w:sz w:val="24"/>
          <w:szCs w:val="24"/>
          <w:lang w:val="es-ES" w:eastAsia="hi-IN" w:bidi="hi-IN"/>
        </w:rPr>
      </w:pPr>
      <w:r w:rsidRPr="005A6F34">
        <w:rPr>
          <w:rFonts w:ascii="Times New Roman" w:hAnsi="Times New Roman" w:cs="Times New Roman"/>
          <w:b/>
          <w:sz w:val="24"/>
          <w:szCs w:val="24"/>
          <w:lang w:val="es-ES" w:eastAsia="hi-IN" w:bidi="hi-IN"/>
        </w:rPr>
        <w:t xml:space="preserve">Libros con dos o más autores </w:t>
      </w:r>
    </w:p>
    <w:p w14:paraId="0A968C9D" w14:textId="77777777" w:rsidR="00652EF1" w:rsidRPr="005A6F34" w:rsidRDefault="00652EF1" w:rsidP="00652EF1">
      <w:pPr>
        <w:pStyle w:val="NoSpacing"/>
        <w:jc w:val="both"/>
        <w:rPr>
          <w:rFonts w:ascii="Times New Roman" w:hAnsi="Times New Roman" w:cs="Times New Roman"/>
          <w:b/>
          <w:sz w:val="24"/>
          <w:szCs w:val="24"/>
          <w:lang w:val="es-ES" w:eastAsia="hi-IN" w:bidi="hi-IN"/>
        </w:rPr>
      </w:pPr>
      <w:r w:rsidRPr="005A6F34">
        <w:rPr>
          <w:rFonts w:ascii="Times New Roman" w:hAnsi="Times New Roman" w:cs="Times New Roman"/>
          <w:b/>
          <w:sz w:val="24"/>
          <w:szCs w:val="24"/>
          <w:lang w:val="es-ES" w:eastAsia="hi-IN" w:bidi="hi-IN"/>
        </w:rPr>
        <w:t xml:space="preserve"> </w:t>
      </w:r>
    </w:p>
    <w:p w14:paraId="4C9D086D" w14:textId="77777777" w:rsidR="00652EF1" w:rsidRPr="003F299D" w:rsidRDefault="00652EF1" w:rsidP="00652EF1">
      <w:pPr>
        <w:pStyle w:val="NoSpacing"/>
        <w:jc w:val="both"/>
        <w:rPr>
          <w:rFonts w:ascii="Times New Roman" w:hAnsi="Times New Roman" w:cs="Times New Roman"/>
          <w:b/>
          <w:sz w:val="24"/>
          <w:szCs w:val="24"/>
          <w:lang w:val="es-ES" w:eastAsia="hi-IN" w:bidi="hi-IN"/>
        </w:rPr>
      </w:pPr>
      <w:r w:rsidRPr="005A6F34">
        <w:rPr>
          <w:rFonts w:ascii="Times New Roman" w:hAnsi="Times New Roman" w:cs="Times New Roman"/>
          <w:b/>
          <w:sz w:val="24"/>
          <w:szCs w:val="24"/>
          <w:lang w:val="es-ES" w:eastAsia="hi-IN" w:bidi="hi-IN"/>
        </w:rPr>
        <w:t>Nota al pie de página</w:t>
      </w:r>
    </w:p>
    <w:p w14:paraId="3F590993" w14:textId="77777777" w:rsidR="00652EF1" w:rsidRPr="00B44A84" w:rsidRDefault="00652EF1" w:rsidP="00652EF1">
      <w:pPr>
        <w:jc w:val="both"/>
        <w:rPr>
          <w:rFonts w:ascii="Times New Roman" w:eastAsia="Times New Roman" w:hAnsi="Times New Roman" w:cs="Times New Roman"/>
          <w:sz w:val="24"/>
          <w:szCs w:val="24"/>
          <w:lang w:val="es-CR" w:eastAsia="es-CR"/>
        </w:rPr>
      </w:pPr>
      <w:r>
        <w:rPr>
          <w:rFonts w:ascii="Times New Roman" w:hAnsi="Times New Roman" w:cs="Times New Roman"/>
          <w:sz w:val="24"/>
          <w:szCs w:val="24"/>
          <w:lang w:val="es-ES" w:eastAsia="hi-IN" w:bidi="hi-IN"/>
        </w:rPr>
        <w:t>Alberto Bernabé y Ana Isabel Jiménez San Cristóbal</w:t>
      </w:r>
      <w:r w:rsidRPr="005A6F34">
        <w:rPr>
          <w:rFonts w:ascii="Times New Roman" w:hAnsi="Times New Roman" w:cs="Times New Roman"/>
          <w:sz w:val="24"/>
          <w:szCs w:val="24"/>
          <w:lang w:val="es-ES" w:eastAsia="hi-IN" w:bidi="hi-IN"/>
        </w:rPr>
        <w:t xml:space="preserve">, </w:t>
      </w:r>
      <w:r w:rsidRPr="00B44A84">
        <w:rPr>
          <w:rFonts w:ascii="Times New Roman" w:eastAsia="Times New Roman" w:hAnsi="Times New Roman" w:cs="Times New Roman"/>
          <w:bCs/>
          <w:i/>
          <w:kern w:val="36"/>
          <w:sz w:val="24"/>
          <w:szCs w:val="24"/>
          <w:lang w:val="es-CR" w:eastAsia="es-CR"/>
        </w:rPr>
        <w:t>Instructions for the Netherworld: The Orphic Gold Tablets</w:t>
      </w:r>
      <w:r w:rsidRPr="00B44A84">
        <w:rPr>
          <w:rFonts w:ascii="Times New Roman" w:eastAsia="Times New Roman" w:hAnsi="Times New Roman" w:cs="Times New Roman"/>
          <w:bCs/>
          <w:kern w:val="36"/>
          <w:sz w:val="24"/>
          <w:szCs w:val="24"/>
          <w:lang w:val="es-CR" w:eastAsia="es-CR"/>
        </w:rPr>
        <w:t xml:space="preserve"> (Leiden/Boston: </w:t>
      </w:r>
      <w:r w:rsidRPr="00B44A84">
        <w:rPr>
          <w:rFonts w:ascii="Times New Roman" w:hAnsi="Times New Roman" w:cs="Times New Roman"/>
          <w:sz w:val="24"/>
          <w:szCs w:val="24"/>
        </w:rPr>
        <w:t>Brill Academic Pub, 2008</w:t>
      </w:r>
      <w:r w:rsidRPr="00B44A84">
        <w:rPr>
          <w:rFonts w:ascii="Times New Roman" w:eastAsia="Times New Roman" w:hAnsi="Times New Roman" w:cs="Times New Roman"/>
          <w:bCs/>
          <w:kern w:val="36"/>
          <w:sz w:val="24"/>
          <w:szCs w:val="24"/>
          <w:lang w:val="es-CR" w:eastAsia="es-CR"/>
        </w:rPr>
        <w:t xml:space="preserve">), 100. </w:t>
      </w:r>
    </w:p>
    <w:p w14:paraId="55D12D49" w14:textId="77777777" w:rsidR="00652EF1" w:rsidRPr="003F299D" w:rsidRDefault="00652EF1" w:rsidP="00652EF1">
      <w:pPr>
        <w:pStyle w:val="NoSpacing"/>
        <w:jc w:val="both"/>
        <w:rPr>
          <w:rFonts w:ascii="Times New Roman" w:hAnsi="Times New Roman" w:cs="Times New Roman"/>
          <w:b/>
          <w:sz w:val="24"/>
          <w:szCs w:val="24"/>
          <w:lang w:val="es-ES" w:eastAsia="hi-IN" w:bidi="hi-IN"/>
        </w:rPr>
      </w:pPr>
      <w:r w:rsidRPr="005A6F34">
        <w:rPr>
          <w:rFonts w:ascii="Times New Roman" w:hAnsi="Times New Roman" w:cs="Times New Roman"/>
          <w:b/>
          <w:sz w:val="24"/>
          <w:szCs w:val="24"/>
          <w:lang w:val="es-ES" w:eastAsia="hi-IN" w:bidi="hi-IN"/>
        </w:rPr>
        <w:t xml:space="preserve">Cita en el texto </w:t>
      </w:r>
    </w:p>
    <w:p w14:paraId="54C31E0A" w14:textId="77777777" w:rsidR="00652EF1" w:rsidRPr="005A6F34"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(Bernabé y Jiménez San Cristóbal 2008, 100</w:t>
      </w:r>
      <w:r w:rsidRPr="005A6F34">
        <w:rPr>
          <w:rFonts w:ascii="Times New Roman" w:hAnsi="Times New Roman" w:cs="Times New Roman"/>
          <w:sz w:val="24"/>
          <w:szCs w:val="24"/>
          <w:lang w:val="es-ES" w:eastAsia="hi-IN" w:bidi="hi-IN"/>
        </w:rPr>
        <w:t xml:space="preserve">) </w:t>
      </w:r>
    </w:p>
    <w:p w14:paraId="5C643B46" w14:textId="77777777" w:rsidR="00652EF1" w:rsidRPr="005A6F34" w:rsidRDefault="00652EF1" w:rsidP="00652EF1">
      <w:pPr>
        <w:pStyle w:val="NoSpacing"/>
        <w:jc w:val="both"/>
        <w:rPr>
          <w:rFonts w:ascii="Times New Roman" w:hAnsi="Times New Roman" w:cs="Times New Roman"/>
          <w:sz w:val="24"/>
          <w:szCs w:val="24"/>
          <w:lang w:val="es-ES" w:eastAsia="hi-IN" w:bidi="hi-IN"/>
        </w:rPr>
      </w:pPr>
      <w:r w:rsidRPr="005A6F34">
        <w:rPr>
          <w:rFonts w:ascii="Times New Roman" w:hAnsi="Times New Roman" w:cs="Times New Roman"/>
          <w:sz w:val="24"/>
          <w:szCs w:val="24"/>
          <w:lang w:val="es-ES" w:eastAsia="hi-IN" w:bidi="hi-IN"/>
        </w:rPr>
        <w:t xml:space="preserve"> </w:t>
      </w:r>
    </w:p>
    <w:p w14:paraId="0C42DDE0" w14:textId="77777777" w:rsidR="00652EF1" w:rsidRPr="003F299D" w:rsidRDefault="00652EF1" w:rsidP="00652EF1">
      <w:pPr>
        <w:pStyle w:val="NoSpacing"/>
        <w:jc w:val="both"/>
        <w:rPr>
          <w:rFonts w:ascii="Times New Roman" w:hAnsi="Times New Roman" w:cs="Times New Roman"/>
          <w:b/>
          <w:sz w:val="24"/>
          <w:szCs w:val="24"/>
          <w:lang w:val="es-ES" w:eastAsia="hi-IN" w:bidi="hi-IN"/>
        </w:rPr>
      </w:pPr>
      <w:r>
        <w:rPr>
          <w:rFonts w:ascii="Times New Roman" w:hAnsi="Times New Roman" w:cs="Times New Roman"/>
          <w:b/>
          <w:sz w:val="24"/>
          <w:szCs w:val="24"/>
          <w:lang w:val="es-ES" w:eastAsia="hi-IN" w:bidi="hi-IN"/>
        </w:rPr>
        <w:t xml:space="preserve">Bibliografía </w:t>
      </w:r>
    </w:p>
    <w:p w14:paraId="7C468DFF" w14:textId="77777777" w:rsidR="00652EF1" w:rsidRPr="005A6F34"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 xml:space="preserve">Bernabé, Alberto y Ana Isabel Jiménez San Cristóbal. 2008. </w:t>
      </w:r>
      <w:r w:rsidRPr="00652EF1">
        <w:rPr>
          <w:rFonts w:ascii="Times New Roman" w:hAnsi="Times New Roman" w:cs="Times New Roman"/>
          <w:i/>
          <w:sz w:val="24"/>
          <w:szCs w:val="24"/>
          <w:lang w:val="es-ES" w:eastAsia="hi-IN" w:bidi="hi-IN"/>
        </w:rPr>
        <w:t>Instructions for the Netherworld: The Orphic Gold Tablets</w:t>
      </w:r>
      <w:r>
        <w:rPr>
          <w:rFonts w:ascii="Times New Roman" w:hAnsi="Times New Roman" w:cs="Times New Roman"/>
          <w:sz w:val="24"/>
          <w:szCs w:val="24"/>
          <w:lang w:val="es-ES" w:eastAsia="hi-IN" w:bidi="hi-IN"/>
        </w:rPr>
        <w:t>. Leiden / Boston: Brill Academic Pub.</w:t>
      </w:r>
      <w:r w:rsidRPr="005A6F34">
        <w:rPr>
          <w:rFonts w:ascii="Times New Roman" w:hAnsi="Times New Roman" w:cs="Times New Roman"/>
          <w:sz w:val="24"/>
          <w:szCs w:val="24"/>
          <w:lang w:val="es-ES" w:eastAsia="hi-IN" w:bidi="hi-IN"/>
        </w:rPr>
        <w:t xml:space="preserve"> </w:t>
      </w:r>
    </w:p>
    <w:p w14:paraId="39C2759C" w14:textId="77777777" w:rsidR="00652EF1" w:rsidRPr="005A6F34" w:rsidRDefault="00652EF1" w:rsidP="00652EF1">
      <w:pPr>
        <w:pStyle w:val="NoSpacing"/>
        <w:jc w:val="both"/>
        <w:rPr>
          <w:rFonts w:ascii="Times New Roman" w:hAnsi="Times New Roman" w:cs="Times New Roman"/>
          <w:sz w:val="24"/>
          <w:szCs w:val="24"/>
          <w:lang w:val="es-ES" w:eastAsia="hi-IN" w:bidi="hi-IN"/>
        </w:rPr>
      </w:pPr>
    </w:p>
    <w:p w14:paraId="7426B2D1" w14:textId="77777777" w:rsidR="00652EF1" w:rsidRPr="003F299D" w:rsidRDefault="00652EF1" w:rsidP="00652EF1">
      <w:pPr>
        <w:pStyle w:val="NoSpacing"/>
        <w:jc w:val="both"/>
        <w:rPr>
          <w:rFonts w:ascii="Times New Roman" w:hAnsi="Times New Roman" w:cs="Times New Roman"/>
          <w:sz w:val="24"/>
          <w:szCs w:val="24"/>
          <w:lang w:val="es-ES" w:eastAsia="hi-IN" w:bidi="hi-IN"/>
        </w:rPr>
      </w:pPr>
      <w:r w:rsidRPr="003F299D">
        <w:rPr>
          <w:rFonts w:ascii="Times New Roman" w:hAnsi="Times New Roman" w:cs="Times New Roman"/>
          <w:b/>
          <w:sz w:val="24"/>
          <w:szCs w:val="24"/>
          <w:lang w:val="es-ES" w:eastAsia="hi-IN" w:bidi="hi-IN"/>
        </w:rPr>
        <w:t>Nota:</w:t>
      </w:r>
      <w:r>
        <w:rPr>
          <w:rFonts w:ascii="Times New Roman" w:hAnsi="Times New Roman" w:cs="Times New Roman"/>
          <w:sz w:val="24"/>
          <w:szCs w:val="24"/>
          <w:lang w:val="es-ES" w:eastAsia="hi-IN" w:bidi="hi-IN"/>
        </w:rPr>
        <w:t xml:space="preserve"> Cuando es un libro con más de tres autores </w:t>
      </w:r>
      <w:r w:rsidRPr="003F299D">
        <w:rPr>
          <w:rFonts w:ascii="Times New Roman" w:hAnsi="Times New Roman" w:cs="Times New Roman"/>
          <w:sz w:val="24"/>
          <w:szCs w:val="24"/>
          <w:lang w:val="es-ES" w:eastAsia="hi-IN" w:bidi="hi-IN"/>
        </w:rPr>
        <w:t>las notas al pie de página deben incluir el nombre del primer autor seguido por "et al." o "y ot</w:t>
      </w:r>
      <w:r>
        <w:rPr>
          <w:rFonts w:ascii="Times New Roman" w:hAnsi="Times New Roman" w:cs="Times New Roman"/>
          <w:sz w:val="24"/>
          <w:szCs w:val="24"/>
          <w:lang w:val="es-ES" w:eastAsia="hi-IN" w:bidi="hi-IN"/>
        </w:rPr>
        <w:t>ros". Las dos opciones son correctas</w:t>
      </w:r>
      <w:r w:rsidRPr="003F299D">
        <w:rPr>
          <w:rFonts w:ascii="Times New Roman" w:hAnsi="Times New Roman" w:cs="Times New Roman"/>
          <w:sz w:val="24"/>
          <w:szCs w:val="24"/>
          <w:lang w:val="es-ES" w:eastAsia="hi-IN" w:bidi="hi-IN"/>
        </w:rPr>
        <w:t>. En la bibliografía, usualmente se ponen todos los autores, sin embargo</w:t>
      </w:r>
      <w:r>
        <w:rPr>
          <w:rFonts w:ascii="Times New Roman" w:hAnsi="Times New Roman" w:cs="Times New Roman"/>
          <w:sz w:val="24"/>
          <w:szCs w:val="24"/>
          <w:lang w:val="es-ES" w:eastAsia="hi-IN" w:bidi="hi-IN"/>
        </w:rPr>
        <w:t>,</w:t>
      </w:r>
      <w:r w:rsidRPr="003F299D">
        <w:rPr>
          <w:rFonts w:ascii="Times New Roman" w:hAnsi="Times New Roman" w:cs="Times New Roman"/>
          <w:sz w:val="24"/>
          <w:szCs w:val="24"/>
          <w:lang w:val="es-ES" w:eastAsia="hi-IN" w:bidi="hi-IN"/>
        </w:rPr>
        <w:t xml:space="preserve"> también se puede utilizar "et al." o "y otros". </w:t>
      </w:r>
    </w:p>
    <w:p w14:paraId="0BA6F144" w14:textId="77777777" w:rsidR="00652EF1" w:rsidRDefault="00652EF1" w:rsidP="00652EF1">
      <w:pPr>
        <w:pStyle w:val="NoSpacing"/>
        <w:jc w:val="both"/>
        <w:rPr>
          <w:rFonts w:ascii="Times New Roman" w:hAnsi="Times New Roman" w:cs="Times New Roman"/>
          <w:sz w:val="24"/>
          <w:szCs w:val="24"/>
          <w:lang w:val="es-ES" w:eastAsia="hi-IN" w:bidi="hi-IN"/>
        </w:rPr>
      </w:pPr>
    </w:p>
    <w:p w14:paraId="1E828291" w14:textId="77777777" w:rsidR="00652EF1" w:rsidRPr="003F299D" w:rsidRDefault="00652EF1" w:rsidP="00652EF1">
      <w:pPr>
        <w:pStyle w:val="NoSpacing"/>
        <w:numPr>
          <w:ilvl w:val="0"/>
          <w:numId w:val="28"/>
        </w:numPr>
        <w:jc w:val="both"/>
        <w:rPr>
          <w:rFonts w:ascii="Times New Roman" w:hAnsi="Times New Roman" w:cs="Times New Roman"/>
          <w:b/>
          <w:sz w:val="24"/>
          <w:szCs w:val="24"/>
          <w:lang w:val="es-ES" w:eastAsia="hi-IN" w:bidi="hi-IN"/>
        </w:rPr>
      </w:pPr>
      <w:r w:rsidRPr="003F299D">
        <w:rPr>
          <w:rFonts w:ascii="Times New Roman" w:hAnsi="Times New Roman" w:cs="Times New Roman"/>
          <w:b/>
          <w:sz w:val="24"/>
          <w:szCs w:val="24"/>
          <w:lang w:val="es-ES" w:eastAsia="hi-IN" w:bidi="hi-IN"/>
        </w:rPr>
        <w:t xml:space="preserve">Capítulo de un libro con un solo autor </w:t>
      </w:r>
    </w:p>
    <w:p w14:paraId="0FD7A562" w14:textId="77777777" w:rsidR="00652EF1" w:rsidRPr="003F299D" w:rsidRDefault="00652EF1" w:rsidP="00652EF1">
      <w:pPr>
        <w:pStyle w:val="NoSpacing"/>
        <w:jc w:val="both"/>
        <w:rPr>
          <w:rFonts w:ascii="Times New Roman" w:hAnsi="Times New Roman" w:cs="Times New Roman"/>
          <w:b/>
          <w:sz w:val="24"/>
          <w:szCs w:val="24"/>
          <w:lang w:val="es-ES" w:eastAsia="hi-IN" w:bidi="hi-IN"/>
        </w:rPr>
      </w:pPr>
      <w:r w:rsidRPr="003F299D">
        <w:rPr>
          <w:rFonts w:ascii="Times New Roman" w:hAnsi="Times New Roman" w:cs="Times New Roman"/>
          <w:b/>
          <w:sz w:val="24"/>
          <w:szCs w:val="24"/>
          <w:lang w:val="es-ES" w:eastAsia="hi-IN" w:bidi="hi-IN"/>
        </w:rPr>
        <w:t xml:space="preserve"> </w:t>
      </w:r>
    </w:p>
    <w:p w14:paraId="5EF056A0" w14:textId="77777777" w:rsidR="00652EF1" w:rsidRPr="003F299D" w:rsidRDefault="00652EF1" w:rsidP="00652EF1">
      <w:pPr>
        <w:pStyle w:val="NoSpacing"/>
        <w:jc w:val="both"/>
        <w:rPr>
          <w:rFonts w:ascii="Times New Roman" w:hAnsi="Times New Roman" w:cs="Times New Roman"/>
          <w:b/>
          <w:sz w:val="24"/>
          <w:szCs w:val="24"/>
          <w:lang w:val="es-ES" w:eastAsia="hi-IN" w:bidi="hi-IN"/>
        </w:rPr>
      </w:pPr>
      <w:r w:rsidRPr="003F299D">
        <w:rPr>
          <w:rFonts w:ascii="Times New Roman" w:hAnsi="Times New Roman" w:cs="Times New Roman"/>
          <w:b/>
          <w:sz w:val="24"/>
          <w:szCs w:val="24"/>
          <w:lang w:val="es-ES" w:eastAsia="hi-IN" w:bidi="hi-IN"/>
        </w:rPr>
        <w:t xml:space="preserve">Nota al pie de página </w:t>
      </w:r>
    </w:p>
    <w:p w14:paraId="4538108A" w14:textId="77777777" w:rsidR="00652EF1" w:rsidRPr="008D797F" w:rsidRDefault="00652EF1" w:rsidP="00652EF1">
      <w:pPr>
        <w:pStyle w:val="NoSpacing"/>
        <w:jc w:val="both"/>
        <w:rPr>
          <w:rFonts w:ascii="Times New Roman" w:hAnsi="Times New Roman" w:cs="Times New Roman"/>
          <w:i/>
          <w:sz w:val="24"/>
          <w:szCs w:val="24"/>
          <w:lang w:val="es-ES" w:eastAsia="hi-IN" w:bidi="hi-IN"/>
        </w:rPr>
      </w:pPr>
      <w:r>
        <w:rPr>
          <w:rFonts w:ascii="Times New Roman" w:hAnsi="Times New Roman" w:cs="Times New Roman"/>
          <w:sz w:val="24"/>
          <w:szCs w:val="24"/>
          <w:lang w:val="es-ES" w:eastAsia="hi-IN" w:bidi="hi-IN"/>
        </w:rPr>
        <w:t xml:space="preserve">Antonio Piñero, </w:t>
      </w:r>
      <w:r w:rsidRPr="008D797F">
        <w:rPr>
          <w:rFonts w:ascii="Times New Roman" w:hAnsi="Times New Roman" w:cs="Times New Roman"/>
          <w:i/>
          <w:sz w:val="24"/>
          <w:szCs w:val="24"/>
          <w:lang w:val="es-ES" w:eastAsia="hi-IN" w:bidi="hi-IN"/>
        </w:rPr>
        <w:t>“</w:t>
      </w:r>
      <w:r w:rsidRPr="008D797F">
        <w:rPr>
          <w:rStyle w:val="Emphasis"/>
          <w:rFonts w:ascii="Times New Roman" w:hAnsi="Times New Roman" w:cs="Times New Roman"/>
          <w:i w:val="0"/>
          <w:sz w:val="24"/>
          <w:szCs w:val="24"/>
        </w:rPr>
        <w:t>Las religiones de “misterios”: la búsqueda de la salvación y de la inmortalidad,</w:t>
      </w:r>
      <w:r>
        <w:rPr>
          <w:rStyle w:val="Emphasis"/>
          <w:rFonts w:ascii="Times New Roman" w:hAnsi="Times New Roman" w:cs="Times New Roman"/>
          <w:i w:val="0"/>
          <w:sz w:val="24"/>
          <w:szCs w:val="24"/>
        </w:rPr>
        <w:t xml:space="preserve">” en </w:t>
      </w:r>
      <w:r w:rsidRPr="00652EF1">
        <w:rPr>
          <w:rStyle w:val="Emphasis"/>
          <w:rFonts w:ascii="Times New Roman" w:hAnsi="Times New Roman" w:cs="Times New Roman"/>
          <w:sz w:val="24"/>
          <w:szCs w:val="24"/>
        </w:rPr>
        <w:t xml:space="preserve">Año I. </w:t>
      </w:r>
      <w:proofErr w:type="gramStart"/>
      <w:r w:rsidRPr="00652EF1">
        <w:rPr>
          <w:rStyle w:val="Emphasis"/>
          <w:rFonts w:ascii="Times New Roman" w:hAnsi="Times New Roman" w:cs="Times New Roman"/>
          <w:sz w:val="24"/>
          <w:szCs w:val="24"/>
        </w:rPr>
        <w:t>Israel y su mundo cuando nació Jesús</w:t>
      </w:r>
      <w:r>
        <w:rPr>
          <w:rStyle w:val="Emphasis"/>
          <w:rFonts w:ascii="Times New Roman" w:hAnsi="Times New Roman" w:cs="Times New Roman"/>
          <w:i w:val="0"/>
          <w:sz w:val="24"/>
          <w:szCs w:val="24"/>
        </w:rPr>
        <w:t xml:space="preserve"> (España: Laberinto, 2008), 153-172.</w:t>
      </w:r>
      <w:proofErr w:type="gramEnd"/>
      <w:r>
        <w:rPr>
          <w:rStyle w:val="Emphasis"/>
          <w:rFonts w:ascii="Times New Roman" w:hAnsi="Times New Roman" w:cs="Times New Roman"/>
          <w:i w:val="0"/>
          <w:sz w:val="24"/>
          <w:szCs w:val="24"/>
        </w:rPr>
        <w:t xml:space="preserve">  </w:t>
      </w:r>
      <w:r w:rsidRPr="008D797F">
        <w:rPr>
          <w:rStyle w:val="Emphasis"/>
          <w:rFonts w:ascii="Times New Roman" w:hAnsi="Times New Roman" w:cs="Times New Roman"/>
          <w:i w:val="0"/>
          <w:sz w:val="24"/>
          <w:szCs w:val="24"/>
        </w:rPr>
        <w:t xml:space="preserve"> </w:t>
      </w:r>
    </w:p>
    <w:p w14:paraId="12DF64DD" w14:textId="77777777" w:rsidR="00652EF1" w:rsidRPr="003F299D" w:rsidRDefault="00652EF1" w:rsidP="00652EF1">
      <w:pPr>
        <w:pStyle w:val="NoSpacing"/>
        <w:jc w:val="both"/>
        <w:rPr>
          <w:rFonts w:ascii="Times New Roman" w:hAnsi="Times New Roman" w:cs="Times New Roman"/>
          <w:sz w:val="24"/>
          <w:szCs w:val="24"/>
          <w:lang w:val="es-ES" w:eastAsia="hi-IN" w:bidi="hi-IN"/>
        </w:rPr>
      </w:pPr>
    </w:p>
    <w:p w14:paraId="1F2D26E3" w14:textId="77777777" w:rsidR="00652EF1" w:rsidRDefault="00652EF1" w:rsidP="00652EF1">
      <w:pPr>
        <w:pStyle w:val="NoSpacing"/>
        <w:jc w:val="both"/>
        <w:rPr>
          <w:rFonts w:ascii="Times New Roman" w:hAnsi="Times New Roman" w:cs="Times New Roman"/>
          <w:b/>
          <w:sz w:val="24"/>
          <w:szCs w:val="24"/>
          <w:lang w:val="es-ES" w:eastAsia="hi-IN" w:bidi="hi-IN"/>
        </w:rPr>
      </w:pPr>
      <w:r w:rsidRPr="003F299D">
        <w:rPr>
          <w:rFonts w:ascii="Times New Roman" w:hAnsi="Times New Roman" w:cs="Times New Roman"/>
          <w:b/>
          <w:sz w:val="24"/>
          <w:szCs w:val="24"/>
          <w:lang w:val="es-ES" w:eastAsia="hi-IN" w:bidi="hi-IN"/>
        </w:rPr>
        <w:t xml:space="preserve">Cita en el texto </w:t>
      </w:r>
    </w:p>
    <w:p w14:paraId="22399993" w14:textId="77777777" w:rsidR="00652EF1" w:rsidRPr="008D797F" w:rsidRDefault="00652EF1" w:rsidP="00652EF1">
      <w:pPr>
        <w:pStyle w:val="NoSpacing"/>
        <w:jc w:val="both"/>
        <w:rPr>
          <w:rFonts w:ascii="Times New Roman" w:hAnsi="Times New Roman" w:cs="Times New Roman"/>
          <w:sz w:val="24"/>
          <w:szCs w:val="24"/>
          <w:lang w:val="es-ES" w:eastAsia="hi-IN" w:bidi="hi-IN"/>
        </w:rPr>
      </w:pPr>
      <w:r w:rsidRPr="008D797F">
        <w:rPr>
          <w:rFonts w:ascii="Times New Roman" w:hAnsi="Times New Roman" w:cs="Times New Roman"/>
          <w:sz w:val="24"/>
          <w:szCs w:val="24"/>
          <w:lang w:val="es-ES" w:eastAsia="hi-IN" w:bidi="hi-IN"/>
        </w:rPr>
        <w:lastRenderedPageBreak/>
        <w:t xml:space="preserve">(Piñero, 2008, </w:t>
      </w:r>
      <w:r>
        <w:rPr>
          <w:rFonts w:ascii="Times New Roman" w:hAnsi="Times New Roman" w:cs="Times New Roman"/>
          <w:sz w:val="24"/>
          <w:szCs w:val="24"/>
          <w:lang w:val="es-ES" w:eastAsia="hi-IN" w:bidi="hi-IN"/>
        </w:rPr>
        <w:t>156</w:t>
      </w:r>
      <w:r w:rsidRPr="008D797F">
        <w:rPr>
          <w:rFonts w:ascii="Times New Roman" w:hAnsi="Times New Roman" w:cs="Times New Roman"/>
          <w:sz w:val="24"/>
          <w:szCs w:val="24"/>
          <w:lang w:val="es-ES" w:eastAsia="hi-IN" w:bidi="hi-IN"/>
        </w:rPr>
        <w:t>)</w:t>
      </w:r>
    </w:p>
    <w:p w14:paraId="16C55E58" w14:textId="77777777" w:rsidR="00652EF1" w:rsidRPr="003F299D" w:rsidRDefault="00652EF1" w:rsidP="00652EF1">
      <w:pPr>
        <w:pStyle w:val="NoSpacing"/>
        <w:jc w:val="both"/>
        <w:rPr>
          <w:rFonts w:ascii="Times New Roman" w:hAnsi="Times New Roman" w:cs="Times New Roman"/>
          <w:sz w:val="24"/>
          <w:szCs w:val="24"/>
          <w:lang w:val="es-ES" w:eastAsia="hi-IN" w:bidi="hi-IN"/>
        </w:rPr>
      </w:pPr>
    </w:p>
    <w:p w14:paraId="2CC10374" w14:textId="77777777" w:rsidR="00652EF1" w:rsidRPr="003F299D" w:rsidRDefault="00652EF1" w:rsidP="00652EF1">
      <w:pPr>
        <w:pStyle w:val="NoSpacing"/>
        <w:jc w:val="both"/>
        <w:rPr>
          <w:rFonts w:ascii="Times New Roman" w:hAnsi="Times New Roman" w:cs="Times New Roman"/>
          <w:b/>
          <w:sz w:val="24"/>
          <w:szCs w:val="24"/>
          <w:lang w:val="es-ES" w:eastAsia="hi-IN" w:bidi="hi-IN"/>
        </w:rPr>
      </w:pPr>
      <w:r w:rsidRPr="003F299D">
        <w:rPr>
          <w:rFonts w:ascii="Times New Roman" w:hAnsi="Times New Roman" w:cs="Times New Roman"/>
          <w:b/>
          <w:sz w:val="24"/>
          <w:szCs w:val="24"/>
          <w:lang w:val="es-ES" w:eastAsia="hi-IN" w:bidi="hi-IN"/>
        </w:rPr>
        <w:t xml:space="preserve">Bibliografía </w:t>
      </w:r>
    </w:p>
    <w:p w14:paraId="03AE3670" w14:textId="77777777" w:rsidR="00652EF1"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 xml:space="preserve">Piñero, Antonio. 2008. Las religiones de “misterios”: la búsqueda de la salvación y de la inmortalidad. En </w:t>
      </w:r>
      <w:r w:rsidRPr="00652EF1">
        <w:rPr>
          <w:rFonts w:ascii="Times New Roman" w:hAnsi="Times New Roman" w:cs="Times New Roman"/>
          <w:i/>
          <w:sz w:val="24"/>
          <w:szCs w:val="24"/>
          <w:lang w:val="es-ES" w:eastAsia="hi-IN" w:bidi="hi-IN"/>
        </w:rPr>
        <w:t>Año I. Israel y su mundo cuando nació Jesús</w:t>
      </w:r>
      <w:r>
        <w:rPr>
          <w:rFonts w:ascii="Times New Roman" w:hAnsi="Times New Roman" w:cs="Times New Roman"/>
          <w:sz w:val="24"/>
          <w:szCs w:val="24"/>
          <w:lang w:val="es-ES" w:eastAsia="hi-IN" w:bidi="hi-IN"/>
        </w:rPr>
        <w:t>, 153-172. España, Laberinto.</w:t>
      </w:r>
    </w:p>
    <w:p w14:paraId="4D6B0A21" w14:textId="77777777" w:rsidR="00652EF1" w:rsidRPr="00B01B74" w:rsidRDefault="00652EF1" w:rsidP="00652EF1">
      <w:pPr>
        <w:pStyle w:val="NoSpacing"/>
        <w:jc w:val="both"/>
        <w:rPr>
          <w:rFonts w:ascii="Times New Roman" w:hAnsi="Times New Roman" w:cs="Times New Roman"/>
          <w:b/>
          <w:sz w:val="24"/>
          <w:szCs w:val="24"/>
          <w:lang w:val="es-ES" w:eastAsia="hi-IN" w:bidi="hi-IN"/>
        </w:rPr>
      </w:pPr>
    </w:p>
    <w:p w14:paraId="1E706A9C" w14:textId="77777777" w:rsidR="00652EF1" w:rsidRDefault="00652EF1" w:rsidP="00652EF1">
      <w:pPr>
        <w:pStyle w:val="NoSpacing"/>
        <w:numPr>
          <w:ilvl w:val="0"/>
          <w:numId w:val="27"/>
        </w:numPr>
        <w:jc w:val="both"/>
        <w:rPr>
          <w:rFonts w:ascii="Times New Roman" w:hAnsi="Times New Roman" w:cs="Times New Roman"/>
          <w:sz w:val="24"/>
          <w:szCs w:val="24"/>
          <w:lang w:val="es-ES" w:eastAsia="hi-IN" w:bidi="hi-IN"/>
        </w:rPr>
      </w:pPr>
      <w:r w:rsidRPr="00B01B74">
        <w:rPr>
          <w:rFonts w:ascii="Times New Roman" w:hAnsi="Times New Roman" w:cs="Times New Roman"/>
          <w:b/>
          <w:sz w:val="24"/>
          <w:szCs w:val="24"/>
          <w:lang w:val="es-ES" w:eastAsia="hi-IN" w:bidi="hi-IN"/>
        </w:rPr>
        <w:t>Revistas</w:t>
      </w:r>
    </w:p>
    <w:p w14:paraId="59B6953F" w14:textId="77777777" w:rsidR="00652EF1" w:rsidRDefault="00652EF1" w:rsidP="00652EF1">
      <w:pPr>
        <w:pStyle w:val="NoSpacing"/>
        <w:jc w:val="both"/>
        <w:rPr>
          <w:rFonts w:ascii="Times New Roman" w:hAnsi="Times New Roman" w:cs="Times New Roman"/>
          <w:sz w:val="24"/>
          <w:szCs w:val="24"/>
          <w:lang w:val="es-ES" w:eastAsia="hi-IN" w:bidi="hi-IN"/>
        </w:rPr>
      </w:pPr>
    </w:p>
    <w:p w14:paraId="4C888307" w14:textId="77777777" w:rsidR="00652EF1" w:rsidRPr="00B01B74" w:rsidRDefault="00652EF1" w:rsidP="00652EF1">
      <w:pPr>
        <w:pStyle w:val="NoSpacing"/>
        <w:numPr>
          <w:ilvl w:val="0"/>
          <w:numId w:val="30"/>
        </w:numPr>
        <w:jc w:val="both"/>
        <w:rPr>
          <w:rFonts w:ascii="Times New Roman" w:hAnsi="Times New Roman" w:cs="Times New Roman"/>
          <w:b/>
          <w:sz w:val="24"/>
          <w:szCs w:val="24"/>
          <w:lang w:val="es-ES" w:eastAsia="hi-IN" w:bidi="hi-IN"/>
        </w:rPr>
      </w:pPr>
      <w:r w:rsidRPr="00B01B74">
        <w:rPr>
          <w:rFonts w:ascii="Times New Roman" w:hAnsi="Times New Roman" w:cs="Times New Roman"/>
          <w:b/>
          <w:sz w:val="24"/>
          <w:szCs w:val="24"/>
          <w:lang w:val="es-ES" w:eastAsia="hi-IN" w:bidi="hi-IN"/>
        </w:rPr>
        <w:t>Artículos de revistas de difusión</w:t>
      </w:r>
    </w:p>
    <w:p w14:paraId="2C178806" w14:textId="77777777" w:rsidR="00652EF1" w:rsidRDefault="00652EF1" w:rsidP="00652EF1">
      <w:pPr>
        <w:pStyle w:val="NoSpacing"/>
        <w:jc w:val="both"/>
        <w:rPr>
          <w:rFonts w:ascii="Times New Roman" w:hAnsi="Times New Roman" w:cs="Times New Roman"/>
          <w:sz w:val="24"/>
          <w:szCs w:val="24"/>
          <w:lang w:val="es-ES" w:eastAsia="hi-IN" w:bidi="hi-IN"/>
        </w:rPr>
      </w:pPr>
    </w:p>
    <w:p w14:paraId="1DCA17E9" w14:textId="77777777" w:rsidR="00652EF1" w:rsidRPr="00B01B74" w:rsidRDefault="00652EF1" w:rsidP="00652EF1">
      <w:pPr>
        <w:pStyle w:val="NoSpacing"/>
        <w:jc w:val="both"/>
        <w:rPr>
          <w:rFonts w:ascii="Times New Roman" w:hAnsi="Times New Roman" w:cs="Times New Roman"/>
          <w:b/>
          <w:sz w:val="24"/>
          <w:szCs w:val="24"/>
          <w:lang w:val="es-ES" w:eastAsia="hi-IN" w:bidi="hi-IN"/>
        </w:rPr>
      </w:pPr>
      <w:r w:rsidRPr="00B01B74">
        <w:rPr>
          <w:rFonts w:ascii="Times New Roman" w:hAnsi="Times New Roman" w:cs="Times New Roman"/>
          <w:b/>
          <w:sz w:val="24"/>
          <w:szCs w:val="24"/>
          <w:lang w:val="es-ES" w:eastAsia="hi-IN" w:bidi="hi-IN"/>
        </w:rPr>
        <w:t xml:space="preserve">Nota al pie de página </w:t>
      </w:r>
    </w:p>
    <w:p w14:paraId="6D04154A" w14:textId="77777777" w:rsidR="00652EF1" w:rsidRPr="00B01B74" w:rsidRDefault="00652EF1" w:rsidP="00652EF1">
      <w:pPr>
        <w:pStyle w:val="NoSpacing"/>
        <w:jc w:val="both"/>
        <w:rPr>
          <w:rFonts w:ascii="Times New Roman" w:hAnsi="Times New Roman" w:cs="Times New Roman"/>
          <w:sz w:val="24"/>
          <w:szCs w:val="24"/>
          <w:lang w:val="es-ES" w:eastAsia="hi-IN" w:bidi="hi-IN"/>
        </w:rPr>
      </w:pPr>
      <w:r w:rsidRPr="00B01B74">
        <w:rPr>
          <w:rFonts w:ascii="Times New Roman" w:hAnsi="Times New Roman" w:cs="Times New Roman"/>
          <w:sz w:val="24"/>
          <w:szCs w:val="24"/>
          <w:lang w:val="es-ES" w:eastAsia="hi-IN" w:bidi="hi-IN"/>
        </w:rPr>
        <w:t xml:space="preserve">Gabriel Zaid, "La fe en el progreso," </w:t>
      </w:r>
      <w:r w:rsidRPr="00652EF1">
        <w:rPr>
          <w:rFonts w:ascii="Times New Roman" w:hAnsi="Times New Roman" w:cs="Times New Roman"/>
          <w:i/>
          <w:sz w:val="24"/>
          <w:szCs w:val="24"/>
          <w:lang w:val="es-ES" w:eastAsia="hi-IN" w:bidi="hi-IN"/>
        </w:rPr>
        <w:t>Letras Libres</w:t>
      </w:r>
      <w:r w:rsidRPr="00B01B74">
        <w:rPr>
          <w:rFonts w:ascii="Times New Roman" w:hAnsi="Times New Roman" w:cs="Times New Roman"/>
          <w:sz w:val="24"/>
          <w:szCs w:val="24"/>
          <w:lang w:val="es-ES" w:eastAsia="hi-IN" w:bidi="hi-IN"/>
        </w:rPr>
        <w:t xml:space="preserve">, noviembre 2004, 21.  </w:t>
      </w:r>
    </w:p>
    <w:p w14:paraId="50B1BB4E" w14:textId="77777777" w:rsidR="00652EF1" w:rsidRPr="00B01B74" w:rsidRDefault="00652EF1" w:rsidP="00652EF1">
      <w:pPr>
        <w:pStyle w:val="NoSpacing"/>
        <w:jc w:val="both"/>
        <w:rPr>
          <w:rFonts w:ascii="Times New Roman" w:hAnsi="Times New Roman" w:cs="Times New Roman"/>
          <w:b/>
          <w:sz w:val="24"/>
          <w:szCs w:val="24"/>
          <w:lang w:val="es-ES" w:eastAsia="hi-IN" w:bidi="hi-IN"/>
        </w:rPr>
      </w:pPr>
      <w:r w:rsidRPr="00B01B74">
        <w:rPr>
          <w:rFonts w:ascii="Times New Roman" w:hAnsi="Times New Roman" w:cs="Times New Roman"/>
          <w:b/>
          <w:sz w:val="24"/>
          <w:szCs w:val="24"/>
          <w:lang w:val="es-ES" w:eastAsia="hi-IN" w:bidi="hi-IN"/>
        </w:rPr>
        <w:t xml:space="preserve"> </w:t>
      </w:r>
    </w:p>
    <w:p w14:paraId="4D6B9041" w14:textId="77777777" w:rsidR="00652EF1" w:rsidRPr="00B01B74" w:rsidRDefault="00652EF1" w:rsidP="00652EF1">
      <w:pPr>
        <w:pStyle w:val="NoSpacing"/>
        <w:jc w:val="both"/>
        <w:rPr>
          <w:rFonts w:ascii="Times New Roman" w:hAnsi="Times New Roman" w:cs="Times New Roman"/>
          <w:b/>
          <w:sz w:val="24"/>
          <w:szCs w:val="24"/>
          <w:lang w:val="es-ES" w:eastAsia="hi-IN" w:bidi="hi-IN"/>
        </w:rPr>
      </w:pPr>
      <w:r w:rsidRPr="00B01B74">
        <w:rPr>
          <w:rFonts w:ascii="Times New Roman" w:hAnsi="Times New Roman" w:cs="Times New Roman"/>
          <w:b/>
          <w:sz w:val="24"/>
          <w:szCs w:val="24"/>
          <w:lang w:val="es-ES" w:eastAsia="hi-IN" w:bidi="hi-IN"/>
        </w:rPr>
        <w:t xml:space="preserve">Cita en el texto </w:t>
      </w:r>
    </w:p>
    <w:p w14:paraId="3289DD30" w14:textId="77777777" w:rsidR="00652EF1" w:rsidRPr="00B01B74" w:rsidRDefault="00652EF1" w:rsidP="00652EF1">
      <w:pPr>
        <w:pStyle w:val="NoSpacing"/>
        <w:jc w:val="both"/>
        <w:rPr>
          <w:rFonts w:ascii="Times New Roman" w:hAnsi="Times New Roman" w:cs="Times New Roman"/>
          <w:sz w:val="24"/>
          <w:szCs w:val="24"/>
          <w:lang w:val="es-ES" w:eastAsia="hi-IN" w:bidi="hi-IN"/>
        </w:rPr>
      </w:pPr>
      <w:r w:rsidRPr="00B01B74">
        <w:rPr>
          <w:rFonts w:ascii="Times New Roman" w:hAnsi="Times New Roman" w:cs="Times New Roman"/>
          <w:sz w:val="24"/>
          <w:szCs w:val="24"/>
          <w:lang w:val="es-ES" w:eastAsia="hi-IN" w:bidi="hi-IN"/>
        </w:rPr>
        <w:t xml:space="preserve">(Zaid 2004, 21) </w:t>
      </w:r>
    </w:p>
    <w:p w14:paraId="6DF75087" w14:textId="77777777" w:rsidR="00652EF1" w:rsidRPr="00B01B74" w:rsidRDefault="00652EF1" w:rsidP="00652EF1">
      <w:pPr>
        <w:pStyle w:val="NoSpacing"/>
        <w:jc w:val="both"/>
        <w:rPr>
          <w:rFonts w:ascii="Times New Roman" w:hAnsi="Times New Roman" w:cs="Times New Roman"/>
          <w:sz w:val="24"/>
          <w:szCs w:val="24"/>
          <w:lang w:val="es-ES" w:eastAsia="hi-IN" w:bidi="hi-IN"/>
        </w:rPr>
      </w:pPr>
      <w:r w:rsidRPr="00B01B74">
        <w:rPr>
          <w:rFonts w:ascii="Times New Roman" w:hAnsi="Times New Roman" w:cs="Times New Roman"/>
          <w:sz w:val="24"/>
          <w:szCs w:val="24"/>
          <w:lang w:val="es-ES" w:eastAsia="hi-IN" w:bidi="hi-IN"/>
        </w:rPr>
        <w:t xml:space="preserve"> </w:t>
      </w:r>
    </w:p>
    <w:p w14:paraId="43D93FEE" w14:textId="77777777" w:rsidR="00652EF1" w:rsidRPr="00B01B74" w:rsidRDefault="00652EF1" w:rsidP="00652EF1">
      <w:pPr>
        <w:pStyle w:val="NoSpacing"/>
        <w:jc w:val="both"/>
        <w:rPr>
          <w:rFonts w:ascii="Times New Roman" w:hAnsi="Times New Roman" w:cs="Times New Roman"/>
          <w:b/>
          <w:sz w:val="24"/>
          <w:szCs w:val="24"/>
          <w:lang w:val="es-ES" w:eastAsia="hi-IN" w:bidi="hi-IN"/>
        </w:rPr>
      </w:pPr>
      <w:r w:rsidRPr="00B01B74">
        <w:rPr>
          <w:rFonts w:ascii="Times New Roman" w:hAnsi="Times New Roman" w:cs="Times New Roman"/>
          <w:b/>
          <w:sz w:val="24"/>
          <w:szCs w:val="24"/>
          <w:lang w:val="es-ES" w:eastAsia="hi-IN" w:bidi="hi-IN"/>
        </w:rPr>
        <w:t xml:space="preserve">Bibliografía </w:t>
      </w:r>
    </w:p>
    <w:p w14:paraId="00767517" w14:textId="77777777" w:rsidR="00652EF1" w:rsidRPr="00B01B74" w:rsidRDefault="00652EF1" w:rsidP="00652EF1">
      <w:pPr>
        <w:pStyle w:val="NoSpacing"/>
        <w:jc w:val="both"/>
        <w:rPr>
          <w:rFonts w:ascii="Times New Roman" w:hAnsi="Times New Roman" w:cs="Times New Roman"/>
          <w:sz w:val="24"/>
          <w:szCs w:val="24"/>
          <w:lang w:val="es-ES" w:eastAsia="hi-IN" w:bidi="hi-IN"/>
        </w:rPr>
      </w:pPr>
      <w:r w:rsidRPr="00B01B74">
        <w:rPr>
          <w:rFonts w:ascii="Times New Roman" w:hAnsi="Times New Roman" w:cs="Times New Roman"/>
          <w:sz w:val="24"/>
          <w:szCs w:val="24"/>
          <w:lang w:val="es-ES" w:eastAsia="hi-IN" w:bidi="hi-IN"/>
        </w:rPr>
        <w:t xml:space="preserve">Zaid, Gabriel. 2004. La fe en el progreso. </w:t>
      </w:r>
      <w:r w:rsidRPr="00652EF1">
        <w:rPr>
          <w:rFonts w:ascii="Times New Roman" w:hAnsi="Times New Roman" w:cs="Times New Roman"/>
          <w:i/>
          <w:sz w:val="24"/>
          <w:szCs w:val="24"/>
          <w:lang w:val="es-ES" w:eastAsia="hi-IN" w:bidi="hi-IN"/>
        </w:rPr>
        <w:t>Letras Libres</w:t>
      </w:r>
      <w:r w:rsidRPr="00B01B74">
        <w:rPr>
          <w:rFonts w:ascii="Times New Roman" w:hAnsi="Times New Roman" w:cs="Times New Roman"/>
          <w:sz w:val="24"/>
          <w:szCs w:val="24"/>
          <w:lang w:val="es-ES" w:eastAsia="hi-IN" w:bidi="hi-IN"/>
        </w:rPr>
        <w:t>, noviembre.</w:t>
      </w:r>
    </w:p>
    <w:p w14:paraId="5B76AED9" w14:textId="77777777" w:rsidR="00652EF1" w:rsidRPr="003F299D" w:rsidRDefault="00652EF1" w:rsidP="00652EF1">
      <w:pPr>
        <w:pStyle w:val="NoSpacing"/>
        <w:jc w:val="both"/>
        <w:rPr>
          <w:rFonts w:ascii="Times New Roman" w:hAnsi="Times New Roman" w:cs="Times New Roman"/>
          <w:sz w:val="24"/>
          <w:szCs w:val="24"/>
          <w:lang w:val="es-ES" w:eastAsia="hi-IN" w:bidi="hi-IN"/>
        </w:rPr>
      </w:pPr>
    </w:p>
    <w:p w14:paraId="731E9D36" w14:textId="77777777" w:rsidR="00652EF1" w:rsidRPr="00B01B74" w:rsidRDefault="00652EF1" w:rsidP="00652EF1">
      <w:pPr>
        <w:pStyle w:val="NoSpacing"/>
        <w:numPr>
          <w:ilvl w:val="0"/>
          <w:numId w:val="30"/>
        </w:numPr>
        <w:spacing w:line="360" w:lineRule="auto"/>
        <w:jc w:val="both"/>
        <w:rPr>
          <w:rFonts w:ascii="Times New Roman" w:hAnsi="Times New Roman" w:cs="Times New Roman"/>
          <w:b/>
          <w:sz w:val="24"/>
          <w:szCs w:val="24"/>
          <w:lang w:val="es-ES" w:eastAsia="hi-IN" w:bidi="hi-IN"/>
        </w:rPr>
      </w:pPr>
      <w:r w:rsidRPr="00B01B74">
        <w:rPr>
          <w:rFonts w:ascii="Times New Roman" w:hAnsi="Times New Roman" w:cs="Times New Roman"/>
          <w:b/>
          <w:sz w:val="24"/>
          <w:szCs w:val="24"/>
          <w:lang w:val="es-ES" w:eastAsia="hi-IN" w:bidi="hi-IN"/>
        </w:rPr>
        <w:t>Artículos de revistas académicas</w:t>
      </w:r>
    </w:p>
    <w:p w14:paraId="788218E0" w14:textId="77777777" w:rsidR="00652EF1" w:rsidRDefault="00652EF1" w:rsidP="00652EF1">
      <w:pPr>
        <w:pStyle w:val="NoSpacing"/>
        <w:jc w:val="both"/>
        <w:rPr>
          <w:rFonts w:ascii="Times New Roman" w:hAnsi="Times New Roman" w:cs="Times New Roman"/>
          <w:b/>
          <w:sz w:val="24"/>
          <w:szCs w:val="24"/>
          <w:lang w:val="es-ES" w:eastAsia="hi-IN" w:bidi="hi-IN"/>
        </w:rPr>
      </w:pPr>
    </w:p>
    <w:p w14:paraId="320137BF" w14:textId="77777777" w:rsidR="00652EF1" w:rsidRPr="00B01B74" w:rsidRDefault="00652EF1" w:rsidP="00652EF1">
      <w:pPr>
        <w:pStyle w:val="NoSpacing"/>
        <w:jc w:val="both"/>
        <w:rPr>
          <w:rFonts w:ascii="Times New Roman" w:hAnsi="Times New Roman" w:cs="Times New Roman"/>
          <w:b/>
          <w:sz w:val="24"/>
          <w:szCs w:val="24"/>
          <w:lang w:val="es-ES" w:eastAsia="hi-IN" w:bidi="hi-IN"/>
        </w:rPr>
      </w:pPr>
      <w:r w:rsidRPr="00B01B74">
        <w:rPr>
          <w:rFonts w:ascii="Times New Roman" w:hAnsi="Times New Roman" w:cs="Times New Roman"/>
          <w:b/>
          <w:sz w:val="24"/>
          <w:szCs w:val="24"/>
          <w:lang w:val="es-ES" w:eastAsia="hi-IN" w:bidi="hi-IN"/>
        </w:rPr>
        <w:t xml:space="preserve">Nota al pie de página </w:t>
      </w:r>
    </w:p>
    <w:p w14:paraId="73C4634A" w14:textId="77777777" w:rsidR="00652EF1"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 xml:space="preserve">Francisco Diez de Velasco, </w:t>
      </w:r>
      <w:r w:rsidRPr="000E2F29">
        <w:rPr>
          <w:rFonts w:ascii="Times New Roman" w:hAnsi="Times New Roman" w:cs="Times New Roman"/>
          <w:sz w:val="24"/>
          <w:szCs w:val="24"/>
          <w:lang w:val="es-ES" w:eastAsia="hi-IN" w:bidi="hi-IN"/>
        </w:rPr>
        <w:t>“Comentarios iconográficos y mitológicos del poema épico Miníada</w:t>
      </w:r>
      <w:r>
        <w:rPr>
          <w:rFonts w:ascii="Times New Roman" w:hAnsi="Times New Roman" w:cs="Times New Roman"/>
          <w:sz w:val="24"/>
          <w:szCs w:val="24"/>
          <w:lang w:val="es-ES" w:eastAsia="hi-IN" w:bidi="hi-IN"/>
        </w:rPr>
        <w:t>,</w:t>
      </w:r>
      <w:r w:rsidRPr="000E2F29">
        <w:rPr>
          <w:rFonts w:ascii="Times New Roman" w:hAnsi="Times New Roman" w:cs="Times New Roman"/>
          <w:sz w:val="24"/>
          <w:szCs w:val="24"/>
          <w:lang w:val="es-ES" w:eastAsia="hi-IN" w:bidi="hi-IN"/>
        </w:rPr>
        <w:t>”</w:t>
      </w:r>
      <w:r>
        <w:rPr>
          <w:rFonts w:ascii="Times New Roman" w:hAnsi="Times New Roman" w:cs="Times New Roman"/>
          <w:sz w:val="24"/>
          <w:szCs w:val="24"/>
          <w:lang w:val="es-ES" w:eastAsia="hi-IN" w:bidi="hi-IN"/>
        </w:rPr>
        <w:t xml:space="preserve"> </w:t>
      </w:r>
      <w:r w:rsidRPr="00B40058">
        <w:rPr>
          <w:rFonts w:ascii="Times New Roman" w:hAnsi="Times New Roman" w:cs="Times New Roman"/>
          <w:i/>
          <w:sz w:val="24"/>
          <w:szCs w:val="24"/>
          <w:lang w:val="es-ES" w:eastAsia="hi-IN" w:bidi="hi-IN"/>
        </w:rPr>
        <w:t>Revista Gerión 8</w:t>
      </w:r>
      <w:r>
        <w:rPr>
          <w:rFonts w:ascii="Times New Roman" w:hAnsi="Times New Roman" w:cs="Times New Roman"/>
          <w:sz w:val="24"/>
          <w:szCs w:val="24"/>
          <w:lang w:val="es-ES" w:eastAsia="hi-IN" w:bidi="hi-IN"/>
        </w:rPr>
        <w:t xml:space="preserve"> (1990): 73-86.</w:t>
      </w:r>
    </w:p>
    <w:p w14:paraId="502203F8" w14:textId="77777777" w:rsidR="00652EF1" w:rsidRPr="00B01B74" w:rsidRDefault="00652EF1" w:rsidP="00652EF1">
      <w:pPr>
        <w:pStyle w:val="NoSpacing"/>
        <w:jc w:val="both"/>
        <w:rPr>
          <w:rFonts w:ascii="Times New Roman" w:hAnsi="Times New Roman" w:cs="Times New Roman"/>
          <w:sz w:val="24"/>
          <w:szCs w:val="24"/>
          <w:lang w:val="es-ES" w:eastAsia="hi-IN" w:bidi="hi-IN"/>
        </w:rPr>
      </w:pPr>
    </w:p>
    <w:p w14:paraId="43FF2520" w14:textId="77777777" w:rsidR="00652EF1" w:rsidRPr="00B01B74" w:rsidRDefault="00652EF1" w:rsidP="00652EF1">
      <w:pPr>
        <w:pStyle w:val="NoSpacing"/>
        <w:jc w:val="both"/>
        <w:rPr>
          <w:rFonts w:ascii="Times New Roman" w:hAnsi="Times New Roman" w:cs="Times New Roman"/>
          <w:b/>
          <w:sz w:val="24"/>
          <w:szCs w:val="24"/>
          <w:lang w:val="es-ES" w:eastAsia="hi-IN" w:bidi="hi-IN"/>
        </w:rPr>
      </w:pPr>
      <w:r w:rsidRPr="00B01B74">
        <w:rPr>
          <w:rFonts w:ascii="Times New Roman" w:hAnsi="Times New Roman" w:cs="Times New Roman"/>
          <w:b/>
          <w:sz w:val="24"/>
          <w:szCs w:val="24"/>
          <w:lang w:val="es-ES" w:eastAsia="hi-IN" w:bidi="hi-IN"/>
        </w:rPr>
        <w:t xml:space="preserve">Cita en el texto </w:t>
      </w:r>
    </w:p>
    <w:p w14:paraId="2E4002E9" w14:textId="77777777" w:rsidR="00652EF1" w:rsidRPr="00B01B74"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(Diez de Velasco</w:t>
      </w:r>
      <w:r w:rsidRPr="00B01B74">
        <w:rPr>
          <w:rFonts w:ascii="Times New Roman" w:hAnsi="Times New Roman" w:cs="Times New Roman"/>
          <w:sz w:val="24"/>
          <w:szCs w:val="24"/>
          <w:lang w:val="es-ES" w:eastAsia="hi-IN" w:bidi="hi-IN"/>
        </w:rPr>
        <w:t xml:space="preserve"> 2008) </w:t>
      </w:r>
    </w:p>
    <w:p w14:paraId="68BC66A7" w14:textId="77777777" w:rsidR="00652EF1" w:rsidRPr="00B01B74" w:rsidRDefault="00652EF1" w:rsidP="00652EF1">
      <w:pPr>
        <w:pStyle w:val="NoSpacing"/>
        <w:jc w:val="both"/>
        <w:rPr>
          <w:rFonts w:ascii="Times New Roman" w:hAnsi="Times New Roman" w:cs="Times New Roman"/>
          <w:sz w:val="24"/>
          <w:szCs w:val="24"/>
          <w:lang w:val="es-ES" w:eastAsia="hi-IN" w:bidi="hi-IN"/>
        </w:rPr>
      </w:pPr>
      <w:r w:rsidRPr="00B01B74">
        <w:rPr>
          <w:rFonts w:ascii="Times New Roman" w:hAnsi="Times New Roman" w:cs="Times New Roman"/>
          <w:sz w:val="24"/>
          <w:szCs w:val="24"/>
          <w:lang w:val="es-ES" w:eastAsia="hi-IN" w:bidi="hi-IN"/>
        </w:rPr>
        <w:t xml:space="preserve"> </w:t>
      </w:r>
    </w:p>
    <w:p w14:paraId="1EBB15D9" w14:textId="77777777" w:rsidR="00652EF1" w:rsidRPr="00B01B74" w:rsidRDefault="00652EF1" w:rsidP="00652EF1">
      <w:pPr>
        <w:pStyle w:val="NoSpacing"/>
        <w:jc w:val="both"/>
        <w:rPr>
          <w:rFonts w:ascii="Times New Roman" w:hAnsi="Times New Roman" w:cs="Times New Roman"/>
          <w:b/>
          <w:sz w:val="24"/>
          <w:szCs w:val="24"/>
          <w:lang w:val="es-ES" w:eastAsia="hi-IN" w:bidi="hi-IN"/>
        </w:rPr>
      </w:pPr>
      <w:r w:rsidRPr="00B01B74">
        <w:rPr>
          <w:rFonts w:ascii="Times New Roman" w:hAnsi="Times New Roman" w:cs="Times New Roman"/>
          <w:b/>
          <w:sz w:val="24"/>
          <w:szCs w:val="24"/>
          <w:lang w:val="es-ES" w:eastAsia="hi-IN" w:bidi="hi-IN"/>
        </w:rPr>
        <w:t xml:space="preserve">Bibliografía </w:t>
      </w:r>
    </w:p>
    <w:p w14:paraId="0A41DF02" w14:textId="77777777" w:rsidR="00652EF1"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Diez de Velasco, Francisco</w:t>
      </w:r>
      <w:r w:rsidRPr="00B01B74">
        <w:rPr>
          <w:rFonts w:ascii="Times New Roman" w:hAnsi="Times New Roman" w:cs="Times New Roman"/>
          <w:sz w:val="24"/>
          <w:szCs w:val="24"/>
          <w:lang w:val="es-ES" w:eastAsia="hi-IN" w:bidi="hi-IN"/>
        </w:rPr>
        <w:t xml:space="preserve">. 2008. </w:t>
      </w:r>
      <w:r w:rsidRPr="000E2F29">
        <w:rPr>
          <w:rFonts w:ascii="Times New Roman" w:hAnsi="Times New Roman" w:cs="Times New Roman"/>
          <w:sz w:val="24"/>
          <w:szCs w:val="24"/>
          <w:lang w:val="es-ES" w:eastAsia="hi-IN" w:bidi="hi-IN"/>
        </w:rPr>
        <w:t>Comentarios iconográficos y mitológicos del poema épico Miníada</w:t>
      </w:r>
      <w:r>
        <w:rPr>
          <w:rFonts w:ascii="Times New Roman" w:hAnsi="Times New Roman" w:cs="Times New Roman"/>
          <w:sz w:val="24"/>
          <w:szCs w:val="24"/>
          <w:lang w:val="es-ES" w:eastAsia="hi-IN" w:bidi="hi-IN"/>
        </w:rPr>
        <w:t>,</w:t>
      </w:r>
      <w:r w:rsidRPr="000E2F29">
        <w:rPr>
          <w:rFonts w:ascii="Times New Roman" w:hAnsi="Times New Roman" w:cs="Times New Roman"/>
          <w:sz w:val="24"/>
          <w:szCs w:val="24"/>
          <w:lang w:val="es-ES" w:eastAsia="hi-IN" w:bidi="hi-IN"/>
        </w:rPr>
        <w:t>”</w:t>
      </w:r>
      <w:r>
        <w:rPr>
          <w:rFonts w:ascii="Times New Roman" w:hAnsi="Times New Roman" w:cs="Times New Roman"/>
          <w:sz w:val="24"/>
          <w:szCs w:val="24"/>
          <w:lang w:val="es-ES" w:eastAsia="hi-IN" w:bidi="hi-IN"/>
        </w:rPr>
        <w:t xml:space="preserve"> </w:t>
      </w:r>
      <w:r w:rsidRPr="00B40058">
        <w:rPr>
          <w:rFonts w:ascii="Times New Roman" w:hAnsi="Times New Roman" w:cs="Times New Roman"/>
          <w:i/>
          <w:sz w:val="24"/>
          <w:szCs w:val="24"/>
          <w:lang w:val="es-ES" w:eastAsia="hi-IN" w:bidi="hi-IN"/>
        </w:rPr>
        <w:t>Revista Gerión 8</w:t>
      </w:r>
      <w:r>
        <w:rPr>
          <w:rFonts w:ascii="Times New Roman" w:hAnsi="Times New Roman" w:cs="Times New Roman"/>
          <w:sz w:val="24"/>
          <w:szCs w:val="24"/>
          <w:lang w:val="es-ES" w:eastAsia="hi-IN" w:bidi="hi-IN"/>
        </w:rPr>
        <w:t xml:space="preserve"> (1990): 73-86.</w:t>
      </w:r>
    </w:p>
    <w:p w14:paraId="1C14F38B" w14:textId="77777777" w:rsidR="00652EF1" w:rsidRPr="000B7BA1" w:rsidRDefault="00652EF1" w:rsidP="00652EF1">
      <w:pPr>
        <w:pStyle w:val="NoSpacing"/>
        <w:jc w:val="both"/>
        <w:rPr>
          <w:rFonts w:ascii="Times New Roman" w:hAnsi="Times New Roman" w:cs="Times New Roman"/>
          <w:sz w:val="24"/>
          <w:szCs w:val="24"/>
          <w:lang w:val="es-ES" w:eastAsia="hi-IN" w:bidi="hi-IN"/>
        </w:rPr>
      </w:pPr>
    </w:p>
    <w:p w14:paraId="6ACFEE97" w14:textId="77777777" w:rsidR="00652EF1" w:rsidRPr="000B7BA1" w:rsidRDefault="00652EF1" w:rsidP="00652EF1">
      <w:pPr>
        <w:pStyle w:val="NoSpacing"/>
        <w:numPr>
          <w:ilvl w:val="0"/>
          <w:numId w:val="27"/>
        </w:numPr>
        <w:jc w:val="both"/>
        <w:rPr>
          <w:rFonts w:ascii="Times New Roman" w:hAnsi="Times New Roman" w:cs="Times New Roman"/>
          <w:b/>
          <w:sz w:val="24"/>
          <w:szCs w:val="24"/>
          <w:lang w:val="es-ES" w:eastAsia="hi-IN" w:bidi="hi-IN"/>
        </w:rPr>
      </w:pPr>
      <w:r w:rsidRPr="000B7BA1">
        <w:rPr>
          <w:rFonts w:ascii="Times New Roman" w:hAnsi="Times New Roman" w:cs="Times New Roman"/>
          <w:b/>
          <w:sz w:val="24"/>
          <w:szCs w:val="24"/>
          <w:lang w:val="es-ES" w:eastAsia="hi-IN" w:bidi="hi-IN"/>
        </w:rPr>
        <w:t xml:space="preserve">Tesis </w:t>
      </w:r>
    </w:p>
    <w:p w14:paraId="4601018E" w14:textId="77777777" w:rsidR="00652EF1" w:rsidRPr="000B7BA1" w:rsidRDefault="00652EF1" w:rsidP="00652EF1">
      <w:pPr>
        <w:pStyle w:val="NoSpacing"/>
        <w:jc w:val="both"/>
        <w:rPr>
          <w:rFonts w:ascii="Times New Roman" w:hAnsi="Times New Roman" w:cs="Times New Roman"/>
          <w:b/>
          <w:sz w:val="24"/>
          <w:szCs w:val="24"/>
          <w:lang w:val="es-ES" w:eastAsia="hi-IN" w:bidi="hi-IN"/>
        </w:rPr>
      </w:pPr>
      <w:r w:rsidRPr="000B7BA1">
        <w:rPr>
          <w:rFonts w:ascii="Times New Roman" w:hAnsi="Times New Roman" w:cs="Times New Roman"/>
          <w:b/>
          <w:sz w:val="24"/>
          <w:szCs w:val="24"/>
          <w:lang w:val="es-ES" w:eastAsia="hi-IN" w:bidi="hi-IN"/>
        </w:rPr>
        <w:t xml:space="preserve"> </w:t>
      </w:r>
    </w:p>
    <w:p w14:paraId="2FA5713D" w14:textId="77777777" w:rsidR="00652EF1" w:rsidRPr="000B7BA1" w:rsidRDefault="00652EF1" w:rsidP="00652EF1">
      <w:pPr>
        <w:pStyle w:val="NoSpacing"/>
        <w:jc w:val="both"/>
        <w:rPr>
          <w:rFonts w:ascii="Times New Roman" w:hAnsi="Times New Roman" w:cs="Times New Roman"/>
          <w:b/>
          <w:sz w:val="24"/>
          <w:szCs w:val="24"/>
          <w:lang w:val="es-ES" w:eastAsia="hi-IN" w:bidi="hi-IN"/>
        </w:rPr>
      </w:pPr>
      <w:r w:rsidRPr="000B7BA1">
        <w:rPr>
          <w:rFonts w:ascii="Times New Roman" w:hAnsi="Times New Roman" w:cs="Times New Roman"/>
          <w:b/>
          <w:sz w:val="24"/>
          <w:szCs w:val="24"/>
          <w:lang w:val="es-ES" w:eastAsia="hi-IN" w:bidi="hi-IN"/>
        </w:rPr>
        <w:t xml:space="preserve">Nota al pie de página </w:t>
      </w:r>
    </w:p>
    <w:p w14:paraId="78F60407" w14:textId="77777777" w:rsidR="00652EF1"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Ana Isabel Jiménez San Cristóbal, “Rituales órficos” (tesis doctoral, Universidad Complutense de Madrid, 2002), 211-223.</w:t>
      </w:r>
    </w:p>
    <w:p w14:paraId="11057CB4" w14:textId="77777777" w:rsidR="00652EF1" w:rsidRPr="000B7BA1" w:rsidRDefault="00652EF1" w:rsidP="00652EF1">
      <w:pPr>
        <w:pStyle w:val="NoSpacing"/>
        <w:jc w:val="both"/>
        <w:rPr>
          <w:rFonts w:ascii="Times New Roman" w:hAnsi="Times New Roman" w:cs="Times New Roman"/>
          <w:sz w:val="24"/>
          <w:szCs w:val="24"/>
          <w:lang w:val="es-ES" w:eastAsia="hi-IN" w:bidi="hi-IN"/>
        </w:rPr>
      </w:pPr>
    </w:p>
    <w:p w14:paraId="1A8DB81F" w14:textId="77777777" w:rsidR="00652EF1" w:rsidRPr="000B7BA1" w:rsidRDefault="00652EF1" w:rsidP="00652EF1">
      <w:pPr>
        <w:pStyle w:val="NoSpacing"/>
        <w:jc w:val="both"/>
        <w:rPr>
          <w:rFonts w:ascii="Times New Roman" w:hAnsi="Times New Roman" w:cs="Times New Roman"/>
          <w:b/>
          <w:sz w:val="24"/>
          <w:szCs w:val="24"/>
          <w:lang w:val="es-ES" w:eastAsia="hi-IN" w:bidi="hi-IN"/>
        </w:rPr>
      </w:pPr>
      <w:r w:rsidRPr="000B7BA1">
        <w:rPr>
          <w:rFonts w:ascii="Times New Roman" w:hAnsi="Times New Roman" w:cs="Times New Roman"/>
          <w:b/>
          <w:sz w:val="24"/>
          <w:szCs w:val="24"/>
          <w:lang w:val="es-ES" w:eastAsia="hi-IN" w:bidi="hi-IN"/>
        </w:rPr>
        <w:t xml:space="preserve">Cita en el texto </w:t>
      </w:r>
    </w:p>
    <w:p w14:paraId="49DD2F9D" w14:textId="77777777" w:rsidR="00652EF1" w:rsidRPr="000B7BA1"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(Jiménez San Cristóbal 2002, 211-223</w:t>
      </w:r>
      <w:r w:rsidRPr="000B7BA1">
        <w:rPr>
          <w:rFonts w:ascii="Times New Roman" w:hAnsi="Times New Roman" w:cs="Times New Roman"/>
          <w:sz w:val="24"/>
          <w:szCs w:val="24"/>
          <w:lang w:val="es-ES" w:eastAsia="hi-IN" w:bidi="hi-IN"/>
        </w:rPr>
        <w:t xml:space="preserve">) </w:t>
      </w:r>
    </w:p>
    <w:p w14:paraId="45787646" w14:textId="77777777" w:rsidR="00652EF1" w:rsidRPr="000B7BA1" w:rsidRDefault="00652EF1" w:rsidP="00652EF1">
      <w:pPr>
        <w:pStyle w:val="NoSpacing"/>
        <w:jc w:val="both"/>
        <w:rPr>
          <w:rFonts w:ascii="Times New Roman" w:hAnsi="Times New Roman" w:cs="Times New Roman"/>
          <w:sz w:val="24"/>
          <w:szCs w:val="24"/>
          <w:lang w:val="es-ES" w:eastAsia="hi-IN" w:bidi="hi-IN"/>
        </w:rPr>
      </w:pPr>
      <w:r w:rsidRPr="000B7BA1">
        <w:rPr>
          <w:rFonts w:ascii="Times New Roman" w:hAnsi="Times New Roman" w:cs="Times New Roman"/>
          <w:sz w:val="24"/>
          <w:szCs w:val="24"/>
          <w:lang w:val="es-ES" w:eastAsia="hi-IN" w:bidi="hi-IN"/>
        </w:rPr>
        <w:t xml:space="preserve"> </w:t>
      </w:r>
    </w:p>
    <w:p w14:paraId="395E25E9" w14:textId="77777777" w:rsidR="00652EF1" w:rsidRPr="000B7BA1" w:rsidRDefault="00652EF1" w:rsidP="00652EF1">
      <w:pPr>
        <w:pStyle w:val="NoSpacing"/>
        <w:jc w:val="both"/>
        <w:rPr>
          <w:rFonts w:ascii="Times New Roman" w:hAnsi="Times New Roman" w:cs="Times New Roman"/>
          <w:b/>
          <w:sz w:val="24"/>
          <w:szCs w:val="24"/>
          <w:lang w:val="es-ES" w:eastAsia="hi-IN" w:bidi="hi-IN"/>
        </w:rPr>
      </w:pPr>
      <w:r w:rsidRPr="000B7BA1">
        <w:rPr>
          <w:rFonts w:ascii="Times New Roman" w:hAnsi="Times New Roman" w:cs="Times New Roman"/>
          <w:b/>
          <w:sz w:val="24"/>
          <w:szCs w:val="24"/>
          <w:lang w:val="es-ES" w:eastAsia="hi-IN" w:bidi="hi-IN"/>
        </w:rPr>
        <w:t xml:space="preserve">Bibliografía </w:t>
      </w:r>
    </w:p>
    <w:p w14:paraId="6BE1243F" w14:textId="77777777" w:rsidR="00652EF1" w:rsidRPr="000B7BA1"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Jiménez San Cristóbal, Ana Isabel. 2002. Rituales órficos. Tesis doctoral., Universidad Complutense de Madrid.</w:t>
      </w:r>
      <w:r w:rsidRPr="000B7BA1">
        <w:rPr>
          <w:rFonts w:ascii="Times New Roman" w:hAnsi="Times New Roman" w:cs="Times New Roman"/>
          <w:sz w:val="24"/>
          <w:szCs w:val="24"/>
          <w:lang w:val="es-ES" w:eastAsia="hi-IN" w:bidi="hi-IN"/>
        </w:rPr>
        <w:t xml:space="preserve"> </w:t>
      </w:r>
    </w:p>
    <w:p w14:paraId="37388577" w14:textId="77777777" w:rsidR="00652EF1" w:rsidRDefault="00652EF1" w:rsidP="00652EF1">
      <w:pPr>
        <w:pStyle w:val="NoSpacing"/>
        <w:jc w:val="both"/>
        <w:rPr>
          <w:rFonts w:ascii="Times New Roman" w:hAnsi="Times New Roman" w:cs="Times New Roman"/>
          <w:sz w:val="24"/>
          <w:szCs w:val="24"/>
          <w:lang w:val="es-ES" w:eastAsia="hi-IN" w:bidi="hi-IN"/>
        </w:rPr>
      </w:pPr>
      <w:r w:rsidRPr="000B7BA1">
        <w:rPr>
          <w:rFonts w:ascii="Times New Roman" w:hAnsi="Times New Roman" w:cs="Times New Roman"/>
          <w:sz w:val="24"/>
          <w:szCs w:val="24"/>
          <w:lang w:val="es-ES" w:eastAsia="hi-IN" w:bidi="hi-IN"/>
        </w:rPr>
        <w:t xml:space="preserve"> </w:t>
      </w:r>
    </w:p>
    <w:p w14:paraId="0E64F462" w14:textId="77777777" w:rsidR="00016D97" w:rsidRDefault="00016D97" w:rsidP="00652EF1">
      <w:pPr>
        <w:pStyle w:val="NoSpacing"/>
        <w:jc w:val="both"/>
        <w:rPr>
          <w:rFonts w:ascii="Times New Roman" w:hAnsi="Times New Roman" w:cs="Times New Roman"/>
          <w:sz w:val="24"/>
          <w:szCs w:val="24"/>
          <w:lang w:val="es-ES" w:eastAsia="hi-IN" w:bidi="hi-IN"/>
        </w:rPr>
      </w:pPr>
    </w:p>
    <w:p w14:paraId="52001863" w14:textId="77777777" w:rsidR="00016D97" w:rsidRDefault="00016D97" w:rsidP="00652EF1">
      <w:pPr>
        <w:pStyle w:val="NoSpacing"/>
        <w:jc w:val="both"/>
        <w:rPr>
          <w:rFonts w:ascii="Times New Roman" w:hAnsi="Times New Roman" w:cs="Times New Roman"/>
          <w:sz w:val="24"/>
          <w:szCs w:val="24"/>
          <w:lang w:val="es-ES" w:eastAsia="hi-IN" w:bidi="hi-IN"/>
        </w:rPr>
      </w:pPr>
    </w:p>
    <w:p w14:paraId="68B45E10" w14:textId="77777777" w:rsidR="00016D97" w:rsidRDefault="00016D97" w:rsidP="00652EF1">
      <w:pPr>
        <w:pStyle w:val="NoSpacing"/>
        <w:jc w:val="both"/>
        <w:rPr>
          <w:rFonts w:ascii="Times New Roman" w:hAnsi="Times New Roman" w:cs="Times New Roman"/>
          <w:sz w:val="24"/>
          <w:szCs w:val="24"/>
          <w:lang w:val="es-ES" w:eastAsia="hi-IN" w:bidi="hi-IN"/>
        </w:rPr>
      </w:pPr>
    </w:p>
    <w:p w14:paraId="6A896C51" w14:textId="77777777" w:rsidR="00016D97" w:rsidRPr="000B7BA1" w:rsidRDefault="00016D97" w:rsidP="00652EF1">
      <w:pPr>
        <w:pStyle w:val="NoSpacing"/>
        <w:jc w:val="both"/>
        <w:rPr>
          <w:rFonts w:ascii="Times New Roman" w:hAnsi="Times New Roman" w:cs="Times New Roman"/>
          <w:sz w:val="24"/>
          <w:szCs w:val="24"/>
          <w:lang w:val="es-ES" w:eastAsia="hi-IN" w:bidi="hi-IN"/>
        </w:rPr>
      </w:pPr>
    </w:p>
    <w:p w14:paraId="350D5DD5" w14:textId="77777777" w:rsidR="00652EF1" w:rsidRPr="000B7BA1" w:rsidRDefault="00652EF1" w:rsidP="00652EF1">
      <w:pPr>
        <w:pStyle w:val="NoSpacing"/>
        <w:numPr>
          <w:ilvl w:val="0"/>
          <w:numId w:val="27"/>
        </w:numPr>
        <w:jc w:val="both"/>
        <w:rPr>
          <w:rFonts w:ascii="Times New Roman" w:hAnsi="Times New Roman" w:cs="Times New Roman"/>
          <w:b/>
          <w:sz w:val="24"/>
          <w:szCs w:val="24"/>
          <w:lang w:val="es-ES" w:eastAsia="hi-IN" w:bidi="hi-IN"/>
        </w:rPr>
      </w:pPr>
      <w:r w:rsidRPr="000B7BA1">
        <w:rPr>
          <w:rFonts w:ascii="Times New Roman" w:hAnsi="Times New Roman" w:cs="Times New Roman"/>
          <w:b/>
          <w:sz w:val="24"/>
          <w:szCs w:val="24"/>
          <w:lang w:val="es-ES" w:eastAsia="hi-IN" w:bidi="hi-IN"/>
        </w:rPr>
        <w:t xml:space="preserve">Conferencia, ensayo o artículo presentado en un evento académico </w:t>
      </w:r>
    </w:p>
    <w:p w14:paraId="5CD57843" w14:textId="77777777" w:rsidR="00652EF1" w:rsidRPr="000B7BA1" w:rsidRDefault="00652EF1" w:rsidP="00652EF1">
      <w:pPr>
        <w:pStyle w:val="NoSpacing"/>
        <w:jc w:val="both"/>
        <w:rPr>
          <w:rFonts w:ascii="Times New Roman" w:hAnsi="Times New Roman" w:cs="Times New Roman"/>
          <w:sz w:val="24"/>
          <w:szCs w:val="24"/>
          <w:lang w:val="es-ES" w:eastAsia="hi-IN" w:bidi="hi-IN"/>
        </w:rPr>
      </w:pPr>
      <w:r w:rsidRPr="000B7BA1">
        <w:rPr>
          <w:rFonts w:ascii="Times New Roman" w:hAnsi="Times New Roman" w:cs="Times New Roman"/>
          <w:sz w:val="24"/>
          <w:szCs w:val="24"/>
          <w:lang w:val="es-ES" w:eastAsia="hi-IN" w:bidi="hi-IN"/>
        </w:rPr>
        <w:t xml:space="preserve"> </w:t>
      </w:r>
    </w:p>
    <w:p w14:paraId="047391E9" w14:textId="77777777" w:rsidR="00652EF1" w:rsidRPr="000B7BA1" w:rsidRDefault="00652EF1" w:rsidP="00652EF1">
      <w:pPr>
        <w:pStyle w:val="NoSpacing"/>
        <w:jc w:val="both"/>
        <w:rPr>
          <w:rFonts w:ascii="Times New Roman" w:hAnsi="Times New Roman" w:cs="Times New Roman"/>
          <w:b/>
          <w:sz w:val="24"/>
          <w:szCs w:val="24"/>
          <w:lang w:val="es-ES" w:eastAsia="hi-IN" w:bidi="hi-IN"/>
        </w:rPr>
      </w:pPr>
      <w:r w:rsidRPr="000B7BA1">
        <w:rPr>
          <w:rFonts w:ascii="Times New Roman" w:hAnsi="Times New Roman" w:cs="Times New Roman"/>
          <w:b/>
          <w:sz w:val="24"/>
          <w:szCs w:val="24"/>
          <w:lang w:val="es-ES" w:eastAsia="hi-IN" w:bidi="hi-IN"/>
        </w:rPr>
        <w:t xml:space="preserve">Nota al pie de página </w:t>
      </w:r>
    </w:p>
    <w:p w14:paraId="60B15CE0" w14:textId="77777777" w:rsidR="00652EF1" w:rsidRDefault="00652EF1" w:rsidP="00652EF1">
      <w:pPr>
        <w:pStyle w:val="NoSpacing"/>
        <w:jc w:val="both"/>
        <w:rPr>
          <w:rFonts w:ascii="Times New Roman" w:hAnsi="Times New Roman" w:cs="Times New Roman"/>
          <w:sz w:val="24"/>
          <w:szCs w:val="24"/>
          <w:lang w:val="es-ES" w:eastAsia="hi-IN" w:bidi="hi-IN"/>
        </w:rPr>
      </w:pPr>
    </w:p>
    <w:p w14:paraId="0F44F749" w14:textId="77777777" w:rsidR="00652EF1" w:rsidRPr="00BB3893"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Antonio Piñero. “La verdadera historia de la Pasión” (conferencia presentada en las</w:t>
      </w:r>
      <w:r w:rsidRPr="00BB3893">
        <w:t xml:space="preserve"> </w:t>
      </w:r>
      <w:r>
        <w:t>“</w:t>
      </w:r>
      <w:r w:rsidRPr="00BB3893">
        <w:rPr>
          <w:rFonts w:ascii="Times New Roman" w:hAnsi="Times New Roman" w:cs="Times New Roman"/>
          <w:sz w:val="24"/>
          <w:szCs w:val="24"/>
        </w:rPr>
        <w:t>V Jornadas del Misterio de la Costa Tropical</w:t>
      </w:r>
      <w:r>
        <w:rPr>
          <w:rFonts w:ascii="Times New Roman" w:hAnsi="Times New Roman" w:cs="Times New Roman"/>
          <w:sz w:val="24"/>
          <w:szCs w:val="24"/>
        </w:rPr>
        <w:t>,” Granada, España, 18 de octubre al 21 de octubre, 2017).</w:t>
      </w:r>
    </w:p>
    <w:p w14:paraId="63CF734D" w14:textId="77777777" w:rsidR="00652EF1" w:rsidRPr="000B7BA1" w:rsidRDefault="00652EF1" w:rsidP="00652EF1">
      <w:pPr>
        <w:pStyle w:val="NoSpacing"/>
        <w:jc w:val="both"/>
        <w:rPr>
          <w:rFonts w:ascii="Times New Roman" w:hAnsi="Times New Roman" w:cs="Times New Roman"/>
          <w:sz w:val="24"/>
          <w:szCs w:val="24"/>
          <w:lang w:val="es-ES" w:eastAsia="hi-IN" w:bidi="hi-IN"/>
        </w:rPr>
      </w:pPr>
    </w:p>
    <w:p w14:paraId="28872B43" w14:textId="77777777" w:rsidR="00652EF1" w:rsidRPr="000B7BA1" w:rsidRDefault="00652EF1" w:rsidP="00652EF1">
      <w:pPr>
        <w:pStyle w:val="NoSpacing"/>
        <w:jc w:val="both"/>
        <w:rPr>
          <w:rFonts w:ascii="Times New Roman" w:hAnsi="Times New Roman" w:cs="Times New Roman"/>
          <w:b/>
          <w:sz w:val="24"/>
          <w:szCs w:val="24"/>
          <w:lang w:val="es-ES" w:eastAsia="hi-IN" w:bidi="hi-IN"/>
        </w:rPr>
      </w:pPr>
      <w:r w:rsidRPr="000B7BA1">
        <w:rPr>
          <w:rFonts w:ascii="Times New Roman" w:hAnsi="Times New Roman" w:cs="Times New Roman"/>
          <w:b/>
          <w:sz w:val="24"/>
          <w:szCs w:val="24"/>
          <w:lang w:val="es-ES" w:eastAsia="hi-IN" w:bidi="hi-IN"/>
        </w:rPr>
        <w:t xml:space="preserve">Cita en el texto </w:t>
      </w:r>
    </w:p>
    <w:p w14:paraId="64937E75" w14:textId="77777777" w:rsidR="00652EF1" w:rsidRPr="000B7BA1"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(Piñero 2017</w:t>
      </w:r>
      <w:r w:rsidRPr="000B7BA1">
        <w:rPr>
          <w:rFonts w:ascii="Times New Roman" w:hAnsi="Times New Roman" w:cs="Times New Roman"/>
          <w:sz w:val="24"/>
          <w:szCs w:val="24"/>
          <w:lang w:val="es-ES" w:eastAsia="hi-IN" w:bidi="hi-IN"/>
        </w:rPr>
        <w:t xml:space="preserve">) </w:t>
      </w:r>
    </w:p>
    <w:p w14:paraId="09673589" w14:textId="77777777" w:rsidR="00652EF1" w:rsidRPr="000B7BA1" w:rsidRDefault="00652EF1" w:rsidP="00652EF1">
      <w:pPr>
        <w:pStyle w:val="NoSpacing"/>
        <w:jc w:val="both"/>
        <w:rPr>
          <w:rFonts w:ascii="Times New Roman" w:hAnsi="Times New Roman" w:cs="Times New Roman"/>
          <w:sz w:val="24"/>
          <w:szCs w:val="24"/>
          <w:lang w:val="es-ES" w:eastAsia="hi-IN" w:bidi="hi-IN"/>
        </w:rPr>
      </w:pPr>
      <w:r w:rsidRPr="000B7BA1">
        <w:rPr>
          <w:rFonts w:ascii="Times New Roman" w:hAnsi="Times New Roman" w:cs="Times New Roman"/>
          <w:sz w:val="24"/>
          <w:szCs w:val="24"/>
          <w:lang w:val="es-ES" w:eastAsia="hi-IN" w:bidi="hi-IN"/>
        </w:rPr>
        <w:t xml:space="preserve"> </w:t>
      </w:r>
    </w:p>
    <w:p w14:paraId="577D72E1" w14:textId="77777777" w:rsidR="00652EF1" w:rsidRPr="000B7BA1" w:rsidRDefault="00652EF1" w:rsidP="00652EF1">
      <w:pPr>
        <w:pStyle w:val="NoSpacing"/>
        <w:jc w:val="both"/>
        <w:rPr>
          <w:rFonts w:ascii="Times New Roman" w:hAnsi="Times New Roman" w:cs="Times New Roman"/>
          <w:b/>
          <w:sz w:val="24"/>
          <w:szCs w:val="24"/>
          <w:lang w:val="es-ES" w:eastAsia="hi-IN" w:bidi="hi-IN"/>
        </w:rPr>
      </w:pPr>
      <w:r w:rsidRPr="000B7BA1">
        <w:rPr>
          <w:rFonts w:ascii="Times New Roman" w:hAnsi="Times New Roman" w:cs="Times New Roman"/>
          <w:b/>
          <w:sz w:val="24"/>
          <w:szCs w:val="24"/>
          <w:lang w:val="es-ES" w:eastAsia="hi-IN" w:bidi="hi-IN"/>
        </w:rPr>
        <w:t xml:space="preserve">Bibliografía </w:t>
      </w:r>
    </w:p>
    <w:p w14:paraId="02ACFEBA" w14:textId="77777777" w:rsidR="00652EF1" w:rsidRDefault="00652EF1" w:rsidP="00652EF1">
      <w:pPr>
        <w:pStyle w:val="NoSpacing"/>
        <w:jc w:val="both"/>
        <w:rPr>
          <w:rFonts w:ascii="Times New Roman" w:hAnsi="Times New Roman" w:cs="Times New Roman"/>
          <w:sz w:val="24"/>
          <w:szCs w:val="24"/>
          <w:lang w:val="es-ES" w:eastAsia="hi-IN" w:bidi="hi-IN"/>
        </w:rPr>
      </w:pPr>
      <w:r>
        <w:rPr>
          <w:rFonts w:ascii="Times New Roman" w:hAnsi="Times New Roman" w:cs="Times New Roman"/>
          <w:sz w:val="24"/>
          <w:szCs w:val="24"/>
          <w:lang w:val="es-ES" w:eastAsia="hi-IN" w:bidi="hi-IN"/>
        </w:rPr>
        <w:t xml:space="preserve">Piñero, Antonio. 2017. La verdadera historia de la Pasión. Conferencia presentada en las </w:t>
      </w:r>
      <w:r w:rsidRPr="00BB3893">
        <w:rPr>
          <w:rFonts w:ascii="Times New Roman" w:hAnsi="Times New Roman" w:cs="Times New Roman"/>
          <w:sz w:val="24"/>
          <w:szCs w:val="24"/>
        </w:rPr>
        <w:t>V Jornadas del Misterio de la Costa Tropical</w:t>
      </w:r>
      <w:r>
        <w:rPr>
          <w:rFonts w:ascii="Times New Roman" w:hAnsi="Times New Roman" w:cs="Times New Roman"/>
          <w:sz w:val="24"/>
          <w:szCs w:val="24"/>
        </w:rPr>
        <w:t>”, 18 de octubre al 21 de octubre, en Granada, España.</w:t>
      </w:r>
      <w:r>
        <w:rPr>
          <w:rFonts w:ascii="Times New Roman" w:hAnsi="Times New Roman" w:cs="Times New Roman"/>
          <w:sz w:val="24"/>
          <w:szCs w:val="24"/>
          <w:lang w:val="es-ES" w:eastAsia="hi-IN" w:bidi="hi-IN"/>
        </w:rPr>
        <w:t xml:space="preserve"> </w:t>
      </w:r>
    </w:p>
    <w:p w14:paraId="41B4E902" w14:textId="77777777" w:rsidR="00652EF1" w:rsidRDefault="00652EF1" w:rsidP="00B53917">
      <w:pPr>
        <w:pStyle w:val="NoSpacing"/>
        <w:ind w:left="714"/>
        <w:jc w:val="both"/>
        <w:rPr>
          <w:rFonts w:ascii="Times New Roman" w:eastAsia="Calibri" w:hAnsi="Times New Roman" w:cs="Times New Roman"/>
          <w:sz w:val="24"/>
          <w:szCs w:val="24"/>
          <w:lang w:val="es-ES" w:eastAsia="hi-IN" w:bidi="hi-IN"/>
        </w:rPr>
      </w:pPr>
    </w:p>
    <w:p w14:paraId="545BB77C" w14:textId="77777777" w:rsidR="00652EF1" w:rsidRDefault="00652EF1" w:rsidP="00B53917">
      <w:pPr>
        <w:pStyle w:val="NoSpacing"/>
        <w:ind w:left="714"/>
        <w:jc w:val="both"/>
        <w:rPr>
          <w:rFonts w:ascii="Times New Roman" w:eastAsia="Calibri" w:hAnsi="Times New Roman" w:cs="Times New Roman"/>
          <w:sz w:val="24"/>
          <w:szCs w:val="24"/>
          <w:lang w:val="es-ES" w:eastAsia="hi-IN" w:bidi="hi-IN"/>
        </w:rPr>
      </w:pPr>
    </w:p>
    <w:p w14:paraId="5D9B0502" w14:textId="77777777" w:rsidR="001A3E86" w:rsidRPr="008B7B42" w:rsidRDefault="001A3E86" w:rsidP="001A3E86">
      <w:pPr>
        <w:pStyle w:val="NoSpacing"/>
        <w:spacing w:line="360" w:lineRule="auto"/>
        <w:ind w:firstLine="720"/>
        <w:jc w:val="both"/>
        <w:rPr>
          <w:rFonts w:ascii="Times New Roman" w:hAnsi="Times New Roman" w:cs="Times New Roman"/>
          <w:sz w:val="24"/>
          <w:szCs w:val="24"/>
          <w:lang w:val="es-ES" w:eastAsia="hi-IN" w:bidi="hi-IN"/>
        </w:rPr>
      </w:pPr>
      <w:r w:rsidRPr="008B7B42">
        <w:rPr>
          <w:rFonts w:ascii="Times New Roman" w:hAnsi="Times New Roman" w:cs="Times New Roman"/>
          <w:sz w:val="24"/>
          <w:szCs w:val="24"/>
          <w:lang w:val="es-ES" w:eastAsia="hi-IN" w:bidi="hi-IN"/>
        </w:rPr>
        <w:t>Además de las referencias al pie de página, el artículo debe llevar un apartado final titulado “referencias bibliográficas”, donde aparezcan, en orden alfabético, todos los documentos citados.</w:t>
      </w:r>
    </w:p>
    <w:p w14:paraId="1F1C0C53" w14:textId="77777777" w:rsidR="001A3E86" w:rsidRPr="008B7B42" w:rsidRDefault="001A3E86" w:rsidP="001A3E86">
      <w:pPr>
        <w:pStyle w:val="NoSpacing"/>
        <w:jc w:val="both"/>
        <w:rPr>
          <w:rFonts w:ascii="Times New Roman" w:hAnsi="Times New Roman" w:cs="Times New Roman"/>
          <w:sz w:val="24"/>
          <w:szCs w:val="24"/>
          <w:lang w:val="es-ES" w:eastAsia="hi-IN" w:bidi="hi-IN"/>
        </w:rPr>
      </w:pPr>
    </w:p>
    <w:p w14:paraId="12118387" w14:textId="77777777" w:rsidR="001A3E86" w:rsidRPr="008B7B42" w:rsidRDefault="001A3E86" w:rsidP="001A3E86">
      <w:pPr>
        <w:pStyle w:val="NoSpacing"/>
        <w:numPr>
          <w:ilvl w:val="0"/>
          <w:numId w:val="3"/>
        </w:numPr>
        <w:spacing w:line="360" w:lineRule="auto"/>
        <w:ind w:left="714" w:hanging="357"/>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El artículo debe ordenarse de la siguiente forma:</w:t>
      </w:r>
    </w:p>
    <w:p w14:paraId="44EF8E6F" w14:textId="77777777" w:rsidR="001A3E86" w:rsidRPr="008B7B42" w:rsidRDefault="001A3E86" w:rsidP="001A3E86">
      <w:pPr>
        <w:pStyle w:val="NoSpacing"/>
        <w:numPr>
          <w:ilvl w:val="0"/>
          <w:numId w:val="3"/>
        </w:numPr>
        <w:spacing w:line="360" w:lineRule="auto"/>
        <w:ind w:left="714" w:hanging="357"/>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Título del trabajo no debe exceder 15 palabras.</w:t>
      </w:r>
    </w:p>
    <w:p w14:paraId="35382199" w14:textId="77777777" w:rsidR="001A3E86" w:rsidRPr="008B7B42" w:rsidRDefault="001A3E86" w:rsidP="001A3E86">
      <w:pPr>
        <w:pStyle w:val="NoSpacing"/>
        <w:numPr>
          <w:ilvl w:val="0"/>
          <w:numId w:val="3"/>
        </w:numPr>
        <w:spacing w:line="360" w:lineRule="auto"/>
        <w:ind w:left="714" w:hanging="357"/>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Nombre del autor o la autora.</w:t>
      </w:r>
    </w:p>
    <w:p w14:paraId="456DCC4A" w14:textId="77777777" w:rsidR="001A3E86" w:rsidRPr="008B7B42" w:rsidRDefault="001A3E86" w:rsidP="001A3E86">
      <w:pPr>
        <w:pStyle w:val="NoSpacing"/>
        <w:numPr>
          <w:ilvl w:val="0"/>
          <w:numId w:val="3"/>
        </w:numPr>
        <w:spacing w:line="360" w:lineRule="auto"/>
        <w:ind w:left="714" w:hanging="357"/>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Fecha de entrega del material.</w:t>
      </w:r>
    </w:p>
    <w:p w14:paraId="20430754" w14:textId="77777777" w:rsidR="001A3E86" w:rsidRPr="008B7B42" w:rsidRDefault="001A3E86" w:rsidP="001A3E86">
      <w:pPr>
        <w:pStyle w:val="NoSpacing"/>
        <w:numPr>
          <w:ilvl w:val="0"/>
          <w:numId w:val="3"/>
        </w:numPr>
        <w:spacing w:line="360" w:lineRule="auto"/>
        <w:ind w:left="714" w:hanging="357"/>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 xml:space="preserve">Resumen en castellano, que no exceda las 100 palabras y su respectivo </w:t>
      </w:r>
      <w:r w:rsidRPr="008B7B42">
        <w:rPr>
          <w:rFonts w:ascii="Times New Roman" w:eastAsia="Calibri" w:hAnsi="Times New Roman" w:cs="Times New Roman"/>
          <w:i/>
          <w:sz w:val="24"/>
          <w:szCs w:val="24"/>
          <w:lang w:val="es-ES" w:eastAsia="hi-IN" w:bidi="hi-IN"/>
        </w:rPr>
        <w:t>Abstract</w:t>
      </w:r>
      <w:r w:rsidRPr="008B7B42">
        <w:rPr>
          <w:rFonts w:ascii="Times New Roman" w:eastAsia="Calibri" w:hAnsi="Times New Roman" w:cs="Times New Roman"/>
          <w:sz w:val="24"/>
          <w:szCs w:val="24"/>
          <w:lang w:val="es-ES" w:eastAsia="hi-IN" w:bidi="hi-IN"/>
        </w:rPr>
        <w:t xml:space="preserve"> en inglés.</w:t>
      </w:r>
    </w:p>
    <w:p w14:paraId="467CF031" w14:textId="77777777" w:rsidR="001A3E86" w:rsidRPr="008B7B42" w:rsidRDefault="001A3E86" w:rsidP="001A3E86">
      <w:pPr>
        <w:pStyle w:val="NoSpacing"/>
        <w:numPr>
          <w:ilvl w:val="0"/>
          <w:numId w:val="3"/>
        </w:numPr>
        <w:spacing w:line="360" w:lineRule="auto"/>
        <w:ind w:left="714" w:hanging="357"/>
        <w:jc w:val="both"/>
        <w:rPr>
          <w:rFonts w:ascii="Times New Roman" w:eastAsia="Calibri" w:hAnsi="Times New Roman" w:cs="Times New Roman"/>
          <w:sz w:val="24"/>
          <w:szCs w:val="24"/>
          <w:lang w:val="es-ES" w:eastAsia="hi-IN" w:bidi="hi-IN"/>
        </w:rPr>
      </w:pPr>
      <w:r w:rsidRPr="008B7B42">
        <w:rPr>
          <w:rFonts w:ascii="Times New Roman" w:eastAsia="Calibri" w:hAnsi="Times New Roman" w:cs="Times New Roman"/>
          <w:sz w:val="24"/>
          <w:szCs w:val="24"/>
          <w:lang w:val="es-ES" w:eastAsia="hi-IN" w:bidi="hi-IN"/>
        </w:rPr>
        <w:t xml:space="preserve">Palabras claves en español (un máximo de cinco) y sus respectivas </w:t>
      </w:r>
      <w:r w:rsidRPr="008B7B42">
        <w:rPr>
          <w:rFonts w:ascii="Times New Roman" w:eastAsia="Calibri" w:hAnsi="Times New Roman" w:cs="Times New Roman"/>
          <w:i/>
          <w:sz w:val="24"/>
          <w:szCs w:val="24"/>
          <w:lang w:val="es-ES" w:eastAsia="hi-IN" w:bidi="hi-IN"/>
        </w:rPr>
        <w:t>Keywords</w:t>
      </w:r>
      <w:r w:rsidRPr="008B7B42">
        <w:rPr>
          <w:rFonts w:ascii="Times New Roman" w:eastAsia="Calibri" w:hAnsi="Times New Roman" w:cs="Times New Roman"/>
          <w:sz w:val="24"/>
          <w:szCs w:val="24"/>
          <w:lang w:val="es-ES" w:eastAsia="hi-IN" w:bidi="hi-IN"/>
        </w:rPr>
        <w:t xml:space="preserve"> en inglés.</w:t>
      </w:r>
    </w:p>
    <w:p w14:paraId="42175700" w14:textId="77777777" w:rsidR="001A3E86" w:rsidRPr="008B7B42" w:rsidRDefault="001A3E86" w:rsidP="001A3E86">
      <w:pPr>
        <w:pStyle w:val="NoSpacing"/>
        <w:numPr>
          <w:ilvl w:val="0"/>
          <w:numId w:val="3"/>
        </w:numPr>
        <w:spacing w:line="360" w:lineRule="auto"/>
        <w:ind w:left="714" w:hanging="357"/>
        <w:jc w:val="both"/>
        <w:rPr>
          <w:rFonts w:ascii="Times New Roman" w:hAnsi="Times New Roman" w:cs="Times New Roman"/>
          <w:color w:val="FF0000"/>
          <w:sz w:val="24"/>
          <w:szCs w:val="24"/>
          <w:lang w:val="es-ES" w:eastAsia="hi-IN" w:bidi="hi-IN"/>
        </w:rPr>
      </w:pPr>
      <w:r w:rsidRPr="008B7B42">
        <w:rPr>
          <w:rFonts w:ascii="Times New Roman" w:eastAsia="Calibri" w:hAnsi="Times New Roman" w:cs="Times New Roman"/>
          <w:sz w:val="24"/>
          <w:szCs w:val="24"/>
          <w:lang w:val="es-ES" w:eastAsia="hi-IN" w:bidi="hi-IN"/>
        </w:rPr>
        <w:t>Introducción, desarrollo de secciones, conclusiones y fuentes consultadas.</w:t>
      </w:r>
    </w:p>
    <w:p w14:paraId="1471749E" w14:textId="77777777" w:rsidR="00B83A1F" w:rsidRDefault="00B83A1F"/>
    <w:sectPr w:rsidR="00B83A1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2E3A5" w14:textId="77777777" w:rsidR="00966ED5" w:rsidRDefault="00966ED5" w:rsidP="001A3E86">
      <w:pPr>
        <w:spacing w:after="0" w:line="240" w:lineRule="auto"/>
      </w:pPr>
      <w:r>
        <w:separator/>
      </w:r>
    </w:p>
  </w:endnote>
  <w:endnote w:type="continuationSeparator" w:id="0">
    <w:p w14:paraId="4A707EF3" w14:textId="77777777" w:rsidR="00966ED5" w:rsidRDefault="00966ED5" w:rsidP="001A3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Garamond">
    <w:panose1 w:val="02020404030301010803"/>
    <w:charset w:val="00"/>
    <w:family w:val="auto"/>
    <w:pitch w:val="variable"/>
    <w:sig w:usb0="00000287" w:usb1="00000000" w:usb2="00000000" w:usb3="00000000" w:csb0="0000009F" w:csb1="00000000"/>
  </w:font>
  <w:font w:name="Century">
    <w:panose1 w:val="020406040505050203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8000012" w:usb3="00000000" w:csb0="0002009F" w:csb1="00000000"/>
  </w:font>
  <w:font w:name="Segoe UI">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F">
    <w:altName w:val="Times New Roman"/>
    <w:charset w:val="00"/>
    <w:family w:val="auto"/>
    <w:pitch w:val="variable"/>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8944F" w14:textId="77777777" w:rsidR="00966ED5" w:rsidRDefault="00966E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37996" w14:textId="77777777" w:rsidR="00966ED5" w:rsidRDefault="00966ED5" w:rsidP="001A3E86">
      <w:pPr>
        <w:spacing w:after="0" w:line="240" w:lineRule="auto"/>
      </w:pPr>
      <w:r>
        <w:separator/>
      </w:r>
    </w:p>
  </w:footnote>
  <w:footnote w:type="continuationSeparator" w:id="0">
    <w:p w14:paraId="30F69845" w14:textId="77777777" w:rsidR="00966ED5" w:rsidRDefault="00966ED5" w:rsidP="001A3E86">
      <w:pPr>
        <w:spacing w:after="0" w:line="240" w:lineRule="auto"/>
      </w:pPr>
      <w:r>
        <w:continuationSeparator/>
      </w:r>
    </w:p>
  </w:footnote>
  <w:footnote w:id="1">
    <w:p w14:paraId="42667FAF" w14:textId="77777777" w:rsidR="00966ED5" w:rsidRPr="0017253D" w:rsidRDefault="00966ED5" w:rsidP="001A3E86">
      <w:pPr>
        <w:pStyle w:val="FootnoteText"/>
        <w:jc w:val="both"/>
        <w:rPr>
          <w:rFonts w:ascii="Times New Roman" w:hAnsi="Times New Roman"/>
        </w:rPr>
      </w:pPr>
      <w:r w:rsidRPr="0017253D">
        <w:rPr>
          <w:rStyle w:val="FootnoteReference"/>
          <w:rFonts w:ascii="Times New Roman" w:hAnsi="Times New Roman"/>
        </w:rPr>
        <w:footnoteRef/>
      </w:r>
      <w:r w:rsidRPr="0017253D">
        <w:rPr>
          <w:rFonts w:ascii="Times New Roman" w:hAnsi="Times New Roman"/>
        </w:rPr>
        <w:t xml:space="preserve"> Documento anexo.</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D54C37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6C7F12"/>
    <w:multiLevelType w:val="hybridMultilevel"/>
    <w:tmpl w:val="4BD2087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B741372"/>
    <w:multiLevelType w:val="hybridMultilevel"/>
    <w:tmpl w:val="398ABAAA"/>
    <w:lvl w:ilvl="0" w:tplc="8B0A6326">
      <w:start w:val="13"/>
      <w:numFmt w:val="bullet"/>
      <w:lvlText w:val="-"/>
      <w:lvlJc w:val="left"/>
      <w:pPr>
        <w:ind w:left="720" w:hanging="360"/>
      </w:pPr>
      <w:rPr>
        <w:rFonts w:ascii="Calibri" w:eastAsiaTheme="minorHAnsi" w:hAnsi="Calibri" w:cstheme="minorBidi"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
    <w:nsid w:val="0F9E5531"/>
    <w:multiLevelType w:val="hybridMultilevel"/>
    <w:tmpl w:val="21DE925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5C25B67"/>
    <w:multiLevelType w:val="hybridMultilevel"/>
    <w:tmpl w:val="D4BE1160"/>
    <w:lvl w:ilvl="0" w:tplc="40521A00">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9797D93"/>
    <w:multiLevelType w:val="hybridMultilevel"/>
    <w:tmpl w:val="C2A47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37791D"/>
    <w:multiLevelType w:val="hybridMultilevel"/>
    <w:tmpl w:val="5CE6596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1BCD342C"/>
    <w:multiLevelType w:val="hybridMultilevel"/>
    <w:tmpl w:val="2C089E0C"/>
    <w:lvl w:ilvl="0" w:tplc="CD06F9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C579D5"/>
    <w:multiLevelType w:val="hybridMultilevel"/>
    <w:tmpl w:val="4468B6A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20BC16C2"/>
    <w:multiLevelType w:val="hybridMultilevel"/>
    <w:tmpl w:val="9B663C3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216D1403"/>
    <w:multiLevelType w:val="hybridMultilevel"/>
    <w:tmpl w:val="12CC9C5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237A36DE"/>
    <w:multiLevelType w:val="hybridMultilevel"/>
    <w:tmpl w:val="7FE4B560"/>
    <w:lvl w:ilvl="0" w:tplc="ABDE08B4">
      <w:start w:val="2"/>
      <w:numFmt w:val="decimal"/>
      <w:lvlText w:val="%1."/>
      <w:lvlJc w:val="left"/>
      <w:pPr>
        <w:ind w:left="720" w:hanging="360"/>
      </w:pPr>
      <w:rPr>
        <w:rFonts w:asciiTheme="minorHAnsi" w:eastAsiaTheme="minorHAnsi" w:hAnsiTheme="minorHAnsi" w:cstheme="minorBidi" w:hint="default"/>
        <w:b/>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254C1C25"/>
    <w:multiLevelType w:val="hybridMultilevel"/>
    <w:tmpl w:val="9A68057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25E02C19"/>
    <w:multiLevelType w:val="hybridMultilevel"/>
    <w:tmpl w:val="F5289F30"/>
    <w:lvl w:ilvl="0" w:tplc="4C388AE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3DAC3A46"/>
    <w:multiLevelType w:val="hybridMultilevel"/>
    <w:tmpl w:val="B0EE0F42"/>
    <w:lvl w:ilvl="0" w:tplc="64CA2E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8355DF"/>
    <w:multiLevelType w:val="hybridMultilevel"/>
    <w:tmpl w:val="ED0ED4D2"/>
    <w:lvl w:ilvl="0" w:tplc="BC9A070E">
      <w:start w:val="1"/>
      <w:numFmt w:val="lowerLetter"/>
      <w:lvlText w:val="%1."/>
      <w:lvlJc w:val="left"/>
      <w:pPr>
        <w:ind w:left="1440" w:hanging="360"/>
      </w:pPr>
      <w:rPr>
        <w:rFonts w:eastAsiaTheme="minorHAnsi"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6">
    <w:nsid w:val="46EE5587"/>
    <w:multiLevelType w:val="hybridMultilevel"/>
    <w:tmpl w:val="8D8A91DE"/>
    <w:lvl w:ilvl="0" w:tplc="769807D4">
      <w:start w:val="1"/>
      <w:numFmt w:val="upperRoman"/>
      <w:lvlText w:val="%1."/>
      <w:lvlJc w:val="left"/>
      <w:pPr>
        <w:ind w:left="1080" w:hanging="720"/>
      </w:pPr>
      <w:rPr>
        <w:rFonts w:ascii="Cambria" w:hAnsi="Cambria" w:hint="default"/>
        <w:b/>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BB6AA6"/>
    <w:multiLevelType w:val="hybridMultilevel"/>
    <w:tmpl w:val="61546DB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490C0EA4"/>
    <w:multiLevelType w:val="hybridMultilevel"/>
    <w:tmpl w:val="CAE8CE9C"/>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9">
    <w:nsid w:val="4E3175E1"/>
    <w:multiLevelType w:val="hybridMultilevel"/>
    <w:tmpl w:val="0936A2C8"/>
    <w:lvl w:ilvl="0" w:tplc="103AF33C">
      <w:start w:val="1"/>
      <w:numFmt w:val="upperRoman"/>
      <w:lvlText w:val="%1."/>
      <w:lvlJc w:val="left"/>
      <w:pPr>
        <w:ind w:left="1080" w:hanging="720"/>
      </w:pPr>
      <w:rPr>
        <w:rFonts w:eastAsiaTheme="minorHAns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4EE205BB"/>
    <w:multiLevelType w:val="hybridMultilevel"/>
    <w:tmpl w:val="4754D438"/>
    <w:lvl w:ilvl="0" w:tplc="C7F456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2D03DBC"/>
    <w:multiLevelType w:val="hybridMultilevel"/>
    <w:tmpl w:val="E0223D96"/>
    <w:lvl w:ilvl="0" w:tplc="7506CB90">
      <w:start w:val="1"/>
      <w:numFmt w:val="lowerLetter"/>
      <w:lvlText w:val="%1."/>
      <w:lvlJc w:val="left"/>
      <w:pPr>
        <w:ind w:left="502" w:hanging="36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22">
    <w:nsid w:val="578E21D4"/>
    <w:multiLevelType w:val="hybridMultilevel"/>
    <w:tmpl w:val="1B444128"/>
    <w:lvl w:ilvl="0" w:tplc="9424B898">
      <w:start w:val="5"/>
      <w:numFmt w:val="lowerRoman"/>
      <w:lvlText w:val="%1."/>
      <w:lvlJc w:val="left"/>
      <w:pPr>
        <w:ind w:left="1080" w:hanging="720"/>
      </w:pPr>
      <w:rPr>
        <w:rFonts w:eastAsiaTheme="minorHAns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5C0A476F"/>
    <w:multiLevelType w:val="hybridMultilevel"/>
    <w:tmpl w:val="ADE4B320"/>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51FCB168">
      <w:start w:val="1"/>
      <w:numFmt w:val="decimal"/>
      <w:lvlText w:val="%4."/>
      <w:lvlJc w:val="left"/>
      <w:pPr>
        <w:ind w:left="360" w:hanging="360"/>
      </w:pPr>
      <w:rPr>
        <w:color w:val="auto"/>
      </w:r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36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4">
    <w:nsid w:val="66BC7EC3"/>
    <w:multiLevelType w:val="hybridMultilevel"/>
    <w:tmpl w:val="45D21F8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nsid w:val="703149B0"/>
    <w:multiLevelType w:val="hybridMultilevel"/>
    <w:tmpl w:val="694C04F8"/>
    <w:lvl w:ilvl="0" w:tplc="0BF64F88">
      <w:start w:val="1"/>
      <w:numFmt w:val="decimal"/>
      <w:lvlText w:val="%1."/>
      <w:lvlJc w:val="left"/>
      <w:pPr>
        <w:ind w:left="720" w:hanging="360"/>
      </w:pPr>
      <w:rPr>
        <w:rFonts w:eastAsiaTheme="minorHAns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718430FD"/>
    <w:multiLevelType w:val="hybridMultilevel"/>
    <w:tmpl w:val="D7FC723A"/>
    <w:lvl w:ilvl="0" w:tplc="85CEDA56">
      <w:start w:val="1"/>
      <w:numFmt w:val="upp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27">
    <w:nsid w:val="71DA1193"/>
    <w:multiLevelType w:val="hybridMultilevel"/>
    <w:tmpl w:val="C0CE3A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EC1B6E"/>
    <w:multiLevelType w:val="hybridMultilevel"/>
    <w:tmpl w:val="0D8274F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7A235F98"/>
    <w:multiLevelType w:val="hybridMultilevel"/>
    <w:tmpl w:val="5274A1CE"/>
    <w:lvl w:ilvl="0" w:tplc="96000EB4">
      <w:start w:val="1"/>
      <w:numFmt w:val="upperLetter"/>
      <w:lvlText w:val="%1."/>
      <w:lvlJc w:val="left"/>
      <w:pPr>
        <w:ind w:left="720" w:hanging="360"/>
      </w:pPr>
      <w:rPr>
        <w:rFonts w:eastAsiaTheme="minorHAns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7AE02E13"/>
    <w:multiLevelType w:val="hybridMultilevel"/>
    <w:tmpl w:val="6E227766"/>
    <w:lvl w:ilvl="0" w:tplc="1F3E1894">
      <w:start w:val="1"/>
      <w:numFmt w:val="decimal"/>
      <w:lvlText w:val="%1."/>
      <w:lvlJc w:val="left"/>
      <w:pPr>
        <w:ind w:left="720" w:hanging="360"/>
      </w:pPr>
      <w:rPr>
        <w:rFonts w:eastAsiaTheme="minorHAns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7B194179"/>
    <w:multiLevelType w:val="hybridMultilevel"/>
    <w:tmpl w:val="BFF46AE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7B5A79CB"/>
    <w:multiLevelType w:val="hybridMultilevel"/>
    <w:tmpl w:val="C24A0970"/>
    <w:lvl w:ilvl="0" w:tplc="7DA23252">
      <w:start w:val="1"/>
      <w:numFmt w:val="lowerLetter"/>
      <w:lvlText w:val="%1."/>
      <w:lvlJc w:val="left"/>
      <w:pPr>
        <w:ind w:left="786"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nsid w:val="7BD275F6"/>
    <w:multiLevelType w:val="hybridMultilevel"/>
    <w:tmpl w:val="2F0AEEA8"/>
    <w:lvl w:ilvl="0" w:tplc="26FA9CC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8"/>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0"/>
  </w:num>
  <w:num w:numId="5">
    <w:abstractNumId w:val="5"/>
  </w:num>
  <w:num w:numId="6">
    <w:abstractNumId w:val="14"/>
  </w:num>
  <w:num w:numId="7">
    <w:abstractNumId w:val="16"/>
  </w:num>
  <w:num w:numId="8">
    <w:abstractNumId w:val="27"/>
  </w:num>
  <w:num w:numId="9">
    <w:abstractNumId w:val="7"/>
  </w:num>
  <w:num w:numId="10">
    <w:abstractNumId w:val="11"/>
  </w:num>
  <w:num w:numId="11">
    <w:abstractNumId w:val="0"/>
  </w:num>
  <w:num w:numId="12">
    <w:abstractNumId w:val="21"/>
  </w:num>
  <w:num w:numId="13">
    <w:abstractNumId w:val="4"/>
  </w:num>
  <w:num w:numId="14">
    <w:abstractNumId w:val="26"/>
  </w:num>
  <w:num w:numId="15">
    <w:abstractNumId w:val="22"/>
  </w:num>
  <w:num w:numId="16">
    <w:abstractNumId w:val="19"/>
  </w:num>
  <w:num w:numId="17">
    <w:abstractNumId w:val="15"/>
  </w:num>
  <w:num w:numId="18">
    <w:abstractNumId w:val="30"/>
  </w:num>
  <w:num w:numId="19">
    <w:abstractNumId w:val="29"/>
  </w:num>
  <w:num w:numId="20">
    <w:abstractNumId w:val="25"/>
  </w:num>
  <w:num w:numId="21">
    <w:abstractNumId w:val="6"/>
  </w:num>
  <w:num w:numId="22">
    <w:abstractNumId w:val="12"/>
  </w:num>
  <w:num w:numId="23">
    <w:abstractNumId w:val="31"/>
  </w:num>
  <w:num w:numId="24">
    <w:abstractNumId w:val="24"/>
  </w:num>
  <w:num w:numId="25">
    <w:abstractNumId w:val="10"/>
  </w:num>
  <w:num w:numId="26">
    <w:abstractNumId w:val="8"/>
  </w:num>
  <w:num w:numId="27">
    <w:abstractNumId w:val="32"/>
  </w:num>
  <w:num w:numId="28">
    <w:abstractNumId w:val="33"/>
  </w:num>
  <w:num w:numId="29">
    <w:abstractNumId w:val="9"/>
  </w:num>
  <w:num w:numId="30">
    <w:abstractNumId w:val="13"/>
  </w:num>
  <w:num w:numId="31">
    <w:abstractNumId w:val="28"/>
  </w:num>
  <w:num w:numId="32">
    <w:abstractNumId w:val="3"/>
  </w:num>
  <w:num w:numId="33">
    <w:abstractNumId w:val="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A1F"/>
    <w:rsid w:val="00016D97"/>
    <w:rsid w:val="000B7BA1"/>
    <w:rsid w:val="000E2F29"/>
    <w:rsid w:val="001018A4"/>
    <w:rsid w:val="001A3E86"/>
    <w:rsid w:val="001B49BD"/>
    <w:rsid w:val="001B7D44"/>
    <w:rsid w:val="001C19DD"/>
    <w:rsid w:val="002764A1"/>
    <w:rsid w:val="002E6139"/>
    <w:rsid w:val="003F299D"/>
    <w:rsid w:val="004976D3"/>
    <w:rsid w:val="004F2A78"/>
    <w:rsid w:val="005A6040"/>
    <w:rsid w:val="005A6F34"/>
    <w:rsid w:val="00652EF1"/>
    <w:rsid w:val="00730F14"/>
    <w:rsid w:val="007A1761"/>
    <w:rsid w:val="008B007E"/>
    <w:rsid w:val="008D797F"/>
    <w:rsid w:val="00904842"/>
    <w:rsid w:val="009318F4"/>
    <w:rsid w:val="00952A5C"/>
    <w:rsid w:val="00966ED5"/>
    <w:rsid w:val="009D1A7C"/>
    <w:rsid w:val="009D71B9"/>
    <w:rsid w:val="009E25AC"/>
    <w:rsid w:val="00A22E19"/>
    <w:rsid w:val="00B01B74"/>
    <w:rsid w:val="00B53917"/>
    <w:rsid w:val="00B56345"/>
    <w:rsid w:val="00B7601F"/>
    <w:rsid w:val="00B83A1F"/>
    <w:rsid w:val="00BB3893"/>
    <w:rsid w:val="00C052B5"/>
    <w:rsid w:val="00E0407A"/>
    <w:rsid w:val="00E43407"/>
    <w:rsid w:val="00F76B5D"/>
    <w:rsid w:val="00FD060D"/>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FB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86"/>
    <w:rPr>
      <w:lang w:val="en-US"/>
    </w:rPr>
  </w:style>
  <w:style w:type="paragraph" w:styleId="Heading1">
    <w:name w:val="heading 1"/>
    <w:basedOn w:val="Normal"/>
    <w:next w:val="Normal"/>
    <w:link w:val="Heading1Char"/>
    <w:qFormat/>
    <w:rsid w:val="001A3E86"/>
    <w:pPr>
      <w:keepNext/>
      <w:spacing w:before="240" w:after="60" w:line="360" w:lineRule="auto"/>
      <w:jc w:val="center"/>
      <w:outlineLvl w:val="0"/>
    </w:pPr>
    <w:rPr>
      <w:rFonts w:ascii="Cambria" w:eastAsia="Times New Roman" w:hAnsi="Cambria" w:cs="Times New Roman"/>
      <w:b/>
      <w:bCs/>
      <w:kern w:val="32"/>
      <w:sz w:val="32"/>
      <w:szCs w:val="32"/>
      <w:lang w:val="es-ES"/>
    </w:rPr>
  </w:style>
  <w:style w:type="paragraph" w:styleId="Heading2">
    <w:name w:val="heading 2"/>
    <w:basedOn w:val="Normal"/>
    <w:next w:val="Normal"/>
    <w:link w:val="Heading2Char"/>
    <w:uiPriority w:val="9"/>
    <w:unhideWhenUsed/>
    <w:qFormat/>
    <w:rsid w:val="001A3E86"/>
    <w:pPr>
      <w:keepNext/>
      <w:keepLines/>
      <w:spacing w:before="200" w:after="0" w:line="276" w:lineRule="auto"/>
      <w:outlineLvl w:val="1"/>
    </w:pPr>
    <w:rPr>
      <w:rFonts w:ascii="Cambria" w:eastAsia="Times New Roman" w:hAnsi="Cambria" w:cs="Times New Roman"/>
      <w:b/>
      <w:bCs/>
      <w:color w:val="4F81BD"/>
      <w:sz w:val="26"/>
      <w:szCs w:val="26"/>
      <w:lang w:val="es-CR"/>
    </w:rPr>
  </w:style>
  <w:style w:type="paragraph" w:styleId="Heading3">
    <w:name w:val="heading 3"/>
    <w:basedOn w:val="Normal"/>
    <w:next w:val="Normal"/>
    <w:link w:val="Heading3Char"/>
    <w:unhideWhenUsed/>
    <w:qFormat/>
    <w:rsid w:val="001A3E86"/>
    <w:pPr>
      <w:keepNext/>
      <w:spacing w:before="240" w:after="60" w:line="360" w:lineRule="auto"/>
      <w:jc w:val="center"/>
      <w:outlineLvl w:val="2"/>
    </w:pPr>
    <w:rPr>
      <w:rFonts w:ascii="Cambria" w:eastAsia="Times New Roman" w:hAnsi="Cambria" w:cs="Times New Roman"/>
      <w:b/>
      <w:bCs/>
      <w:sz w:val="26"/>
      <w:szCs w:val="26"/>
      <w:lang w:val="es-ES"/>
    </w:rPr>
  </w:style>
  <w:style w:type="paragraph" w:styleId="Heading6">
    <w:name w:val="heading 6"/>
    <w:basedOn w:val="Normal"/>
    <w:next w:val="Normal"/>
    <w:link w:val="Heading6Char"/>
    <w:unhideWhenUsed/>
    <w:qFormat/>
    <w:rsid w:val="001A3E86"/>
    <w:pPr>
      <w:keepNext/>
      <w:keepLines/>
      <w:spacing w:before="200" w:after="0" w:line="360" w:lineRule="auto"/>
      <w:jc w:val="center"/>
      <w:outlineLvl w:val="5"/>
    </w:pPr>
    <w:rPr>
      <w:rFonts w:asciiTheme="majorHAnsi" w:eastAsiaTheme="majorEastAsia" w:hAnsiTheme="majorHAnsi" w:cstheme="majorBidi"/>
      <w:i/>
      <w:iCs/>
      <w:color w:val="1F3763" w:themeColor="accent1" w:themeShade="7F"/>
      <w:lang w:val="es-ES"/>
    </w:rPr>
  </w:style>
  <w:style w:type="paragraph" w:styleId="Heading8">
    <w:name w:val="heading 8"/>
    <w:basedOn w:val="Normal"/>
    <w:next w:val="Normal"/>
    <w:link w:val="Heading8Char"/>
    <w:unhideWhenUsed/>
    <w:qFormat/>
    <w:rsid w:val="001A3E86"/>
    <w:pPr>
      <w:keepNext/>
      <w:keepLines/>
      <w:spacing w:before="200" w:after="0" w:line="360" w:lineRule="auto"/>
      <w:jc w:val="center"/>
      <w:outlineLvl w:val="7"/>
    </w:pPr>
    <w:rPr>
      <w:rFonts w:asciiTheme="majorHAnsi" w:eastAsiaTheme="majorEastAsia" w:hAnsiTheme="majorHAnsi" w:cstheme="majorBidi"/>
      <w:color w:val="404040" w:themeColor="text1" w:themeTint="BF"/>
      <w:sz w:val="20"/>
      <w:szCs w:val="20"/>
      <w:lang w:val="es-ES"/>
    </w:rPr>
  </w:style>
  <w:style w:type="paragraph" w:styleId="Heading9">
    <w:name w:val="heading 9"/>
    <w:basedOn w:val="Normal"/>
    <w:next w:val="Normal"/>
    <w:link w:val="Heading9Char"/>
    <w:unhideWhenUsed/>
    <w:qFormat/>
    <w:rsid w:val="001A3E86"/>
    <w:pPr>
      <w:keepNext/>
      <w:keepLines/>
      <w:spacing w:before="200" w:after="0" w:line="360" w:lineRule="auto"/>
      <w:jc w:val="center"/>
      <w:outlineLvl w:val="8"/>
    </w:pPr>
    <w:rPr>
      <w:rFonts w:asciiTheme="majorHAnsi" w:eastAsiaTheme="majorEastAsia" w:hAnsiTheme="majorHAnsi" w:cstheme="majorBidi"/>
      <w:i/>
      <w:iCs/>
      <w:color w:val="404040" w:themeColor="text1" w:themeTint="BF"/>
      <w:sz w:val="20"/>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A1F"/>
    <w:pPr>
      <w:spacing w:after="0" w:line="240" w:lineRule="auto"/>
    </w:pPr>
    <w:rPr>
      <w:rFonts w:ascii="Times New Roman" w:eastAsia="Times New Roman" w:hAnsi="Times New Roman" w:cs="Times New Roman"/>
      <w:sz w:val="24"/>
      <w:szCs w:val="24"/>
      <w:lang w:val="es-ES" w:eastAsia="es-ES"/>
    </w:rPr>
  </w:style>
  <w:style w:type="character" w:styleId="Hyperlink">
    <w:name w:val="Hyperlink"/>
    <w:basedOn w:val="DefaultParagraphFont"/>
    <w:uiPriority w:val="99"/>
    <w:unhideWhenUsed/>
    <w:rsid w:val="00B83A1F"/>
    <w:rPr>
      <w:color w:val="0563C1" w:themeColor="hyperlink"/>
      <w:u w:val="single"/>
    </w:rPr>
  </w:style>
  <w:style w:type="paragraph" w:customStyle="1" w:styleId="Standard">
    <w:name w:val="Standard"/>
    <w:rsid w:val="00B83A1F"/>
    <w:pPr>
      <w:suppressAutoHyphens/>
      <w:spacing w:after="0" w:line="240" w:lineRule="auto"/>
      <w:textAlignment w:val="baseline"/>
    </w:pPr>
    <w:rPr>
      <w:rFonts w:ascii="Garamond" w:eastAsia="Times New Roman" w:hAnsi="Garamond" w:cs="Garamond"/>
      <w:color w:val="000000"/>
      <w:kern w:val="1"/>
      <w:sz w:val="24"/>
      <w:szCs w:val="24"/>
      <w:lang w:val="es-ES" w:eastAsia="hi-IN" w:bidi="hi-IN"/>
    </w:rPr>
  </w:style>
  <w:style w:type="paragraph" w:styleId="NoSpacing">
    <w:name w:val="No Spacing"/>
    <w:uiPriority w:val="1"/>
    <w:qFormat/>
    <w:rsid w:val="00B83A1F"/>
    <w:pPr>
      <w:spacing w:after="0" w:line="240" w:lineRule="auto"/>
    </w:pPr>
    <w:rPr>
      <w:lang w:val="en-US"/>
    </w:rPr>
  </w:style>
  <w:style w:type="character" w:customStyle="1" w:styleId="Heading1Char">
    <w:name w:val="Heading 1 Char"/>
    <w:basedOn w:val="DefaultParagraphFont"/>
    <w:link w:val="Heading1"/>
    <w:rsid w:val="001A3E86"/>
    <w:rPr>
      <w:rFonts w:ascii="Cambria" w:eastAsia="Times New Roman" w:hAnsi="Cambria" w:cs="Times New Roman"/>
      <w:b/>
      <w:bCs/>
      <w:kern w:val="32"/>
      <w:sz w:val="32"/>
      <w:szCs w:val="32"/>
      <w:lang w:val="es-ES"/>
    </w:rPr>
  </w:style>
  <w:style w:type="character" w:customStyle="1" w:styleId="Heading2Char">
    <w:name w:val="Heading 2 Char"/>
    <w:basedOn w:val="DefaultParagraphFont"/>
    <w:link w:val="Heading2"/>
    <w:uiPriority w:val="9"/>
    <w:rsid w:val="001A3E8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1A3E86"/>
    <w:rPr>
      <w:rFonts w:ascii="Cambria" w:eastAsia="Times New Roman" w:hAnsi="Cambria" w:cs="Times New Roman"/>
      <w:b/>
      <w:bCs/>
      <w:sz w:val="26"/>
      <w:szCs w:val="26"/>
      <w:lang w:val="es-ES"/>
    </w:rPr>
  </w:style>
  <w:style w:type="character" w:customStyle="1" w:styleId="Heading6Char">
    <w:name w:val="Heading 6 Char"/>
    <w:basedOn w:val="DefaultParagraphFont"/>
    <w:link w:val="Heading6"/>
    <w:rsid w:val="001A3E86"/>
    <w:rPr>
      <w:rFonts w:asciiTheme="majorHAnsi" w:eastAsiaTheme="majorEastAsia" w:hAnsiTheme="majorHAnsi" w:cstheme="majorBidi"/>
      <w:i/>
      <w:iCs/>
      <w:color w:val="1F3763" w:themeColor="accent1" w:themeShade="7F"/>
      <w:lang w:val="es-ES"/>
    </w:rPr>
  </w:style>
  <w:style w:type="character" w:customStyle="1" w:styleId="Heading8Char">
    <w:name w:val="Heading 8 Char"/>
    <w:basedOn w:val="DefaultParagraphFont"/>
    <w:link w:val="Heading8"/>
    <w:rsid w:val="001A3E86"/>
    <w:rPr>
      <w:rFonts w:asciiTheme="majorHAnsi" w:eastAsiaTheme="majorEastAsia" w:hAnsiTheme="majorHAnsi" w:cstheme="majorBidi"/>
      <w:color w:val="404040" w:themeColor="text1" w:themeTint="BF"/>
      <w:sz w:val="20"/>
      <w:szCs w:val="20"/>
      <w:lang w:val="es-ES"/>
    </w:rPr>
  </w:style>
  <w:style w:type="character" w:customStyle="1" w:styleId="Heading9Char">
    <w:name w:val="Heading 9 Char"/>
    <w:basedOn w:val="DefaultParagraphFont"/>
    <w:link w:val="Heading9"/>
    <w:rsid w:val="001A3E86"/>
    <w:rPr>
      <w:rFonts w:asciiTheme="majorHAnsi" w:eastAsiaTheme="majorEastAsia" w:hAnsiTheme="majorHAnsi" w:cstheme="majorBidi"/>
      <w:i/>
      <w:iCs/>
      <w:color w:val="404040" w:themeColor="text1" w:themeTint="BF"/>
      <w:sz w:val="20"/>
      <w:szCs w:val="20"/>
      <w:lang w:val="es-ES"/>
    </w:rPr>
  </w:style>
  <w:style w:type="paragraph" w:customStyle="1" w:styleId="yiv1427917474msonormal">
    <w:name w:val="yiv1427917474msonormal"/>
    <w:basedOn w:val="Normal"/>
    <w:rsid w:val="001A3E8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BodyText">
    <w:name w:val="Body Text"/>
    <w:basedOn w:val="Normal"/>
    <w:link w:val="BodyTextChar"/>
    <w:unhideWhenUsed/>
    <w:rsid w:val="001A3E86"/>
    <w:pPr>
      <w:spacing w:after="120"/>
    </w:pPr>
  </w:style>
  <w:style w:type="character" w:customStyle="1" w:styleId="BodyTextChar">
    <w:name w:val="Body Text Char"/>
    <w:basedOn w:val="DefaultParagraphFont"/>
    <w:link w:val="BodyText"/>
    <w:rsid w:val="001A3E86"/>
    <w:rPr>
      <w:lang w:val="en-US"/>
    </w:rPr>
  </w:style>
  <w:style w:type="paragraph" w:styleId="ListParagraph">
    <w:name w:val="List Paragraph"/>
    <w:basedOn w:val="Normal"/>
    <w:uiPriority w:val="34"/>
    <w:qFormat/>
    <w:rsid w:val="001A3E86"/>
    <w:pPr>
      <w:ind w:left="720"/>
      <w:contextualSpacing/>
    </w:pPr>
  </w:style>
  <w:style w:type="character" w:customStyle="1" w:styleId="created">
    <w:name w:val="created"/>
    <w:basedOn w:val="DefaultParagraphFont"/>
    <w:rsid w:val="001A3E86"/>
  </w:style>
  <w:style w:type="paragraph" w:customStyle="1" w:styleId="Default">
    <w:name w:val="Default"/>
    <w:rsid w:val="001A3E86"/>
    <w:pPr>
      <w:autoSpaceDE w:val="0"/>
      <w:autoSpaceDN w:val="0"/>
      <w:adjustRightInd w:val="0"/>
      <w:spacing w:after="0" w:line="240" w:lineRule="auto"/>
    </w:pPr>
    <w:rPr>
      <w:rFonts w:ascii="Times New Roman" w:hAnsi="Times New Roman" w:cs="Times New Roman"/>
      <w:color w:val="000000"/>
      <w:sz w:val="24"/>
      <w:szCs w:val="24"/>
      <w:lang w:val="es-MX"/>
    </w:rPr>
  </w:style>
  <w:style w:type="paragraph" w:styleId="Title">
    <w:name w:val="Title"/>
    <w:basedOn w:val="Normal"/>
    <w:link w:val="TitleChar"/>
    <w:qFormat/>
    <w:rsid w:val="001A3E86"/>
    <w:pPr>
      <w:spacing w:after="0" w:line="240" w:lineRule="auto"/>
      <w:jc w:val="center"/>
    </w:pPr>
    <w:rPr>
      <w:rFonts w:ascii="Times New Roman" w:eastAsia="Times New Roman" w:hAnsi="Times New Roman" w:cs="Times New Roman"/>
      <w:b/>
      <w:bCs/>
      <w:color w:val="0000FF"/>
      <w:sz w:val="32"/>
      <w:szCs w:val="24"/>
      <w:u w:val="single"/>
      <w:lang w:val="es-ES" w:eastAsia="es-ES"/>
    </w:rPr>
  </w:style>
  <w:style w:type="character" w:customStyle="1" w:styleId="TitleChar">
    <w:name w:val="Title Char"/>
    <w:basedOn w:val="DefaultParagraphFont"/>
    <w:link w:val="Title"/>
    <w:rsid w:val="001A3E86"/>
    <w:rPr>
      <w:rFonts w:ascii="Times New Roman" w:eastAsia="Times New Roman" w:hAnsi="Times New Roman" w:cs="Times New Roman"/>
      <w:b/>
      <w:bCs/>
      <w:color w:val="0000FF"/>
      <w:sz w:val="32"/>
      <w:szCs w:val="24"/>
      <w:u w:val="single"/>
      <w:lang w:val="es-ES" w:eastAsia="es-ES"/>
    </w:rPr>
  </w:style>
  <w:style w:type="paragraph" w:styleId="Subtitle">
    <w:name w:val="Subtitle"/>
    <w:basedOn w:val="Normal"/>
    <w:link w:val="SubtitleChar"/>
    <w:qFormat/>
    <w:rsid w:val="001A3E86"/>
    <w:pPr>
      <w:spacing w:after="0" w:line="240" w:lineRule="auto"/>
      <w:jc w:val="right"/>
    </w:pPr>
    <w:rPr>
      <w:rFonts w:ascii="Century" w:eastAsia="Times New Roman" w:hAnsi="Century" w:cs="Times New Roman"/>
      <w:b/>
      <w:bCs/>
      <w:sz w:val="24"/>
      <w:szCs w:val="24"/>
      <w:lang w:val="es-ES" w:eastAsia="es-ES"/>
    </w:rPr>
  </w:style>
  <w:style w:type="character" w:customStyle="1" w:styleId="SubtitleChar">
    <w:name w:val="Subtitle Char"/>
    <w:basedOn w:val="DefaultParagraphFont"/>
    <w:link w:val="Subtitle"/>
    <w:rsid w:val="001A3E86"/>
    <w:rPr>
      <w:rFonts w:ascii="Century" w:eastAsia="Times New Roman" w:hAnsi="Century" w:cs="Times New Roman"/>
      <w:b/>
      <w:bCs/>
      <w:sz w:val="24"/>
      <w:szCs w:val="24"/>
      <w:lang w:val="es-ES" w:eastAsia="es-ES"/>
    </w:rPr>
  </w:style>
  <w:style w:type="paragraph" w:styleId="List2">
    <w:name w:val="List 2"/>
    <w:basedOn w:val="Normal"/>
    <w:rsid w:val="001A3E86"/>
    <w:pPr>
      <w:spacing w:after="0" w:line="360" w:lineRule="auto"/>
      <w:ind w:left="566" w:hanging="283"/>
      <w:contextualSpacing/>
      <w:jc w:val="center"/>
    </w:pPr>
    <w:rPr>
      <w:rFonts w:ascii="Calibri" w:eastAsia="MS Mincho" w:hAnsi="Calibri" w:cs="Times New Roman"/>
      <w:lang w:val="es-ES"/>
    </w:rPr>
  </w:style>
  <w:style w:type="paragraph" w:styleId="BodyTextFirstIndent">
    <w:name w:val="Body Text First Indent"/>
    <w:basedOn w:val="BodyText"/>
    <w:link w:val="BodyTextFirstIndentChar"/>
    <w:rsid w:val="001A3E86"/>
    <w:pPr>
      <w:spacing w:after="0" w:line="360" w:lineRule="auto"/>
      <w:ind w:firstLine="360"/>
      <w:jc w:val="center"/>
    </w:pPr>
    <w:rPr>
      <w:rFonts w:ascii="Calibri" w:eastAsia="MS Mincho" w:hAnsi="Calibri" w:cs="Times New Roman"/>
      <w:lang w:val="es-ES"/>
    </w:rPr>
  </w:style>
  <w:style w:type="character" w:customStyle="1" w:styleId="BodyTextFirstIndentChar">
    <w:name w:val="Body Text First Indent Char"/>
    <w:basedOn w:val="BodyTextChar"/>
    <w:link w:val="BodyTextFirstIndent"/>
    <w:rsid w:val="001A3E86"/>
    <w:rPr>
      <w:rFonts w:ascii="Calibri" w:eastAsia="MS Mincho" w:hAnsi="Calibri" w:cs="Times New Roman"/>
      <w:lang w:val="es-ES"/>
    </w:rPr>
  </w:style>
  <w:style w:type="paragraph" w:styleId="HTMLPreformatted">
    <w:name w:val="HTML Preformatted"/>
    <w:basedOn w:val="Normal"/>
    <w:link w:val="HTMLPreformattedChar"/>
    <w:uiPriority w:val="99"/>
    <w:unhideWhenUsed/>
    <w:rsid w:val="001A3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R" w:eastAsia="es-CR"/>
    </w:rPr>
  </w:style>
  <w:style w:type="character" w:customStyle="1" w:styleId="HTMLPreformattedChar">
    <w:name w:val="HTML Preformatted Char"/>
    <w:basedOn w:val="DefaultParagraphFont"/>
    <w:link w:val="HTMLPreformatted"/>
    <w:uiPriority w:val="99"/>
    <w:rsid w:val="001A3E86"/>
    <w:rPr>
      <w:rFonts w:ascii="Courier New" w:eastAsia="Times New Roman" w:hAnsi="Courier New" w:cs="Courier New"/>
      <w:sz w:val="20"/>
      <w:szCs w:val="20"/>
      <w:lang w:eastAsia="es-CR"/>
    </w:rPr>
  </w:style>
  <w:style w:type="character" w:styleId="CommentReference">
    <w:name w:val="annotation reference"/>
    <w:basedOn w:val="DefaultParagraphFont"/>
    <w:uiPriority w:val="99"/>
    <w:semiHidden/>
    <w:unhideWhenUsed/>
    <w:rsid w:val="001A3E86"/>
    <w:rPr>
      <w:sz w:val="16"/>
      <w:szCs w:val="16"/>
    </w:rPr>
  </w:style>
  <w:style w:type="paragraph" w:styleId="CommentText">
    <w:name w:val="annotation text"/>
    <w:basedOn w:val="Normal"/>
    <w:link w:val="CommentTextChar"/>
    <w:uiPriority w:val="99"/>
    <w:unhideWhenUsed/>
    <w:rsid w:val="001A3E86"/>
    <w:pPr>
      <w:spacing w:line="240" w:lineRule="auto"/>
    </w:pPr>
    <w:rPr>
      <w:sz w:val="20"/>
      <w:szCs w:val="20"/>
    </w:rPr>
  </w:style>
  <w:style w:type="character" w:customStyle="1" w:styleId="CommentTextChar">
    <w:name w:val="Comment Text Char"/>
    <w:basedOn w:val="DefaultParagraphFont"/>
    <w:link w:val="CommentText"/>
    <w:uiPriority w:val="99"/>
    <w:rsid w:val="001A3E86"/>
    <w:rPr>
      <w:sz w:val="20"/>
      <w:szCs w:val="20"/>
      <w:lang w:val="en-US"/>
    </w:rPr>
  </w:style>
  <w:style w:type="paragraph" w:styleId="BalloonText">
    <w:name w:val="Balloon Text"/>
    <w:basedOn w:val="Normal"/>
    <w:link w:val="BalloonTextChar"/>
    <w:uiPriority w:val="99"/>
    <w:semiHidden/>
    <w:unhideWhenUsed/>
    <w:rsid w:val="001A3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E86"/>
    <w:rPr>
      <w:rFonts w:ascii="Segoe UI" w:hAnsi="Segoe UI" w:cs="Segoe UI"/>
      <w:sz w:val="18"/>
      <w:szCs w:val="18"/>
      <w:lang w:val="en-US"/>
    </w:rPr>
  </w:style>
  <w:style w:type="paragraph" w:styleId="FootnoteText">
    <w:name w:val="footnote text"/>
    <w:basedOn w:val="Normal"/>
    <w:link w:val="FootnoteTextChar"/>
    <w:uiPriority w:val="99"/>
    <w:unhideWhenUsed/>
    <w:rsid w:val="001A3E86"/>
    <w:pPr>
      <w:spacing w:after="0" w:line="360" w:lineRule="auto"/>
      <w:jc w:val="center"/>
    </w:pPr>
    <w:rPr>
      <w:rFonts w:ascii="Calibri" w:eastAsia="MS Mincho" w:hAnsi="Calibri" w:cs="Times New Roman"/>
      <w:sz w:val="20"/>
      <w:szCs w:val="20"/>
      <w:lang w:val="es-ES"/>
    </w:rPr>
  </w:style>
  <w:style w:type="character" w:customStyle="1" w:styleId="FootnoteTextChar">
    <w:name w:val="Footnote Text Char"/>
    <w:basedOn w:val="DefaultParagraphFont"/>
    <w:link w:val="FootnoteText"/>
    <w:uiPriority w:val="99"/>
    <w:rsid w:val="001A3E86"/>
    <w:rPr>
      <w:rFonts w:ascii="Calibri" w:eastAsia="MS Mincho" w:hAnsi="Calibri" w:cs="Times New Roman"/>
      <w:sz w:val="20"/>
      <w:szCs w:val="20"/>
      <w:lang w:val="es-ES"/>
    </w:rPr>
  </w:style>
  <w:style w:type="character" w:styleId="FootnoteReference">
    <w:name w:val="footnote reference"/>
    <w:basedOn w:val="DefaultParagraphFont"/>
    <w:unhideWhenUsed/>
    <w:rsid w:val="001A3E86"/>
    <w:rPr>
      <w:vertAlign w:val="superscript"/>
    </w:rPr>
  </w:style>
  <w:style w:type="character" w:customStyle="1" w:styleId="hps">
    <w:name w:val="hps"/>
    <w:basedOn w:val="DefaultParagraphFont"/>
    <w:rsid w:val="001A3E86"/>
  </w:style>
  <w:style w:type="table" w:styleId="TableGrid">
    <w:name w:val="Table Grid"/>
    <w:basedOn w:val="TableNormal"/>
    <w:uiPriority w:val="59"/>
    <w:rsid w:val="001A3E8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1A3E86"/>
    <w:pPr>
      <w:spacing w:line="256" w:lineRule="auto"/>
    </w:pPr>
  </w:style>
  <w:style w:type="paragraph" w:customStyle="1" w:styleId="yiv1031476746msonormal">
    <w:name w:val="yiv1031476746msonormal"/>
    <w:basedOn w:val="Normal"/>
    <w:rsid w:val="001A3E8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Header">
    <w:name w:val="header"/>
    <w:basedOn w:val="Normal"/>
    <w:link w:val="HeaderChar"/>
    <w:uiPriority w:val="99"/>
    <w:unhideWhenUsed/>
    <w:rsid w:val="001A3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E86"/>
    <w:rPr>
      <w:lang w:val="en-US"/>
    </w:rPr>
  </w:style>
  <w:style w:type="paragraph" w:styleId="Footer">
    <w:name w:val="footer"/>
    <w:basedOn w:val="Normal"/>
    <w:link w:val="FooterChar"/>
    <w:uiPriority w:val="99"/>
    <w:unhideWhenUsed/>
    <w:rsid w:val="001A3E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E86"/>
    <w:rPr>
      <w:lang w:val="en-US"/>
    </w:rPr>
  </w:style>
  <w:style w:type="paragraph" w:customStyle="1" w:styleId="CM241">
    <w:name w:val="CM241"/>
    <w:basedOn w:val="Default"/>
    <w:next w:val="Default"/>
    <w:uiPriority w:val="99"/>
    <w:rsid w:val="001A3E86"/>
    <w:rPr>
      <w:color w:val="auto"/>
      <w:lang w:val="en-US"/>
    </w:rPr>
  </w:style>
  <w:style w:type="paragraph" w:customStyle="1" w:styleId="CM14">
    <w:name w:val="CM14"/>
    <w:basedOn w:val="Default"/>
    <w:next w:val="Default"/>
    <w:uiPriority w:val="99"/>
    <w:rsid w:val="001A3E86"/>
    <w:pPr>
      <w:spacing w:line="268" w:lineRule="atLeast"/>
    </w:pPr>
    <w:rPr>
      <w:color w:val="auto"/>
      <w:lang w:val="en-US"/>
    </w:rPr>
  </w:style>
  <w:style w:type="character" w:customStyle="1" w:styleId="apple-converted-space">
    <w:name w:val="apple-converted-space"/>
    <w:basedOn w:val="DefaultParagraphFont"/>
    <w:rsid w:val="001A3E86"/>
  </w:style>
  <w:style w:type="paragraph" w:styleId="TOCHeading">
    <w:name w:val="TOC Heading"/>
    <w:basedOn w:val="Heading1"/>
    <w:next w:val="Normal"/>
    <w:uiPriority w:val="39"/>
    <w:unhideWhenUsed/>
    <w:qFormat/>
    <w:rsid w:val="001A3E86"/>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lang w:val="en-US"/>
    </w:rPr>
  </w:style>
  <w:style w:type="paragraph" w:styleId="TOC1">
    <w:name w:val="toc 1"/>
    <w:basedOn w:val="Normal"/>
    <w:next w:val="Normal"/>
    <w:autoRedefine/>
    <w:uiPriority w:val="39"/>
    <w:unhideWhenUsed/>
    <w:rsid w:val="001A3E86"/>
    <w:pPr>
      <w:spacing w:after="100"/>
    </w:pPr>
  </w:style>
  <w:style w:type="paragraph" w:styleId="TOC2">
    <w:name w:val="toc 2"/>
    <w:basedOn w:val="Normal"/>
    <w:next w:val="Normal"/>
    <w:autoRedefine/>
    <w:uiPriority w:val="39"/>
    <w:unhideWhenUsed/>
    <w:rsid w:val="001A3E86"/>
    <w:pPr>
      <w:tabs>
        <w:tab w:val="right" w:leader="dot" w:pos="9350"/>
      </w:tabs>
      <w:spacing w:after="100"/>
      <w:ind w:left="220"/>
    </w:pPr>
    <w:rPr>
      <w:rFonts w:ascii="Times New Roman" w:hAnsi="Times New Roman" w:cs="Times New Roman"/>
      <w:sz w:val="24"/>
      <w:szCs w:val="24"/>
    </w:rPr>
  </w:style>
  <w:style w:type="paragraph" w:styleId="TOC3">
    <w:name w:val="toc 3"/>
    <w:basedOn w:val="Normal"/>
    <w:next w:val="Normal"/>
    <w:autoRedefine/>
    <w:uiPriority w:val="39"/>
    <w:unhideWhenUsed/>
    <w:rsid w:val="001A3E86"/>
    <w:pPr>
      <w:spacing w:after="100"/>
      <w:ind w:left="440"/>
    </w:pPr>
  </w:style>
  <w:style w:type="character" w:styleId="Emphasis">
    <w:name w:val="Emphasis"/>
    <w:basedOn w:val="DefaultParagraphFont"/>
    <w:uiPriority w:val="20"/>
    <w:qFormat/>
    <w:rsid w:val="001A3E86"/>
    <w:rPr>
      <w:i/>
      <w:iCs/>
    </w:rPr>
  </w:style>
  <w:style w:type="paragraph" w:styleId="CommentSubject">
    <w:name w:val="annotation subject"/>
    <w:basedOn w:val="CommentText"/>
    <w:next w:val="CommentText"/>
    <w:link w:val="CommentSubjectChar"/>
    <w:uiPriority w:val="99"/>
    <w:semiHidden/>
    <w:unhideWhenUsed/>
    <w:rsid w:val="001A3E86"/>
    <w:rPr>
      <w:b/>
      <w:bCs/>
    </w:rPr>
  </w:style>
  <w:style w:type="character" w:customStyle="1" w:styleId="CommentSubjectChar">
    <w:name w:val="Comment Subject Char"/>
    <w:basedOn w:val="CommentTextChar"/>
    <w:link w:val="CommentSubject"/>
    <w:uiPriority w:val="99"/>
    <w:semiHidden/>
    <w:rsid w:val="001A3E86"/>
    <w:rPr>
      <w:b/>
      <w:bCs/>
      <w:sz w:val="20"/>
      <w:szCs w:val="20"/>
      <w:lang w:val="en-US"/>
    </w:rPr>
  </w:style>
  <w:style w:type="paragraph" w:customStyle="1" w:styleId="Body1">
    <w:name w:val="Body 1"/>
    <w:rsid w:val="001A3E86"/>
    <w:pPr>
      <w:spacing w:after="0" w:line="240" w:lineRule="auto"/>
    </w:pPr>
    <w:rPr>
      <w:rFonts w:ascii="Helvetica" w:eastAsia="Arial Unicode MS" w:hAnsi="Helvetica" w:cs="Times New Roman"/>
      <w:color w:val="000000"/>
      <w:sz w:val="24"/>
      <w:szCs w:val="20"/>
      <w:lang w:val="pt-BR" w:eastAsia="pt-BR"/>
    </w:rPr>
  </w:style>
  <w:style w:type="paragraph" w:styleId="ListBullet">
    <w:name w:val="List Bullet"/>
    <w:basedOn w:val="Normal"/>
    <w:uiPriority w:val="99"/>
    <w:unhideWhenUsed/>
    <w:rsid w:val="001A3E86"/>
    <w:pPr>
      <w:numPr>
        <w:numId w:val="11"/>
      </w:numPr>
      <w:spacing w:after="0" w:line="240" w:lineRule="auto"/>
      <w:contextualSpacing/>
    </w:pPr>
    <w:rPr>
      <w:rFonts w:ascii="Calibri" w:eastAsia="Calibri" w:hAnsi="Calibri" w:cs="Times New Roman"/>
      <w:lang w:val="pt-BR"/>
    </w:rPr>
  </w:style>
  <w:style w:type="paragraph" w:styleId="EndnoteText">
    <w:name w:val="endnote text"/>
    <w:basedOn w:val="Normal"/>
    <w:link w:val="EndnoteTextChar"/>
    <w:uiPriority w:val="99"/>
    <w:unhideWhenUsed/>
    <w:rsid w:val="001A3E86"/>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1A3E86"/>
    <w:rPr>
      <w:rFonts w:ascii="Calibri" w:eastAsia="Times New Roman" w:hAnsi="Calibri" w:cs="Times New Roman"/>
      <w:sz w:val="20"/>
      <w:szCs w:val="20"/>
      <w:lang w:val="en-US"/>
    </w:rPr>
  </w:style>
  <w:style w:type="character" w:customStyle="1" w:styleId="Mencinsinresolver1">
    <w:name w:val="Mención sin resolver1"/>
    <w:basedOn w:val="DefaultParagraphFont"/>
    <w:uiPriority w:val="99"/>
    <w:semiHidden/>
    <w:unhideWhenUsed/>
    <w:rsid w:val="001A3E86"/>
    <w:rPr>
      <w:color w:val="808080"/>
      <w:shd w:val="clear" w:color="auto" w:fill="E6E6E6"/>
    </w:rPr>
  </w:style>
  <w:style w:type="character" w:styleId="FollowedHyperlink">
    <w:name w:val="FollowedHyperlink"/>
    <w:basedOn w:val="DefaultParagraphFont"/>
    <w:uiPriority w:val="99"/>
    <w:semiHidden/>
    <w:unhideWhenUsed/>
    <w:rsid w:val="001A3E86"/>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86"/>
    <w:rPr>
      <w:lang w:val="en-US"/>
    </w:rPr>
  </w:style>
  <w:style w:type="paragraph" w:styleId="Heading1">
    <w:name w:val="heading 1"/>
    <w:basedOn w:val="Normal"/>
    <w:next w:val="Normal"/>
    <w:link w:val="Heading1Char"/>
    <w:qFormat/>
    <w:rsid w:val="001A3E86"/>
    <w:pPr>
      <w:keepNext/>
      <w:spacing w:before="240" w:after="60" w:line="360" w:lineRule="auto"/>
      <w:jc w:val="center"/>
      <w:outlineLvl w:val="0"/>
    </w:pPr>
    <w:rPr>
      <w:rFonts w:ascii="Cambria" w:eastAsia="Times New Roman" w:hAnsi="Cambria" w:cs="Times New Roman"/>
      <w:b/>
      <w:bCs/>
      <w:kern w:val="32"/>
      <w:sz w:val="32"/>
      <w:szCs w:val="32"/>
      <w:lang w:val="es-ES"/>
    </w:rPr>
  </w:style>
  <w:style w:type="paragraph" w:styleId="Heading2">
    <w:name w:val="heading 2"/>
    <w:basedOn w:val="Normal"/>
    <w:next w:val="Normal"/>
    <w:link w:val="Heading2Char"/>
    <w:uiPriority w:val="9"/>
    <w:unhideWhenUsed/>
    <w:qFormat/>
    <w:rsid w:val="001A3E86"/>
    <w:pPr>
      <w:keepNext/>
      <w:keepLines/>
      <w:spacing w:before="200" w:after="0" w:line="276" w:lineRule="auto"/>
      <w:outlineLvl w:val="1"/>
    </w:pPr>
    <w:rPr>
      <w:rFonts w:ascii="Cambria" w:eastAsia="Times New Roman" w:hAnsi="Cambria" w:cs="Times New Roman"/>
      <w:b/>
      <w:bCs/>
      <w:color w:val="4F81BD"/>
      <w:sz w:val="26"/>
      <w:szCs w:val="26"/>
      <w:lang w:val="es-CR"/>
    </w:rPr>
  </w:style>
  <w:style w:type="paragraph" w:styleId="Heading3">
    <w:name w:val="heading 3"/>
    <w:basedOn w:val="Normal"/>
    <w:next w:val="Normal"/>
    <w:link w:val="Heading3Char"/>
    <w:unhideWhenUsed/>
    <w:qFormat/>
    <w:rsid w:val="001A3E86"/>
    <w:pPr>
      <w:keepNext/>
      <w:spacing w:before="240" w:after="60" w:line="360" w:lineRule="auto"/>
      <w:jc w:val="center"/>
      <w:outlineLvl w:val="2"/>
    </w:pPr>
    <w:rPr>
      <w:rFonts w:ascii="Cambria" w:eastAsia="Times New Roman" w:hAnsi="Cambria" w:cs="Times New Roman"/>
      <w:b/>
      <w:bCs/>
      <w:sz w:val="26"/>
      <w:szCs w:val="26"/>
      <w:lang w:val="es-ES"/>
    </w:rPr>
  </w:style>
  <w:style w:type="paragraph" w:styleId="Heading6">
    <w:name w:val="heading 6"/>
    <w:basedOn w:val="Normal"/>
    <w:next w:val="Normal"/>
    <w:link w:val="Heading6Char"/>
    <w:unhideWhenUsed/>
    <w:qFormat/>
    <w:rsid w:val="001A3E86"/>
    <w:pPr>
      <w:keepNext/>
      <w:keepLines/>
      <w:spacing w:before="200" w:after="0" w:line="360" w:lineRule="auto"/>
      <w:jc w:val="center"/>
      <w:outlineLvl w:val="5"/>
    </w:pPr>
    <w:rPr>
      <w:rFonts w:asciiTheme="majorHAnsi" w:eastAsiaTheme="majorEastAsia" w:hAnsiTheme="majorHAnsi" w:cstheme="majorBidi"/>
      <w:i/>
      <w:iCs/>
      <w:color w:val="1F3763" w:themeColor="accent1" w:themeShade="7F"/>
      <w:lang w:val="es-ES"/>
    </w:rPr>
  </w:style>
  <w:style w:type="paragraph" w:styleId="Heading8">
    <w:name w:val="heading 8"/>
    <w:basedOn w:val="Normal"/>
    <w:next w:val="Normal"/>
    <w:link w:val="Heading8Char"/>
    <w:unhideWhenUsed/>
    <w:qFormat/>
    <w:rsid w:val="001A3E86"/>
    <w:pPr>
      <w:keepNext/>
      <w:keepLines/>
      <w:spacing w:before="200" w:after="0" w:line="360" w:lineRule="auto"/>
      <w:jc w:val="center"/>
      <w:outlineLvl w:val="7"/>
    </w:pPr>
    <w:rPr>
      <w:rFonts w:asciiTheme="majorHAnsi" w:eastAsiaTheme="majorEastAsia" w:hAnsiTheme="majorHAnsi" w:cstheme="majorBidi"/>
      <w:color w:val="404040" w:themeColor="text1" w:themeTint="BF"/>
      <w:sz w:val="20"/>
      <w:szCs w:val="20"/>
      <w:lang w:val="es-ES"/>
    </w:rPr>
  </w:style>
  <w:style w:type="paragraph" w:styleId="Heading9">
    <w:name w:val="heading 9"/>
    <w:basedOn w:val="Normal"/>
    <w:next w:val="Normal"/>
    <w:link w:val="Heading9Char"/>
    <w:unhideWhenUsed/>
    <w:qFormat/>
    <w:rsid w:val="001A3E86"/>
    <w:pPr>
      <w:keepNext/>
      <w:keepLines/>
      <w:spacing w:before="200" w:after="0" w:line="360" w:lineRule="auto"/>
      <w:jc w:val="center"/>
      <w:outlineLvl w:val="8"/>
    </w:pPr>
    <w:rPr>
      <w:rFonts w:asciiTheme="majorHAnsi" w:eastAsiaTheme="majorEastAsia" w:hAnsiTheme="majorHAnsi" w:cstheme="majorBidi"/>
      <w:i/>
      <w:iCs/>
      <w:color w:val="404040" w:themeColor="text1" w:themeTint="BF"/>
      <w:sz w:val="20"/>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A1F"/>
    <w:pPr>
      <w:spacing w:after="0" w:line="240" w:lineRule="auto"/>
    </w:pPr>
    <w:rPr>
      <w:rFonts w:ascii="Times New Roman" w:eastAsia="Times New Roman" w:hAnsi="Times New Roman" w:cs="Times New Roman"/>
      <w:sz w:val="24"/>
      <w:szCs w:val="24"/>
      <w:lang w:val="es-ES" w:eastAsia="es-ES"/>
    </w:rPr>
  </w:style>
  <w:style w:type="character" w:styleId="Hyperlink">
    <w:name w:val="Hyperlink"/>
    <w:basedOn w:val="DefaultParagraphFont"/>
    <w:uiPriority w:val="99"/>
    <w:unhideWhenUsed/>
    <w:rsid w:val="00B83A1F"/>
    <w:rPr>
      <w:color w:val="0563C1" w:themeColor="hyperlink"/>
      <w:u w:val="single"/>
    </w:rPr>
  </w:style>
  <w:style w:type="paragraph" w:customStyle="1" w:styleId="Standard">
    <w:name w:val="Standard"/>
    <w:rsid w:val="00B83A1F"/>
    <w:pPr>
      <w:suppressAutoHyphens/>
      <w:spacing w:after="0" w:line="240" w:lineRule="auto"/>
      <w:textAlignment w:val="baseline"/>
    </w:pPr>
    <w:rPr>
      <w:rFonts w:ascii="Garamond" w:eastAsia="Times New Roman" w:hAnsi="Garamond" w:cs="Garamond"/>
      <w:color w:val="000000"/>
      <w:kern w:val="1"/>
      <w:sz w:val="24"/>
      <w:szCs w:val="24"/>
      <w:lang w:val="es-ES" w:eastAsia="hi-IN" w:bidi="hi-IN"/>
    </w:rPr>
  </w:style>
  <w:style w:type="paragraph" w:styleId="NoSpacing">
    <w:name w:val="No Spacing"/>
    <w:uiPriority w:val="1"/>
    <w:qFormat/>
    <w:rsid w:val="00B83A1F"/>
    <w:pPr>
      <w:spacing w:after="0" w:line="240" w:lineRule="auto"/>
    </w:pPr>
    <w:rPr>
      <w:lang w:val="en-US"/>
    </w:rPr>
  </w:style>
  <w:style w:type="character" w:customStyle="1" w:styleId="Heading1Char">
    <w:name w:val="Heading 1 Char"/>
    <w:basedOn w:val="DefaultParagraphFont"/>
    <w:link w:val="Heading1"/>
    <w:rsid w:val="001A3E86"/>
    <w:rPr>
      <w:rFonts w:ascii="Cambria" w:eastAsia="Times New Roman" w:hAnsi="Cambria" w:cs="Times New Roman"/>
      <w:b/>
      <w:bCs/>
      <w:kern w:val="32"/>
      <w:sz w:val="32"/>
      <w:szCs w:val="32"/>
      <w:lang w:val="es-ES"/>
    </w:rPr>
  </w:style>
  <w:style w:type="character" w:customStyle="1" w:styleId="Heading2Char">
    <w:name w:val="Heading 2 Char"/>
    <w:basedOn w:val="DefaultParagraphFont"/>
    <w:link w:val="Heading2"/>
    <w:uiPriority w:val="9"/>
    <w:rsid w:val="001A3E8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1A3E86"/>
    <w:rPr>
      <w:rFonts w:ascii="Cambria" w:eastAsia="Times New Roman" w:hAnsi="Cambria" w:cs="Times New Roman"/>
      <w:b/>
      <w:bCs/>
      <w:sz w:val="26"/>
      <w:szCs w:val="26"/>
      <w:lang w:val="es-ES"/>
    </w:rPr>
  </w:style>
  <w:style w:type="character" w:customStyle="1" w:styleId="Heading6Char">
    <w:name w:val="Heading 6 Char"/>
    <w:basedOn w:val="DefaultParagraphFont"/>
    <w:link w:val="Heading6"/>
    <w:rsid w:val="001A3E86"/>
    <w:rPr>
      <w:rFonts w:asciiTheme="majorHAnsi" w:eastAsiaTheme="majorEastAsia" w:hAnsiTheme="majorHAnsi" w:cstheme="majorBidi"/>
      <w:i/>
      <w:iCs/>
      <w:color w:val="1F3763" w:themeColor="accent1" w:themeShade="7F"/>
      <w:lang w:val="es-ES"/>
    </w:rPr>
  </w:style>
  <w:style w:type="character" w:customStyle="1" w:styleId="Heading8Char">
    <w:name w:val="Heading 8 Char"/>
    <w:basedOn w:val="DefaultParagraphFont"/>
    <w:link w:val="Heading8"/>
    <w:rsid w:val="001A3E86"/>
    <w:rPr>
      <w:rFonts w:asciiTheme="majorHAnsi" w:eastAsiaTheme="majorEastAsia" w:hAnsiTheme="majorHAnsi" w:cstheme="majorBidi"/>
      <w:color w:val="404040" w:themeColor="text1" w:themeTint="BF"/>
      <w:sz w:val="20"/>
      <w:szCs w:val="20"/>
      <w:lang w:val="es-ES"/>
    </w:rPr>
  </w:style>
  <w:style w:type="character" w:customStyle="1" w:styleId="Heading9Char">
    <w:name w:val="Heading 9 Char"/>
    <w:basedOn w:val="DefaultParagraphFont"/>
    <w:link w:val="Heading9"/>
    <w:rsid w:val="001A3E86"/>
    <w:rPr>
      <w:rFonts w:asciiTheme="majorHAnsi" w:eastAsiaTheme="majorEastAsia" w:hAnsiTheme="majorHAnsi" w:cstheme="majorBidi"/>
      <w:i/>
      <w:iCs/>
      <w:color w:val="404040" w:themeColor="text1" w:themeTint="BF"/>
      <w:sz w:val="20"/>
      <w:szCs w:val="20"/>
      <w:lang w:val="es-ES"/>
    </w:rPr>
  </w:style>
  <w:style w:type="paragraph" w:customStyle="1" w:styleId="yiv1427917474msonormal">
    <w:name w:val="yiv1427917474msonormal"/>
    <w:basedOn w:val="Normal"/>
    <w:rsid w:val="001A3E8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BodyText">
    <w:name w:val="Body Text"/>
    <w:basedOn w:val="Normal"/>
    <w:link w:val="BodyTextChar"/>
    <w:unhideWhenUsed/>
    <w:rsid w:val="001A3E86"/>
    <w:pPr>
      <w:spacing w:after="120"/>
    </w:pPr>
  </w:style>
  <w:style w:type="character" w:customStyle="1" w:styleId="BodyTextChar">
    <w:name w:val="Body Text Char"/>
    <w:basedOn w:val="DefaultParagraphFont"/>
    <w:link w:val="BodyText"/>
    <w:rsid w:val="001A3E86"/>
    <w:rPr>
      <w:lang w:val="en-US"/>
    </w:rPr>
  </w:style>
  <w:style w:type="paragraph" w:styleId="ListParagraph">
    <w:name w:val="List Paragraph"/>
    <w:basedOn w:val="Normal"/>
    <w:uiPriority w:val="34"/>
    <w:qFormat/>
    <w:rsid w:val="001A3E86"/>
    <w:pPr>
      <w:ind w:left="720"/>
      <w:contextualSpacing/>
    </w:pPr>
  </w:style>
  <w:style w:type="character" w:customStyle="1" w:styleId="created">
    <w:name w:val="created"/>
    <w:basedOn w:val="DefaultParagraphFont"/>
    <w:rsid w:val="001A3E86"/>
  </w:style>
  <w:style w:type="paragraph" w:customStyle="1" w:styleId="Default">
    <w:name w:val="Default"/>
    <w:rsid w:val="001A3E86"/>
    <w:pPr>
      <w:autoSpaceDE w:val="0"/>
      <w:autoSpaceDN w:val="0"/>
      <w:adjustRightInd w:val="0"/>
      <w:spacing w:after="0" w:line="240" w:lineRule="auto"/>
    </w:pPr>
    <w:rPr>
      <w:rFonts w:ascii="Times New Roman" w:hAnsi="Times New Roman" w:cs="Times New Roman"/>
      <w:color w:val="000000"/>
      <w:sz w:val="24"/>
      <w:szCs w:val="24"/>
      <w:lang w:val="es-MX"/>
    </w:rPr>
  </w:style>
  <w:style w:type="paragraph" w:styleId="Title">
    <w:name w:val="Title"/>
    <w:basedOn w:val="Normal"/>
    <w:link w:val="TitleChar"/>
    <w:qFormat/>
    <w:rsid w:val="001A3E86"/>
    <w:pPr>
      <w:spacing w:after="0" w:line="240" w:lineRule="auto"/>
      <w:jc w:val="center"/>
    </w:pPr>
    <w:rPr>
      <w:rFonts w:ascii="Times New Roman" w:eastAsia="Times New Roman" w:hAnsi="Times New Roman" w:cs="Times New Roman"/>
      <w:b/>
      <w:bCs/>
      <w:color w:val="0000FF"/>
      <w:sz w:val="32"/>
      <w:szCs w:val="24"/>
      <w:u w:val="single"/>
      <w:lang w:val="es-ES" w:eastAsia="es-ES"/>
    </w:rPr>
  </w:style>
  <w:style w:type="character" w:customStyle="1" w:styleId="TitleChar">
    <w:name w:val="Title Char"/>
    <w:basedOn w:val="DefaultParagraphFont"/>
    <w:link w:val="Title"/>
    <w:rsid w:val="001A3E86"/>
    <w:rPr>
      <w:rFonts w:ascii="Times New Roman" w:eastAsia="Times New Roman" w:hAnsi="Times New Roman" w:cs="Times New Roman"/>
      <w:b/>
      <w:bCs/>
      <w:color w:val="0000FF"/>
      <w:sz w:val="32"/>
      <w:szCs w:val="24"/>
      <w:u w:val="single"/>
      <w:lang w:val="es-ES" w:eastAsia="es-ES"/>
    </w:rPr>
  </w:style>
  <w:style w:type="paragraph" w:styleId="Subtitle">
    <w:name w:val="Subtitle"/>
    <w:basedOn w:val="Normal"/>
    <w:link w:val="SubtitleChar"/>
    <w:qFormat/>
    <w:rsid w:val="001A3E86"/>
    <w:pPr>
      <w:spacing w:after="0" w:line="240" w:lineRule="auto"/>
      <w:jc w:val="right"/>
    </w:pPr>
    <w:rPr>
      <w:rFonts w:ascii="Century" w:eastAsia="Times New Roman" w:hAnsi="Century" w:cs="Times New Roman"/>
      <w:b/>
      <w:bCs/>
      <w:sz w:val="24"/>
      <w:szCs w:val="24"/>
      <w:lang w:val="es-ES" w:eastAsia="es-ES"/>
    </w:rPr>
  </w:style>
  <w:style w:type="character" w:customStyle="1" w:styleId="SubtitleChar">
    <w:name w:val="Subtitle Char"/>
    <w:basedOn w:val="DefaultParagraphFont"/>
    <w:link w:val="Subtitle"/>
    <w:rsid w:val="001A3E86"/>
    <w:rPr>
      <w:rFonts w:ascii="Century" w:eastAsia="Times New Roman" w:hAnsi="Century" w:cs="Times New Roman"/>
      <w:b/>
      <w:bCs/>
      <w:sz w:val="24"/>
      <w:szCs w:val="24"/>
      <w:lang w:val="es-ES" w:eastAsia="es-ES"/>
    </w:rPr>
  </w:style>
  <w:style w:type="paragraph" w:styleId="List2">
    <w:name w:val="List 2"/>
    <w:basedOn w:val="Normal"/>
    <w:rsid w:val="001A3E86"/>
    <w:pPr>
      <w:spacing w:after="0" w:line="360" w:lineRule="auto"/>
      <w:ind w:left="566" w:hanging="283"/>
      <w:contextualSpacing/>
      <w:jc w:val="center"/>
    </w:pPr>
    <w:rPr>
      <w:rFonts w:ascii="Calibri" w:eastAsia="MS Mincho" w:hAnsi="Calibri" w:cs="Times New Roman"/>
      <w:lang w:val="es-ES"/>
    </w:rPr>
  </w:style>
  <w:style w:type="paragraph" w:styleId="BodyTextFirstIndent">
    <w:name w:val="Body Text First Indent"/>
    <w:basedOn w:val="BodyText"/>
    <w:link w:val="BodyTextFirstIndentChar"/>
    <w:rsid w:val="001A3E86"/>
    <w:pPr>
      <w:spacing w:after="0" w:line="360" w:lineRule="auto"/>
      <w:ind w:firstLine="360"/>
      <w:jc w:val="center"/>
    </w:pPr>
    <w:rPr>
      <w:rFonts w:ascii="Calibri" w:eastAsia="MS Mincho" w:hAnsi="Calibri" w:cs="Times New Roman"/>
      <w:lang w:val="es-ES"/>
    </w:rPr>
  </w:style>
  <w:style w:type="character" w:customStyle="1" w:styleId="BodyTextFirstIndentChar">
    <w:name w:val="Body Text First Indent Char"/>
    <w:basedOn w:val="BodyTextChar"/>
    <w:link w:val="BodyTextFirstIndent"/>
    <w:rsid w:val="001A3E86"/>
    <w:rPr>
      <w:rFonts w:ascii="Calibri" w:eastAsia="MS Mincho" w:hAnsi="Calibri" w:cs="Times New Roman"/>
      <w:lang w:val="es-ES"/>
    </w:rPr>
  </w:style>
  <w:style w:type="paragraph" w:styleId="HTMLPreformatted">
    <w:name w:val="HTML Preformatted"/>
    <w:basedOn w:val="Normal"/>
    <w:link w:val="HTMLPreformattedChar"/>
    <w:uiPriority w:val="99"/>
    <w:unhideWhenUsed/>
    <w:rsid w:val="001A3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R" w:eastAsia="es-CR"/>
    </w:rPr>
  </w:style>
  <w:style w:type="character" w:customStyle="1" w:styleId="HTMLPreformattedChar">
    <w:name w:val="HTML Preformatted Char"/>
    <w:basedOn w:val="DefaultParagraphFont"/>
    <w:link w:val="HTMLPreformatted"/>
    <w:uiPriority w:val="99"/>
    <w:rsid w:val="001A3E86"/>
    <w:rPr>
      <w:rFonts w:ascii="Courier New" w:eastAsia="Times New Roman" w:hAnsi="Courier New" w:cs="Courier New"/>
      <w:sz w:val="20"/>
      <w:szCs w:val="20"/>
      <w:lang w:eastAsia="es-CR"/>
    </w:rPr>
  </w:style>
  <w:style w:type="character" w:styleId="CommentReference">
    <w:name w:val="annotation reference"/>
    <w:basedOn w:val="DefaultParagraphFont"/>
    <w:uiPriority w:val="99"/>
    <w:semiHidden/>
    <w:unhideWhenUsed/>
    <w:rsid w:val="001A3E86"/>
    <w:rPr>
      <w:sz w:val="16"/>
      <w:szCs w:val="16"/>
    </w:rPr>
  </w:style>
  <w:style w:type="paragraph" w:styleId="CommentText">
    <w:name w:val="annotation text"/>
    <w:basedOn w:val="Normal"/>
    <w:link w:val="CommentTextChar"/>
    <w:uiPriority w:val="99"/>
    <w:unhideWhenUsed/>
    <w:rsid w:val="001A3E86"/>
    <w:pPr>
      <w:spacing w:line="240" w:lineRule="auto"/>
    </w:pPr>
    <w:rPr>
      <w:sz w:val="20"/>
      <w:szCs w:val="20"/>
    </w:rPr>
  </w:style>
  <w:style w:type="character" w:customStyle="1" w:styleId="CommentTextChar">
    <w:name w:val="Comment Text Char"/>
    <w:basedOn w:val="DefaultParagraphFont"/>
    <w:link w:val="CommentText"/>
    <w:uiPriority w:val="99"/>
    <w:rsid w:val="001A3E86"/>
    <w:rPr>
      <w:sz w:val="20"/>
      <w:szCs w:val="20"/>
      <w:lang w:val="en-US"/>
    </w:rPr>
  </w:style>
  <w:style w:type="paragraph" w:styleId="BalloonText">
    <w:name w:val="Balloon Text"/>
    <w:basedOn w:val="Normal"/>
    <w:link w:val="BalloonTextChar"/>
    <w:uiPriority w:val="99"/>
    <w:semiHidden/>
    <w:unhideWhenUsed/>
    <w:rsid w:val="001A3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E86"/>
    <w:rPr>
      <w:rFonts w:ascii="Segoe UI" w:hAnsi="Segoe UI" w:cs="Segoe UI"/>
      <w:sz w:val="18"/>
      <w:szCs w:val="18"/>
      <w:lang w:val="en-US"/>
    </w:rPr>
  </w:style>
  <w:style w:type="paragraph" w:styleId="FootnoteText">
    <w:name w:val="footnote text"/>
    <w:basedOn w:val="Normal"/>
    <w:link w:val="FootnoteTextChar"/>
    <w:uiPriority w:val="99"/>
    <w:unhideWhenUsed/>
    <w:rsid w:val="001A3E86"/>
    <w:pPr>
      <w:spacing w:after="0" w:line="360" w:lineRule="auto"/>
      <w:jc w:val="center"/>
    </w:pPr>
    <w:rPr>
      <w:rFonts w:ascii="Calibri" w:eastAsia="MS Mincho" w:hAnsi="Calibri" w:cs="Times New Roman"/>
      <w:sz w:val="20"/>
      <w:szCs w:val="20"/>
      <w:lang w:val="es-ES"/>
    </w:rPr>
  </w:style>
  <w:style w:type="character" w:customStyle="1" w:styleId="FootnoteTextChar">
    <w:name w:val="Footnote Text Char"/>
    <w:basedOn w:val="DefaultParagraphFont"/>
    <w:link w:val="FootnoteText"/>
    <w:uiPriority w:val="99"/>
    <w:rsid w:val="001A3E86"/>
    <w:rPr>
      <w:rFonts w:ascii="Calibri" w:eastAsia="MS Mincho" w:hAnsi="Calibri" w:cs="Times New Roman"/>
      <w:sz w:val="20"/>
      <w:szCs w:val="20"/>
      <w:lang w:val="es-ES"/>
    </w:rPr>
  </w:style>
  <w:style w:type="character" w:styleId="FootnoteReference">
    <w:name w:val="footnote reference"/>
    <w:basedOn w:val="DefaultParagraphFont"/>
    <w:unhideWhenUsed/>
    <w:rsid w:val="001A3E86"/>
    <w:rPr>
      <w:vertAlign w:val="superscript"/>
    </w:rPr>
  </w:style>
  <w:style w:type="character" w:customStyle="1" w:styleId="hps">
    <w:name w:val="hps"/>
    <w:basedOn w:val="DefaultParagraphFont"/>
    <w:rsid w:val="001A3E86"/>
  </w:style>
  <w:style w:type="table" w:styleId="TableGrid">
    <w:name w:val="Table Grid"/>
    <w:basedOn w:val="TableNormal"/>
    <w:uiPriority w:val="59"/>
    <w:rsid w:val="001A3E8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1A3E86"/>
    <w:pPr>
      <w:spacing w:line="256" w:lineRule="auto"/>
    </w:pPr>
  </w:style>
  <w:style w:type="paragraph" w:customStyle="1" w:styleId="yiv1031476746msonormal">
    <w:name w:val="yiv1031476746msonormal"/>
    <w:basedOn w:val="Normal"/>
    <w:rsid w:val="001A3E8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Header">
    <w:name w:val="header"/>
    <w:basedOn w:val="Normal"/>
    <w:link w:val="HeaderChar"/>
    <w:uiPriority w:val="99"/>
    <w:unhideWhenUsed/>
    <w:rsid w:val="001A3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E86"/>
    <w:rPr>
      <w:lang w:val="en-US"/>
    </w:rPr>
  </w:style>
  <w:style w:type="paragraph" w:styleId="Footer">
    <w:name w:val="footer"/>
    <w:basedOn w:val="Normal"/>
    <w:link w:val="FooterChar"/>
    <w:uiPriority w:val="99"/>
    <w:unhideWhenUsed/>
    <w:rsid w:val="001A3E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E86"/>
    <w:rPr>
      <w:lang w:val="en-US"/>
    </w:rPr>
  </w:style>
  <w:style w:type="paragraph" w:customStyle="1" w:styleId="CM241">
    <w:name w:val="CM241"/>
    <w:basedOn w:val="Default"/>
    <w:next w:val="Default"/>
    <w:uiPriority w:val="99"/>
    <w:rsid w:val="001A3E86"/>
    <w:rPr>
      <w:color w:val="auto"/>
      <w:lang w:val="en-US"/>
    </w:rPr>
  </w:style>
  <w:style w:type="paragraph" w:customStyle="1" w:styleId="CM14">
    <w:name w:val="CM14"/>
    <w:basedOn w:val="Default"/>
    <w:next w:val="Default"/>
    <w:uiPriority w:val="99"/>
    <w:rsid w:val="001A3E86"/>
    <w:pPr>
      <w:spacing w:line="268" w:lineRule="atLeast"/>
    </w:pPr>
    <w:rPr>
      <w:color w:val="auto"/>
      <w:lang w:val="en-US"/>
    </w:rPr>
  </w:style>
  <w:style w:type="character" w:customStyle="1" w:styleId="apple-converted-space">
    <w:name w:val="apple-converted-space"/>
    <w:basedOn w:val="DefaultParagraphFont"/>
    <w:rsid w:val="001A3E86"/>
  </w:style>
  <w:style w:type="paragraph" w:styleId="TOCHeading">
    <w:name w:val="TOC Heading"/>
    <w:basedOn w:val="Heading1"/>
    <w:next w:val="Normal"/>
    <w:uiPriority w:val="39"/>
    <w:unhideWhenUsed/>
    <w:qFormat/>
    <w:rsid w:val="001A3E86"/>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lang w:val="en-US"/>
    </w:rPr>
  </w:style>
  <w:style w:type="paragraph" w:styleId="TOC1">
    <w:name w:val="toc 1"/>
    <w:basedOn w:val="Normal"/>
    <w:next w:val="Normal"/>
    <w:autoRedefine/>
    <w:uiPriority w:val="39"/>
    <w:unhideWhenUsed/>
    <w:rsid w:val="001A3E86"/>
    <w:pPr>
      <w:spacing w:after="100"/>
    </w:pPr>
  </w:style>
  <w:style w:type="paragraph" w:styleId="TOC2">
    <w:name w:val="toc 2"/>
    <w:basedOn w:val="Normal"/>
    <w:next w:val="Normal"/>
    <w:autoRedefine/>
    <w:uiPriority w:val="39"/>
    <w:unhideWhenUsed/>
    <w:rsid w:val="001A3E86"/>
    <w:pPr>
      <w:tabs>
        <w:tab w:val="right" w:leader="dot" w:pos="9350"/>
      </w:tabs>
      <w:spacing w:after="100"/>
      <w:ind w:left="220"/>
    </w:pPr>
    <w:rPr>
      <w:rFonts w:ascii="Times New Roman" w:hAnsi="Times New Roman" w:cs="Times New Roman"/>
      <w:sz w:val="24"/>
      <w:szCs w:val="24"/>
    </w:rPr>
  </w:style>
  <w:style w:type="paragraph" w:styleId="TOC3">
    <w:name w:val="toc 3"/>
    <w:basedOn w:val="Normal"/>
    <w:next w:val="Normal"/>
    <w:autoRedefine/>
    <w:uiPriority w:val="39"/>
    <w:unhideWhenUsed/>
    <w:rsid w:val="001A3E86"/>
    <w:pPr>
      <w:spacing w:after="100"/>
      <w:ind w:left="440"/>
    </w:pPr>
  </w:style>
  <w:style w:type="character" w:styleId="Emphasis">
    <w:name w:val="Emphasis"/>
    <w:basedOn w:val="DefaultParagraphFont"/>
    <w:uiPriority w:val="20"/>
    <w:qFormat/>
    <w:rsid w:val="001A3E86"/>
    <w:rPr>
      <w:i/>
      <w:iCs/>
    </w:rPr>
  </w:style>
  <w:style w:type="paragraph" w:styleId="CommentSubject">
    <w:name w:val="annotation subject"/>
    <w:basedOn w:val="CommentText"/>
    <w:next w:val="CommentText"/>
    <w:link w:val="CommentSubjectChar"/>
    <w:uiPriority w:val="99"/>
    <w:semiHidden/>
    <w:unhideWhenUsed/>
    <w:rsid w:val="001A3E86"/>
    <w:rPr>
      <w:b/>
      <w:bCs/>
    </w:rPr>
  </w:style>
  <w:style w:type="character" w:customStyle="1" w:styleId="CommentSubjectChar">
    <w:name w:val="Comment Subject Char"/>
    <w:basedOn w:val="CommentTextChar"/>
    <w:link w:val="CommentSubject"/>
    <w:uiPriority w:val="99"/>
    <w:semiHidden/>
    <w:rsid w:val="001A3E86"/>
    <w:rPr>
      <w:b/>
      <w:bCs/>
      <w:sz w:val="20"/>
      <w:szCs w:val="20"/>
      <w:lang w:val="en-US"/>
    </w:rPr>
  </w:style>
  <w:style w:type="paragraph" w:customStyle="1" w:styleId="Body1">
    <w:name w:val="Body 1"/>
    <w:rsid w:val="001A3E86"/>
    <w:pPr>
      <w:spacing w:after="0" w:line="240" w:lineRule="auto"/>
    </w:pPr>
    <w:rPr>
      <w:rFonts w:ascii="Helvetica" w:eastAsia="Arial Unicode MS" w:hAnsi="Helvetica" w:cs="Times New Roman"/>
      <w:color w:val="000000"/>
      <w:sz w:val="24"/>
      <w:szCs w:val="20"/>
      <w:lang w:val="pt-BR" w:eastAsia="pt-BR"/>
    </w:rPr>
  </w:style>
  <w:style w:type="paragraph" w:styleId="ListBullet">
    <w:name w:val="List Bullet"/>
    <w:basedOn w:val="Normal"/>
    <w:uiPriority w:val="99"/>
    <w:unhideWhenUsed/>
    <w:rsid w:val="001A3E86"/>
    <w:pPr>
      <w:numPr>
        <w:numId w:val="11"/>
      </w:numPr>
      <w:spacing w:after="0" w:line="240" w:lineRule="auto"/>
      <w:contextualSpacing/>
    </w:pPr>
    <w:rPr>
      <w:rFonts w:ascii="Calibri" w:eastAsia="Calibri" w:hAnsi="Calibri" w:cs="Times New Roman"/>
      <w:lang w:val="pt-BR"/>
    </w:rPr>
  </w:style>
  <w:style w:type="paragraph" w:styleId="EndnoteText">
    <w:name w:val="endnote text"/>
    <w:basedOn w:val="Normal"/>
    <w:link w:val="EndnoteTextChar"/>
    <w:uiPriority w:val="99"/>
    <w:unhideWhenUsed/>
    <w:rsid w:val="001A3E86"/>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1A3E86"/>
    <w:rPr>
      <w:rFonts w:ascii="Calibri" w:eastAsia="Times New Roman" w:hAnsi="Calibri" w:cs="Times New Roman"/>
      <w:sz w:val="20"/>
      <w:szCs w:val="20"/>
      <w:lang w:val="en-US"/>
    </w:rPr>
  </w:style>
  <w:style w:type="character" w:customStyle="1" w:styleId="Mencinsinresolver1">
    <w:name w:val="Mención sin resolver1"/>
    <w:basedOn w:val="DefaultParagraphFont"/>
    <w:uiPriority w:val="99"/>
    <w:semiHidden/>
    <w:unhideWhenUsed/>
    <w:rsid w:val="001A3E86"/>
    <w:rPr>
      <w:color w:val="808080"/>
      <w:shd w:val="clear" w:color="auto" w:fill="E6E6E6"/>
    </w:rPr>
  </w:style>
  <w:style w:type="character" w:styleId="FollowedHyperlink">
    <w:name w:val="FollowedHyperlink"/>
    <w:basedOn w:val="DefaultParagraphFont"/>
    <w:uiPriority w:val="99"/>
    <w:semiHidden/>
    <w:unhideWhenUsed/>
    <w:rsid w:val="001A3E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hyperlink" Target="mailto:revistasiwo@una.ac.cr" TargetMode="External"/><Relationship Id="rId27" Type="http://schemas.openxmlformats.org/officeDocument/2006/relationships/hyperlink" Target="mailto:revistasiwo@gmail.com"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mailto:revistasiwo@una.cr" TargetMode="External"/><Relationship Id="rId14" Type="http://schemas.openxmlformats.org/officeDocument/2006/relationships/footer" Target="footer1.xml"/><Relationship Id="rId15" Type="http://schemas.openxmlformats.org/officeDocument/2006/relationships/image" Target="media/image5.emf"/><Relationship Id="rId16" Type="http://schemas.openxmlformats.org/officeDocument/2006/relationships/hyperlink" Target="http://www.redalyc.org/articulo.oa?id=191015363004%3e&#160;"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Esc02</b:Tag>
    <b:SourceType>Book</b:SourceType>
    <b:Guid>{7CB63938-1EF9-4286-B6C5-E1CD81BF0CEB}</b:Guid>
    <b:Author>
      <b:Author>
        <b:NameList>
          <b:Person>
            <b:Last>Escohotado</b:Last>
            <b:First>Antonio</b:First>
          </b:Person>
        </b:NameList>
      </b:Author>
    </b:Author>
    <b:Title>Historia General de las Drogas</b:Title>
    <b:Year>2002</b:Year>
    <b:City>Madrid</b:City>
    <b:Publisher>Espasa</b:Publisher>
    <b:RefOrder>1</b:RefOrder>
  </b:Source>
  <b:Source>
    <b:Tag>Mad08</b:Tag>
    <b:SourceType>JournalArticle</b:SourceType>
    <b:Guid>{1889460B-1D7E-48E8-AA6D-E8A308DA5884}</b:Guid>
    <b:Author>
      <b:Author>
        <b:NameList>
          <b:Person>
            <b:Last>Madrigal</b:Last>
            <b:First>Víctor</b:First>
          </b:Person>
        </b:NameList>
      </b:Author>
    </b:Author>
    <b:Title>Una aproximación a la filosofía intercultural de Raúl Fornt-Betancourt: Retos que se plantean a la teología</b:Title>
    <b:Year>2008</b:Year>
    <b:JournalName>SIWO</b:JournalName>
    <b:Pages>287-2013</b:Pages>
    <b:RefOrder>3</b:RefOrder>
  </b:Source>
  <b:Source>
    <b:Tag>For08</b:Tag>
    <b:SourceType>JournalArticle</b:SourceType>
    <b:Guid>{A1544D01-B93B-46B9-A012-D9D0751DEED1}</b:Guid>
    <b:Title>Teoría y Praxis de la Filosofía Intercultural</b:Title>
    <b:Year>2008</b:Year>
    <b:Author>
      <b:Author>
        <b:NameList>
          <b:Person>
            <b:Last>Fornet-Betancourt</b:Last>
            <b:First>Raúl</b:First>
          </b:Person>
        </b:NameList>
      </b:Author>
    </b:Author>
    <b:JournalName>SIWO</b:JournalName>
    <b:Pages>9-42</b:Pages>
    <b:RefOrder>9</b:RefOrder>
  </b:Source>
  <b:Source>
    <b:Tag>Oli90</b:Tag>
    <b:SourceType>InternetSite</b:SourceType>
    <b:Guid>{034E36A8-9DE8-4550-95BC-E706FE43331B}</b:Guid>
    <b:Author>
      <b:Author>
        <b:NameList>
          <b:Person>
            <b:Last>Oliveros Maqueo</b:Last>
            <b:First>Roberto</b:First>
          </b:Person>
        </b:NameList>
      </b:Author>
    </b:Author>
    <b:Title>Historia Breve de la Teología de la Liberación (1962-1990). Publicado en papel en “Mysterium Liberationis”, UCA, San Salvador 1991, vol. I, pp. 17-50 </b:Title>
    <b:Year>1990</b:Year>
    <b:InternetSiteTitle>Servicios de Koinonía</b:InternetSiteTitle>
    <b:Month>Diciembre</b:Month>
    <b:YearAccessed>2012</b:YearAccessed>
    <b:MonthAccessed>Octubre</b:MonthAccessed>
    <b:DayAccessed>12</b:DayAccessed>
    <b:URL>http://servicioskoinonia.org/relat/300.htm#_ftn1</b:URL>
    <b:RefOrder>10</b:RefOrder>
  </b:Source>
  <b:Source>
    <b:Tag>Bof16</b:Tag>
    <b:SourceType>InternetSite</b:SourceType>
    <b:Guid>{99897B6F-2F6C-4968-B462-9C333525F318}</b:Guid>
    <b:Title>Declaração de Leonardo Boff sobre Fernando, Chico e a Doutrina do Santo Daime</b:Title>
    <b:Year>2016</b:Year>
    <b:Author>
      <b:Author>
        <b:NameList>
          <b:Person>
            <b:Last>Boff</b:Last>
            <b:First>Leonardo</b:First>
          </b:Person>
        </b:NameList>
      </b:Author>
    </b:Author>
    <b:InternetSiteTitle>Santo Daime</b:InternetSiteTitle>
    <b:Month>enero</b:Month>
    <b:Day>10</b:Day>
    <b:URL>http://www.santodaime.org/site-antigo/fardados/espanha/esp9.htm</b:URL>
    <b:RefOrder>2</b:RefOrder>
  </b:Source>
  <b:Source>
    <b:Tag>Ave05</b:Tag>
    <b:SourceType>Book</b:SourceType>
    <b:Guid>{5BDC3816-4FE7-4690-8218-F5800A42E1BF}</b:Guid>
    <b:Title>Introducción a la teología</b:Title>
    <b:Year>2005</b:Year>
    <b:Author>
      <b:Author>
        <b:NameList>
          <b:Person>
            <b:Last>Avendaño-Herrera</b:Last>
            <b:First>Francisco</b:First>
          </b:Person>
        </b:NameList>
      </b:Author>
    </b:Author>
    <b:City>San José</b:City>
    <b:Publisher>EUNED</b:Publisher>
    <b:RefOrder>4</b:RefOrder>
  </b:Source>
  <b:Source>
    <b:Tag>Arc10</b:Tag>
    <b:SourceType>Book</b:SourceType>
    <b:Guid>{85904608-FD10-422C-B7A4-CEF49C14361A}</b:Guid>
    <b:Author>
      <b:Author>
        <b:NameList>
          <b:Person>
            <b:Last>Arce-Arenales</b:Last>
            <b:First>Manuel</b:First>
          </b:Person>
        </b:NameList>
      </b:Author>
    </b:Author>
    <b:Title>Algunos principios de la Teoría de Dinámica de Tropas</b:Title>
    <b:Year>2010</b:Year>
    <b:City>San José</b:City>
    <b:Publisher>Instituto de Investigaciones en Ingeniería Programa de Investigación en Cognición y Lenguaje, UCR</b:Publisher>
    <b:RefOrder>5</b:RefOrder>
  </b:Source>
  <b:Source>
    <b:Tag>Arc08</b:Tag>
    <b:SourceType>Book</b:SourceType>
    <b:Guid>{F4087235-888F-450E-84E6-463C34CD61A8}</b:Guid>
    <b:Title>La Esfinge y el espejo: Occidente y sus orígenes</b:Title>
    <b:Year>2008</b:Year>
    <b:Author>
      <b:Author>
        <b:NameList>
          <b:Person>
            <b:Last>Arce-Arenales</b:Last>
            <b:First>Manuel</b:First>
          </b:Person>
        </b:NameList>
      </b:Author>
    </b:Author>
    <b:City>San José</b:City>
    <b:Publisher>Alambique</b:Publisher>
    <b:RefOrder>6</b:RefOrder>
  </b:Source>
  <b:Source>
    <b:Tag>Mad081</b:Tag>
    <b:SourceType>JournalArticle</b:SourceType>
    <b:Guid>{07F12E96-3794-4300-9BE1-6262CFCE26BD}</b:Guid>
    <b:Title>Una aproximación a la filosofía intercultural de Raul Fournet: Retos que se le plantea a la teología</b:Title>
    <b:Year>2008</b:Year>
    <b:Pages>287-313</b:Pages>
    <b:Author>
      <b:Author>
        <b:NameList>
          <b:Person>
            <b:Last>Madrigal</b:Last>
            <b:First>Víctor</b:First>
          </b:Person>
        </b:NameList>
      </b:Author>
    </b:Author>
    <b:JournalName>SIWO</b:JournalName>
    <b:RefOrder>8</b:RefOrder>
  </b:Source>
  <b:Source>
    <b:Tag>Och10</b:Tag>
    <b:SourceType>Book</b:SourceType>
    <b:Guid>{396E13D7-4E19-47E0-8D2F-F5847C3C7E2B}</b:Guid>
    <b:Title>Society of the dead, Quita Manaquita and Palo Praise in Cuba</b:Title>
    <b:Year>2010</b:Year>
    <b:Author>
      <b:Author>
        <b:NameList>
          <b:Person>
            <b:Last>Ochoa</b:Last>
            <b:First>Todd</b:First>
            <b:Middle>Ramòn</b:Middle>
          </b:Person>
        </b:NameList>
      </b:Author>
    </b:Author>
    <b:City>Berkeley</b:City>
    <b:Publisher>The University of California Press</b:Publisher>
    <b:RefOrder>7</b:RefOrder>
  </b:Source>
  <b:Source>
    <b:Tag>Pet03</b:Tag>
    <b:SourceType>Book</b:SourceType>
    <b:Guid>{6F2EF59A-9114-40BD-9343-F859A2BC64EF}</b:Guid>
    <b:Author>
      <b:Author>
        <b:NameList>
          <b:Person>
            <b:Last>Peterson</b:Last>
            <b:First>Roy</b:First>
          </b:Person>
        </b:NameList>
      </b:Author>
    </b:Author>
    <b:Title>Minding God</b:Title>
    <b:Year>2003</b:Year>
    <b:City>Minneapolis</b:City>
    <b:Publisher>Fortress Press</b:Publisher>
    <b:RefOrder>17</b:RefOrder>
  </b:Source>
  <b:Source>
    <b:Tag>For07</b:Tag>
    <b:SourceType>Book</b:SourceType>
    <b:Guid>{9DDA9FB9-D648-4009-93B9-928C8E1AF86D}</b:Guid>
    <b:Author>
      <b:Author>
        <b:NameList>
          <b:Person>
            <b:Last>Fornet-Betancourt</b:Last>
            <b:First>Raúl</b:First>
          </b:Person>
        </b:NameList>
      </b:Author>
    </b:Author>
    <b:Title>Interculturalidad y Religión. Pra una lectura intercultural de la crisis actual del cristianismo</b:Title>
    <b:Year>2007</b:Year>
    <b:City>Quito-Ecuador</b:City>
    <b:Publisher>Ediciones Abya-Yala</b:Publisher>
    <b:RefOrder>11</b:RefOrder>
  </b:Source>
  <b:Source>
    <b:Tag>deS06</b:Tag>
    <b:SourceType>Book</b:SourceType>
    <b:Guid>{D0D3D615-8705-40D4-8450-AD6017F1918B}</b:Guid>
    <b:Author>
      <b:Author>
        <b:NameList>
          <b:Person>
            <b:Last>de Sahagún</b:Last>
            <b:First>Bernandino</b:First>
          </b:Person>
        </b:NameList>
      </b:Author>
    </b:Author>
    <b:Title>Historia General de las Cosas de Nueva España</b:Title>
    <b:Year>2006</b:Year>
    <b:City>México</b:City>
    <b:Publisher>Porrúa</b:Publisher>
    <b:RefOrder>12</b:RefOrder>
  </b:Source>
  <b:Source>
    <b:Tag>Hin031</b:Tag>
    <b:SourceType>Book</b:SourceType>
    <b:Guid>{155C8F6B-8D2E-4921-9D74-2B24EA2A4756}</b:Guid>
    <b:Author>
      <b:Author>
        <b:NameList>
          <b:Person>
            <b:Last>Hinkelammert</b:Last>
            <b:First>Franz</b:First>
          </b:Person>
        </b:NameList>
      </b:Author>
    </b:Author>
    <b:Title>El asalto al poder mundial y a la violencia sagrada del imperio</b:Title>
    <b:Year>2003</b:Year>
    <b:City>San José, Costa Rica</b:City>
    <b:Publisher>DEI</b:Publisher>
    <b:RefOrder>13</b:RefOrder>
  </b:Source>
  <b:Source>
    <b:Tag>Fue98</b:Tag>
    <b:SourceType>Book</b:SourceType>
    <b:Guid>{F33FB091-A75D-4382-BEAF-42A6FB9E31FC}</b:Guid>
    <b:Title>Bioquímica clínica y patología molecular, Volume 2</b:Title>
    <b:Year>1998</b:Year>
    <b:Author>
      <b:Author>
        <b:NameList>
          <b:Person>
            <b:Last>Fuentes-Arderiu</b:Last>
            <b:First>X</b:First>
          </b:Person>
        </b:NameList>
      </b:Author>
    </b:Author>
    <b:City>Barcelona</b:City>
    <b:Publisher>Editorial REVERTÉ</b:Publisher>
    <b:RefOrder>14</b:RefOrder>
  </b:Source>
  <b:Source>
    <b:Tag>Cos07</b:Tag>
    <b:SourceType>Book</b:SourceType>
    <b:Guid>{FE82008D-6650-44B2-9766-34F4780D95DC}</b:Guid>
    <b:Author>
      <b:Author>
        <b:NameList>
          <b:Person>
            <b:Last>Cosacov</b:Last>
            <b:First>Eduardo</b:First>
          </b:Person>
        </b:NameList>
      </b:Author>
    </b:Author>
    <b:Title>Diccionario de términos técnicos de psicología</b:Title>
    <b:Year>2007</b:Year>
    <b:City>Argentina</b:City>
    <b:Publisher>Editorial Brujas</b:Publisher>
    <b:RefOrder>15</b:RefOrder>
  </b:Source>
  <b:Source>
    <b:Tag>Qui94</b:Tag>
    <b:SourceType>JournalArticle</b:SourceType>
    <b:Guid>{D1B9AC56-EA6B-45D6-9B1C-1CC46F65369F}</b:Guid>
    <b:Title>El Señor Dios Príncipe de las Flores, el cuento de una teoría de la personalidad</b:Title>
    <b:Year>1994</b:Year>
    <b:Author>
      <b:Author>
        <b:NameList>
          <b:Person>
            <b:Last>Quirce-Balma</b:Last>
            <b:First>Carlos</b:First>
          </b:Person>
        </b:NameList>
      </b:Author>
    </b:Author>
    <b:JournalName>Polémica. Ciencias Sociales, 64</b:JournalName>
    <b:Pages>149-165</b:Pages>
    <b:RefOrder>16</b:RefOrder>
  </b:Source>
  <b:Source>
    <b:Tag>Qui11</b:Tag>
    <b:SourceType>InternetSite</b:SourceType>
    <b:Guid>{B2288099-6ECE-4636-B402-8E15AEA89202}</b:Guid>
    <b:Author>
      <b:Author>
        <b:NameList>
          <b:Person>
            <b:Last>Quirce-Balma</b:Last>
            <b:First>C</b:First>
          </b:Person>
        </b:NameList>
      </b:Author>
    </b:Author>
    <b:Title>Milieu Teológico</b:Title>
    <b:InternetSiteTitle>Semanario Universidad</b:InternetSiteTitle>
    <b:Year>2011</b:Year>
    <b:Month>Agosto</b:Month>
    <b:Day>2</b:Day>
    <b:URL>http://semanariouniversidad.ucr.cr/opinion/el-milieu-teolgico/</b:URL>
    <b:RefOrder>1</b:RefOrder>
  </b:Source>
</b:Sources>
</file>

<file path=customXml/itemProps1.xml><?xml version="1.0" encoding="utf-8"?>
<ds:datastoreItem xmlns:ds="http://schemas.openxmlformats.org/officeDocument/2006/customXml" ds:itemID="{7C92AEE2-4951-264B-B5EA-8C4ECAD8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98</Pages>
  <Words>26194</Words>
  <Characters>149310</Characters>
  <Application>Microsoft Macintosh Word</Application>
  <DocSecurity>0</DocSecurity>
  <Lines>1244</Lines>
  <Paragraphs>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Diagramacion 2</cp:lastModifiedBy>
  <cp:revision>3</cp:revision>
  <dcterms:created xsi:type="dcterms:W3CDTF">2018-04-09T15:44:00Z</dcterms:created>
  <dcterms:modified xsi:type="dcterms:W3CDTF">2018-04-30T22:31:00Z</dcterms:modified>
</cp:coreProperties>
</file>